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Глава 4. Таблицы</w:t>
      </w:r>
    </w:p>
    <w:p/>
    <w:p>
      <w:pPr>
        <w:pStyle w:val="Heading1"/>
      </w:pPr>
      <w:r>
        <w:rPr>
          <w:rFonts w:ascii="Times New Roman" w:hAnsi="Times New Roman"/>
        </w:rPr>
        <w:t>Блок 1: Результаты подхода A (тест)</w:t>
      </w:r>
    </w:p>
    <w:p>
      <w:r>
        <w:rPr>
          <w:rFonts w:ascii="Times New Roman" w:hAnsi="Times New Roman"/>
          <w:b/>
          <w:sz w:val="24"/>
        </w:rPr>
        <w:t>Таблица 4.1. Результаты подхода A на тестовом периоде: дневной, инст. комиссия (0.05%)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AFLT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ALRS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HYDR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IRAO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LKOH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LSRG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MGNT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MOEX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MTLR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MTSS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NVTK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OGKB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PHOR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RTKM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SBER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TATN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VTBR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3.50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3.52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3.04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1.89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2.78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2.81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2.75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2.86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4.2. Результаты подхода A на тестовом периоде: дневной, стандартная комиссия (0.06%)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AFLT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ALRS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HYDR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IRAO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LKOH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LSRG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MGNT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MOEX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MTLR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MTSS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NVTK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OGKB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PHOR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RTKM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SBER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TATN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VTBR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3.54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1.88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2.81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2.84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4.3. Результаты подхода A на тестовом периоде: часовой, инст. комиссия (0.04%) [ДАННЫЕ ОТСУТСТВУЮТ]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AFLT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ALRS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HYDR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IRAO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LKOH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LSRG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MGNT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MOEX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MTLR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MTSS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NVTK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OGKB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PHOR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RTKM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SBER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TATN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VTBR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-0.44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-0.44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1.09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0.87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0.64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4.4. Результаты подхода A на тестовом периоде: часовой, стандартная комиссия (0.05%) [ДАННЫЕ ОТСУТСТВУЮТ]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AFLT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ALRS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HYDR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IRAO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LKOH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LSRG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MGNT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MOEX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MTLR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MTSS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NVTK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OGKB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PHOR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RTKM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SBER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TATN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VTBR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1.03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-0.42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-0.84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1.14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-0.45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2.51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1.64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1.05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2.12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1.57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-0.35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2.59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1.26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1.00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1.04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2: Walk-forward подход A</w:t>
      </w:r>
    </w:p>
    <w:p>
      <w:r>
        <w:rPr>
          <w:rFonts w:ascii="Times New Roman" w:hAnsi="Times New Roman"/>
          <w:b/>
          <w:sz w:val="24"/>
        </w:rPr>
        <w:t>Таблица 4.5. Walk-forward подход A: дневной, инст. комиссия (0.05%)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(нетто)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Сделок/год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0.5196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4.6. Walk-forward подход A: дневной, стандартная комиссия (0.06%)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(нетто)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Сделок/год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0.5152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4.7. Walk-forward подход A: часовой, инст. комиссия (0.04%)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(нетто)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Сделок/год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20.69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0.5905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0.3636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0.3636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0.4405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0.4405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4.8. Walk-forward подход A: часовой, стандартная комиссия (0.05%)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(нетто)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Сделок/год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20.69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0.3362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0.3362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0.4142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0.4142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3: Подходы B, C, D (тест, ΔSharpe)</w:t>
      </w:r>
    </w:p>
    <w:p>
      <w:r>
        <w:rPr>
          <w:rFonts w:ascii="Times New Roman" w:hAnsi="Times New Roman"/>
          <w:b/>
          <w:sz w:val="24"/>
        </w:rPr>
        <w:t>Таблица 4.9. ΔSharpe подхода B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Δ,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+1.2%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0.7850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+0.2579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+48.9%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0.5970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+0.1031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+20.9%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0.3881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+0.0765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+24.6%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+5.7%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+0.0800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+0.0578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4.10. ΔSharpe подхода C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Δ,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+29.3%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+32.3%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0.8884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+68.5%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+51.7%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0.3457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+10.9%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+7.9%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+0.1727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+0.1659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4.11. ΔSharpe подхода D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Δ,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0.7142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+25.6%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+10.2%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0.8898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+68.8%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+51.0%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-2.9%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+13.5%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+0.1492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+0.1186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4.12. ΔSharpe B/C/D vs A: дневной, стандартная комиссия (0.06%)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+0.3497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+0.0403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4.13. ΔSharpe B/C/D vs A: часовой, инст. комиссия (0.04%)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+0.0874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+0.0246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+0.3886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0.5905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-0.0404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+0.2363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+0.1587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+0.0682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+0.1089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4.14. ΔSharpe B/C/D vs A: часовой, стандартная комиссия (0.05%)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+0.1846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+0.2215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-0.0506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+0.0649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+0.0854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-0.0294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+0.1321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4: Walk-forward B, C, D</w:t>
      </w:r>
    </w:p>
    <w:p>
      <w:r>
        <w:rPr>
          <w:rFonts w:ascii="Times New Roman" w:hAnsi="Times New Roman"/>
          <w:b/>
          <w:sz w:val="24"/>
        </w:rPr>
        <w:t>Таблица 4.15. Walk-forward ΔSharpe подхода B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A, 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B, 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0.7850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0.5970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+0.1031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0.3881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+0.0800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+0.0578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4.16. Walk-forward ΔSharpe подхода C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A, 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C, 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4.75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0.8884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16.06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+0.1727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+0.1659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4.17. Walk-forward ΔSharpe подхода D vs A: дневной,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A, 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 D, 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0.7142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4.41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0.8898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21.02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0.7725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+0.1492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+0.1186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4.18. Walk-forward ΔSharpe B/C/D vs A: дневной, стандартная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+0.3497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+0.2516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+0.0341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+0.0403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+0.0534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+0.0931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4.19. Walk-forward ΔSharpe B/C/D vs A: часовой, инст.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+0.0874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+0.0246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+0.3886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0.5905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-0.0404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+0.2363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+0.1587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+0.0682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+0.1089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4.20. Walk-forward ΔSharpe B/C/D vs A: часовой, стандартная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Лучший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 (MeanRev)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+0.1846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+0.2215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 (Bollinger)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+0.0767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+0.0009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+0.2088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 (Donchian)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+0.3663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+0.1740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 (Supertrend)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-0.0506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+0.2408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+0.1641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 (PivotPoints)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+0.0649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+0.1238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+0.0854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 (VWAP)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-0.0294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+0.1321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+0.1481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5: Корреляции</w:t>
      </w:r>
    </w:p>
    <w:p>
      <w:r>
        <w:rPr>
          <w:rFonts w:ascii="Times New Roman" w:hAnsi="Times New Roman"/>
          <w:b/>
          <w:sz w:val="24"/>
        </w:rPr>
        <w:t>Таблица 4.21. Корреляционная матрица стратегий (подход A, дневной)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-0.219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6: Мета-стратегии (MSP)</w:t>
      </w:r>
    </w:p>
    <w:p>
      <w:r>
        <w:rPr>
          <w:rFonts w:ascii="Times New Roman" w:hAnsi="Times New Roman"/>
          <w:b/>
          <w:sz w:val="24"/>
        </w:rPr>
        <w:t>Таблица 4.22. Мета-стратегии: сводные результаты (дневной)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Портфель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Волат.,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MaxDD, 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Calmar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1.7717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-2.96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3.9171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2.7053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3.0766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-1.78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META-MEAN(BCD)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3.3102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6.86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META-BEST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3.9251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10.24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4.23. Мета-стратегии: годовой Sharpe (2022-2025)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Портфель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2022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2023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2024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Всего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3.08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7: Bootstrap-тесты</w:t>
      </w:r>
    </w:p>
    <w:p>
      <w:r>
        <w:rPr>
          <w:rFonts w:ascii="Times New Roman" w:hAnsi="Times New Roman"/>
          <w:b/>
          <w:sz w:val="24"/>
        </w:rPr>
        <w:t>Таблица 4.24. Bootstrap-тесты: дневной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Сравнение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t-стат.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p-value (t-тест)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CI 2.5%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CI 97.5%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Значимость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1.3049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0.9101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1.7623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META: A vs BEST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2.1534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-0.326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1.5419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3.0758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S1: A vs C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0.1744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1.1625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S2: A vs C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1.5438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S3: A vs 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1.1107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-0.936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2.1190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1.1901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0.5244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0.7633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1.6785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S5: A vs C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-1.022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-0.1936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0.8984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0.5639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4.25. Bootstrap-тесты: часовой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Сравнение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ΔSharpe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t-стат.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p-value (t-тест)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CI 2.5%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CI 97.5%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Значимость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1.0729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0.5641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0.4034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2.1984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META: A vs BEST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3.1517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-1.064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0.2874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2.0737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4.1950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S1: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1.9361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0.6776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2.8719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S2: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0.8349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0.2720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1.5293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S3: A vs 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2.0998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-0.671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0.5024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1.0930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3.1319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S4: A vs 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0.9482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-2.012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-0.1599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1.9958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S5: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0.8641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0.5353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1.4722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S6: A vs 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0.6286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-0.0786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2.0104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н/з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Блок 8: Экономическая ценность</w:t>
      </w:r>
    </w:p>
    <w:p>
      <w:r>
        <w:rPr>
          <w:rFonts w:ascii="Times New Roman" w:hAnsi="Times New Roman"/>
          <w:b/>
          <w:sz w:val="24"/>
        </w:rPr>
        <w:t>Таблица 4.26. Экономическая ценность: Certainty Equivalent (CE) [ДАННЫЕ ОТСУТСТВУЮТ]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Подход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E[r],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σ, % год.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CE (γ=2)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CE (γ=5)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CE (γ=10)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7.104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6.648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5.004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4.979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4.938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7.478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7.277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8.194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8.007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4.27. Максимально допустимая комиссия (при Sharpe &gt; 0) [ДАННЫЕ ОТСУТСТВУЮТ]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Подход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Sharpe (нетто)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Дох-ть, % год.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Макс. комиссия (1 ног.), б.п.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1.7700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70.4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54.4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2.7100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3.0800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102.0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Таблица 4.28. Минимальный капитал K_min для реализации стратегий [ДАННЫЕ ОТСУТСТВУЮТ]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Подход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Тикеров в портфеле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Ср. цена лота, руб.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K_min, тыс. руб.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MSP-D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