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tiff" ContentType="image/tiff"/>
  <Override PartName="/word/media/rId40.tiff" ContentType="image/tif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Título</w:t>
      </w:r>
      <w:r>
        <w:t xml:space="preserve">: Marcadores de regulación autonómica en respuesta a la prueba de umbral de potencia funcional en ciclistas de elite.</w:t>
      </w:r>
    </w:p>
    <w:p>
      <w:pPr>
        <w:pStyle w:val="Textoindependiente"/>
      </w:pPr>
      <w:r>
        <w:rPr>
          <w:bCs/>
          <w:b/>
        </w:rPr>
        <w:t xml:space="preserve">Title</w:t>
      </w:r>
      <w:r>
        <w:t xml:space="preserve">: Markers of autonomic regulation in response to functional power threshold testing in elite cyclists.</w:t>
      </w:r>
    </w:p>
    <w:p>
      <w:pPr>
        <w:pStyle w:val="Textoindependiente"/>
      </w:pPr>
      <w:r>
        <w:rPr>
          <w:bCs/>
          <w:b/>
        </w:rPr>
        <w:t xml:space="preserve">Autores</w:t>
      </w:r>
      <w:r>
        <w:t xml:space="preserve">: Matías Castillo-Aguilar</w:t>
      </w:r>
      <w:r>
        <w:rPr>
          <w:vertAlign w:val="superscript"/>
        </w:rPr>
        <w:t xml:space="preserve">1,2</w:t>
      </w:r>
      <w:r>
        <w:t xml:space="preserve">, Cristian Núñez-Espinosa</w:t>
      </w:r>
      <w:r>
        <w:t xml:space="preserve"> </w:t>
      </w:r>
      <w:r>
        <w:rPr>
          <w:vertAlign w:val="superscript"/>
        </w:rPr>
        <w:t xml:space="preserve">2,3</w:t>
      </w:r>
      <w:r>
        <w:t xml:space="preserve">*.</w:t>
      </w:r>
    </w:p>
    <w:p>
      <w:pPr>
        <w:pStyle w:val="Afiliation"/>
      </w:pPr>
      <w:r>
        <w:rPr>
          <w:vertAlign w:val="superscript"/>
        </w:rPr>
        <w:t xml:space="preserve">1</w:t>
      </w:r>
      <w:r>
        <w:t xml:space="preserve"> </w:t>
      </w:r>
      <w:r>
        <w:t xml:space="preserve">Kinesiología Departamento, Universidad de Magallanes, Punta Arenas, Chile.</w:t>
      </w:r>
    </w:p>
    <w:p>
      <w:pPr>
        <w:pStyle w:val="Afiliation"/>
      </w:pPr>
      <w:r>
        <w:rPr>
          <w:vertAlign w:val="superscript"/>
        </w:rPr>
        <w:t xml:space="preserve">2</w:t>
      </w:r>
      <w:r>
        <w:t xml:space="preserve"> </w:t>
      </w:r>
      <w:r>
        <w:t xml:space="preserve">Chilean Austral Integrative Neurophysiology Group (</w:t>
      </w:r>
      <w:hyperlink r:id="rId20">
        <w:r>
          <w:rPr>
            <w:rStyle w:val="Hipervnculo"/>
          </w:rPr>
          <w:t xml:space="preserve">NIM-ACh</w:t>
        </w:r>
      </w:hyperlink>
      <w:r>
        <w:t xml:space="preserve">), Centro Asistencial de Docencia e Investigación (CADI-UMAG), Punta Arenas Chile.</w:t>
      </w:r>
    </w:p>
    <w:p>
      <w:pPr>
        <w:pStyle w:val="Afiliation"/>
      </w:pPr>
      <w:r>
        <w:rPr>
          <w:vertAlign w:val="superscript"/>
        </w:rPr>
        <w:t xml:space="preserve">3</w:t>
      </w:r>
      <w:r>
        <w:t xml:space="preserve"> </w:t>
      </w:r>
      <w:r>
        <w:t xml:space="preserve">Escuela de Medicina, Universidad de Magallanes, Punta Arenas, Chile.</w:t>
      </w:r>
    </w:p>
    <w:bookmarkStart w:id="22" w:name="autor-de-correspondencia"/>
    <w:p>
      <w:pPr>
        <w:pStyle w:val="Ttulo3"/>
      </w:pPr>
      <w:r>
        <w:t xml:space="preserve">*Autor de correspondencia</w:t>
      </w:r>
    </w:p>
    <w:p>
      <w:pPr>
        <w:pStyle w:val="FirstParagraph"/>
      </w:pPr>
      <w:r>
        <w:t xml:space="preserve">Cristian Núñez-Espinosa, School of Medicine, Magallanes University, Punta Arenas, Chile. Centro Asistencial de Docencia e Investigación CADI-UMAG, Chile. e-mail:</w:t>
      </w:r>
      <w:r>
        <w:t xml:space="preserve"> </w:t>
      </w:r>
      <w:hyperlink r:id="rId21">
        <w:r>
          <w:rPr>
            <w:rStyle w:val="Hipervnculo"/>
          </w:rPr>
          <w:t xml:space="preserve">cristian.nunez@umag.cl</w:t>
        </w:r>
      </w:hyperlink>
      <w:r>
        <w:t xml:space="preserve">. Address: Avenida Bulnes 01855, Box 113-D. Phone: +56 61 2201411</w:t>
      </w:r>
    </w:p>
    <w:p>
      <w:r>
        <w:br w:type="page"/>
      </w:r>
    </w:p>
    <w:bookmarkEnd w:id="22"/>
    <w:bookmarkStart w:id="23" w:name="resumen"/>
    <w:p>
      <w:pPr>
        <w:pStyle w:val="Ttulo2"/>
      </w:pPr>
      <w:r>
        <w:t xml:space="preserve">Resumen</w:t>
      </w:r>
    </w:p>
    <w:p>
      <w:pPr>
        <w:pStyle w:val="FirstParagraph"/>
      </w:pPr>
      <w:r>
        <w:rPr>
          <w:bCs/>
          <w:b/>
        </w:rPr>
        <w:t xml:space="preserve">Objetivo</w:t>
      </w:r>
      <w:r>
        <w:t xml:space="preserve">: Evaluar el impacto de una prueba de umbral de potencia funcional (FTP) sobre indicadores de regulación autonómica en ciclistas de alto rendimiento.</w:t>
      </w:r>
      <w:r>
        <w:t xml:space="preserve"> </w:t>
      </w:r>
      <w:r>
        <w:rPr>
          <w:bCs/>
          <w:b/>
        </w:rPr>
        <w:t xml:space="preserve">Material y métodos</w:t>
      </w:r>
      <w:r>
        <w:t xml:space="preserve">: Un total de 12 ciclistas de sexo masculino (edad media 36.1 años ± 11.2) fueron reclutados. Se evaluaron parámetros de composición corporal usando bioimpedanciometría, así como variabilidad de la frecuencia cardíaca (HRV) antes y después de la aplicación de la prueba de FTP.</w:t>
      </w:r>
      <w:r>
        <w:t xml:space="preserve"> </w:t>
      </w:r>
      <w:r>
        <w:rPr>
          <w:bCs/>
          <w:b/>
        </w:rPr>
        <w:t xml:space="preserve">Resultados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Conclusión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Palabras clave</w:t>
      </w:r>
      <w:r>
        <w:t xml:space="preserve">: […].</w:t>
      </w:r>
    </w:p>
    <w:p>
      <w:r>
        <w:br w:type="page"/>
      </w:r>
    </w:p>
    <w:bookmarkEnd w:id="23"/>
    <w:bookmarkStart w:id="24" w:name="abstract"/>
    <w:p>
      <w:pPr>
        <w:pStyle w:val="Ttulo2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To evaluate the impact of a functional power threshold test (FTP) on autonomic regulation indicators in high performance cyclists.</w:t>
      </w:r>
      <w:r>
        <w:t xml:space="preserve"> </w:t>
      </w:r>
      <w:r>
        <w:rPr>
          <w:bCs/>
          <w:b/>
        </w:rPr>
        <w:t xml:space="preserve">Material and methods</w:t>
      </w:r>
      <w:r>
        <w:t xml:space="preserve">: A total of 12 male cyclists (mean age 36.1 years ± 11.2) were recruited. Body composition parameters were evaluated using bioimpedancemetry, as well as heart rate variability (HRV) before and after the application of the FTP assessment.</w:t>
      </w:r>
      <w:r>
        <w:t xml:space="preserve"> </w:t>
      </w:r>
      <w:r>
        <w:rPr>
          <w:bCs/>
          <w:b/>
        </w:rPr>
        <w:t xml:space="preserve">Results</w:t>
      </w:r>
      <w:r>
        <w:t xml:space="preserve">: […].</w:t>
      </w:r>
      <w:r>
        <w:t xml:space="preserve"> </w:t>
      </w:r>
      <w:r>
        <w:rPr>
          <w:bCs/>
          <w:b/>
        </w:rPr>
        <w:t xml:space="preserve">Conclusion</w:t>
      </w:r>
      <w:r>
        <w:t xml:space="preserve">: […].</w:t>
      </w:r>
    </w:p>
    <w:p>
      <w:pPr>
        <w:pStyle w:val="Textoindependiente"/>
      </w:pPr>
      <w:r>
        <w:rPr>
          <w:bCs/>
          <w:b/>
        </w:rPr>
        <w:t xml:space="preserve">Keywords</w:t>
      </w:r>
      <w:r>
        <w:t xml:space="preserve">: […].</w:t>
      </w:r>
    </w:p>
    <w:p>
      <w:r>
        <w:br w:type="page"/>
      </w:r>
    </w:p>
    <w:bookmarkEnd w:id="24"/>
    <w:bookmarkStart w:id="25" w:name="introducción"/>
    <w:p>
      <w:pPr>
        <w:pStyle w:val="Ttulo1"/>
      </w:pPr>
      <w:r>
        <w:t xml:space="preserve">Introducción</w:t>
      </w:r>
    </w:p>
    <w:bookmarkEnd w:id="25"/>
    <w:bookmarkStart w:id="34" w:name="material-y-métodos"/>
    <w:p>
      <w:pPr>
        <w:pStyle w:val="Ttulo1"/>
      </w:pPr>
      <w:r>
        <w:t xml:space="preserve">Material y métodos</w:t>
      </w:r>
    </w:p>
    <w:bookmarkStart w:id="26" w:name="participantes"/>
    <w:p>
      <w:pPr>
        <w:pStyle w:val="Ttulo2"/>
      </w:pPr>
      <w:r>
        <w:t xml:space="preserve">Participantes</w:t>
      </w:r>
    </w:p>
    <w:p>
      <w:pPr>
        <w:pStyle w:val="FirstParagraph"/>
      </w:pPr>
      <w:r>
        <w:t xml:space="preserve">[…].</w:t>
      </w:r>
    </w:p>
    <w:bookmarkEnd w:id="26"/>
    <w:bookmarkStart w:id="31" w:name="instrumentos"/>
    <w:p>
      <w:pPr>
        <w:pStyle w:val="Ttulo2"/>
      </w:pPr>
      <w:r>
        <w:t xml:space="preserve">Instrumentos</w:t>
      </w:r>
    </w:p>
    <w:bookmarkStart w:id="27" w:name="instrumento-1"/>
    <w:p>
      <w:pPr>
        <w:pStyle w:val="Ttulo3"/>
      </w:pPr>
      <w:r>
        <w:t xml:space="preserve">Instrumento 1</w:t>
      </w:r>
    </w:p>
    <w:p>
      <w:pPr>
        <w:pStyle w:val="FirstParagraph"/>
      </w:pPr>
      <w:r>
        <w:t xml:space="preserve">[…].</w:t>
      </w:r>
    </w:p>
    <w:bookmarkEnd w:id="27"/>
    <w:bookmarkStart w:id="28" w:name="instrumento-2"/>
    <w:p>
      <w:pPr>
        <w:pStyle w:val="Ttulo3"/>
      </w:pPr>
      <w:r>
        <w:t xml:space="preserve">Instrumento 2</w:t>
      </w:r>
    </w:p>
    <w:p>
      <w:pPr>
        <w:pStyle w:val="FirstParagraph"/>
      </w:pPr>
      <w:r>
        <w:t xml:space="preserve">[…].</w:t>
      </w:r>
    </w:p>
    <w:bookmarkEnd w:id="28"/>
    <w:bookmarkStart w:id="29" w:name="instrumento-3"/>
    <w:p>
      <w:pPr>
        <w:pStyle w:val="Ttulo3"/>
      </w:pPr>
      <w:r>
        <w:t xml:space="preserve">Instrumento 3</w:t>
      </w:r>
    </w:p>
    <w:p>
      <w:pPr>
        <w:pStyle w:val="FirstParagraph"/>
      </w:pPr>
      <w:r>
        <w:t xml:space="preserve">[…].</w:t>
      </w:r>
    </w:p>
    <w:bookmarkEnd w:id="29"/>
    <w:bookmarkStart w:id="30" w:name="instrumento-4"/>
    <w:p>
      <w:pPr>
        <w:pStyle w:val="Ttulo3"/>
      </w:pPr>
      <w:r>
        <w:t xml:space="preserve">Instrumento 4</w:t>
      </w:r>
    </w:p>
    <w:p>
      <w:pPr>
        <w:pStyle w:val="FirstParagraph"/>
      </w:pPr>
      <w:r>
        <w:t xml:space="preserve">[…].</w:t>
      </w:r>
    </w:p>
    <w:bookmarkEnd w:id="30"/>
    <w:bookmarkEnd w:id="31"/>
    <w:bookmarkStart w:id="32" w:name="procedimiento"/>
    <w:p>
      <w:pPr>
        <w:pStyle w:val="Ttulo2"/>
      </w:pPr>
      <w:r>
        <w:t xml:space="preserve">Procedimiento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32"/>
    <w:bookmarkStart w:id="33" w:name="análisis-estadístico"/>
    <w:p>
      <w:pPr>
        <w:pStyle w:val="Ttulo2"/>
      </w:pPr>
      <w:r>
        <w:t xml:space="preserve">Análisis estadístico</w:t>
      </w:r>
    </w:p>
    <w:p>
      <w:pPr>
        <w:pStyle w:val="FirstParagraph"/>
      </w:pPr>
      <w:r>
        <w:t xml:space="preserve">Para comparar el cambio de los índices autonómicos a la prueba de FTP, estimamos la diferencia media observada y calculamos el intervalo de confianza al 95% utilizando un remuestreo bootstrap con 5000 muestras simuladas, así como la diferencia media estandarizada corregida por sesgos (</w:t>
      </w:r>
      <w:r>
        <w:rPr>
          <w:iCs/>
          <w:i/>
        </w:rPr>
        <w:t xml:space="preserve">g</w:t>
      </w:r>
      <w:r>
        <w:t xml:space="preserve"> </w:t>
      </w:r>
      <w:r>
        <w:t xml:space="preserve">de Hedges). Para evaluar el impacto de una o más variables en la respuesta de los indices de actividad autonómica, ajustamos múltiples modelos de regresión lineal, fijando como variable respuesta el delta (∆) absoluto entre mediciones de HRV del FTP, y como variables predictoras los parámetros de composición corporal, edad, watios ajustados por el peso corporal, potencia media, el puntaje en los cuestionarios de ansiedad, depresión y sensibilidad estacional,</w:t>
      </w:r>
    </w:p>
    <w:p>
      <w:pPr>
        <w:pStyle w:val="Textoindependiente"/>
      </w:pPr>
      <w:r>
        <w:t xml:space="preserve">[…], usando el lenguaje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para el cálculo de estadísticos,</w:t>
      </w:r>
      <w:r>
        <w:t xml:space="preserve"> </w:t>
      </w:r>
      <w:r>
        <w:t xml:space="preserve">(1)</w:t>
      </w:r>
      <w:r>
        <w:t xml:space="preserve">.</w:t>
      </w:r>
    </w:p>
    <w:bookmarkEnd w:id="33"/>
    <w:bookmarkEnd w:id="34"/>
    <w:bookmarkStart w:id="45" w:name="resultados"/>
    <w:p>
      <w:pPr>
        <w:pStyle w:val="Ttulo1"/>
      </w:pPr>
      <w:r>
        <w:t xml:space="preserve">Resultados</w:t>
      </w:r>
    </w:p>
    <w:bookmarkStart w:id="35" w:name="caracterización-basal"/>
    <w:p>
      <w:pPr>
        <w:pStyle w:val="Ttulo2"/>
      </w:pPr>
      <w:r>
        <w:t xml:space="preserve">Caracterización basal</w:t>
      </w:r>
    </w:p>
    <w:bookmarkEnd w:id="35"/>
    <w:bookmarkStart w:id="39" w:name="Xf80b983de8301c45ebeeef5484831fc27516459"/>
    <w:p>
      <w:pPr>
        <w:pStyle w:val="Ttulo2"/>
      </w:pPr>
      <w:r>
        <w:t xml:space="preserve">Evaluando los cambios en los índices de actividad autonómica</w:t>
      </w:r>
    </w:p>
    <w:p>
      <w:pPr>
        <w:pStyle w:val="FirstParagraph"/>
      </w:pPr>
      <w:r>
        <w:t xml:space="preserve">La diferencia media observada en el índice de actividad parasimpática fue de -2.03 puntos (IC</w:t>
      </w:r>
      <w:r>
        <w:rPr>
          <w:vertAlign w:val="subscript"/>
        </w:rPr>
        <w:t xml:space="preserve">95%</w:t>
      </w:r>
      <w:r>
        <w:t xml:space="preserve">[-2.53, -1.62],</w:t>
      </w:r>
      <w:r>
        <w:t xml:space="preserve"> </w:t>
      </w:r>
      <w:r>
        <w:rPr>
          <w:iCs/>
          <w:i/>
        </w:rPr>
        <w:t xml:space="preserve">t</w:t>
      </w:r>
      <w:r>
        <w:t xml:space="preserve">(11) = -8.34,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w:r>
        <w:rPr>
          <w:iCs/>
          <w:i/>
        </w:rPr>
        <w:t xml:space="preserve">g</w:t>
      </w:r>
      <w:r>
        <w:t xml:space="preserve"> </w:t>
      </w:r>
      <w:r>
        <w:t xml:space="preserve">de Hedges = 2.24, IC</w:t>
      </w:r>
      <w:r>
        <w:rPr>
          <w:vertAlign w:val="subscript"/>
        </w:rPr>
        <w:t xml:space="preserve">95%</w:t>
      </w:r>
      <w:r>
        <w:t xml:space="preserve">[1.17, 3.29]), lo que sugiere una disminución en la actividad parasimpática posterior a la aplicación del FTP. El índice de actividad simpática se vió aumentado en 6.28 puntos (IC</w:t>
      </w:r>
      <w:r>
        <w:rPr>
          <w:vertAlign w:val="subscript"/>
        </w:rPr>
        <w:t xml:space="preserve">95%</w:t>
      </w:r>
      <w:r>
        <w:t xml:space="preserve">[4.47, 8.48],</w:t>
      </w:r>
      <w:r>
        <w:t xml:space="preserve"> </w:t>
      </w:r>
      <w:r>
        <w:rPr>
          <w:iCs/>
          <w:i/>
        </w:rPr>
        <w:t xml:space="preserve">t</w:t>
      </w:r>
      <w:r>
        <w:t xml:space="preserve">(11) = 5.83,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w:r>
        <w:rPr>
          <w:iCs/>
          <w:i/>
        </w:rPr>
        <w:t xml:space="preserve">g</w:t>
      </w:r>
      <w:r>
        <w:t xml:space="preserve"> </w:t>
      </w:r>
      <w:r>
        <w:t xml:space="preserve">de Hedges = -1.56, IC</w:t>
      </w:r>
      <w:r>
        <w:rPr>
          <w:vertAlign w:val="subscript"/>
        </w:rPr>
        <w:t xml:space="preserve">95%</w:t>
      </w:r>
      <w:r>
        <w:t xml:space="preserve">[-2.38, -0.72]), mientras que el índice de stress se vió aumentado en 23.1 puntos posterior a la realización del FTP (IC</w:t>
      </w:r>
      <w:r>
        <w:rPr>
          <w:vertAlign w:val="subscript"/>
        </w:rPr>
        <w:t xml:space="preserve">95%</w:t>
      </w:r>
      <w:r>
        <w:t xml:space="preserve">[14.80, 33.27],</w:t>
      </w:r>
      <w:r>
        <w:t xml:space="preserve"> </w:t>
      </w:r>
      <w:r>
        <w:rPr>
          <w:iCs/>
          <w:i/>
        </w:rPr>
        <w:t xml:space="preserve">t</w:t>
      </w:r>
      <w:r>
        <w:t xml:space="preserve">(11) = 4.67,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w:r>
        <w:rPr>
          <w:iCs/>
          <w:i/>
        </w:rPr>
        <w:t xml:space="preserve">g</w:t>
      </w:r>
      <w:r>
        <w:t xml:space="preserve"> </w:t>
      </w:r>
      <w:r>
        <w:t xml:space="preserve">de Hedges = -1.25, IC</w:t>
      </w:r>
      <w:r>
        <w:rPr>
          <w:vertAlign w:val="subscript"/>
        </w:rPr>
        <w:t xml:space="preserve">95%</w:t>
      </w:r>
      <w:r>
        <w:t xml:space="preserve">[-1.96, -0.50]). Las variaciones inter-individuales de los índices autonómicos pueden observarse en la Figura 1.</w:t>
      </w:r>
    </w:p>
    <w:p>
      <w:pPr>
        <w:pStyle w:val="CaptionedFigure"/>
      </w:pPr>
      <w:r>
        <w:drawing>
          <wp:inline>
            <wp:extent cx="5600700" cy="5600700"/>
            <wp:effectExtent b="0" l="0" r="0" t="0"/>
            <wp:docPr descr="Figura 1. Variaciones de índices de regulación autonómica. En el gráfico se presenta la distribución basada en la posición (cajas), la media e intervalo al 95% calculado mediante remuestreo bootstrap (punto y barras de error), y la variación inter-individual en respuesta a la prueba de FTP (lineas conectadas)." title="" id="37" name="Picture"/>
            <a:graphic>
              <a:graphicData uri="http://schemas.openxmlformats.org/drawingml/2006/picture">
                <pic:pic>
                  <pic:nvPicPr>
                    <pic:cNvPr descr="figures/figure-1.tiff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Variaciones de índices de regulación autonómica. En el gráfico se presenta la distribución basada en la posición (cajas), la media e intervalo al 95% calculado mediante remuestreo bootstrap (punto y barras de error), y la variación inter-individual en respuesta a la prueba de FTP (lineas conectadas).</w:t>
      </w:r>
    </w:p>
    <w:bookmarkEnd w:id="39"/>
    <w:bookmarkStart w:id="44" w:name="respuesta-autonómica-ajustada"/>
    <w:p>
      <w:pPr>
        <w:pStyle w:val="Ttulo2"/>
      </w:pPr>
      <w:r>
        <w:t xml:space="preserve">Respuesta autonómica ajustada</w:t>
      </w:r>
    </w:p>
    <w:bookmarkStart w:id="43" w:name="variación-del-índice-pns"/>
    <w:p>
      <w:pPr>
        <w:pStyle w:val="Ttulo3"/>
      </w:pPr>
      <w:r>
        <w:t xml:space="preserve">Variación del índice PNS</w:t>
      </w:r>
    </w:p>
    <w:p>
      <w:pPr>
        <w:pStyle w:val="FirstParagraph"/>
      </w:pPr>
      <w:r>
        <w:t xml:space="preserve">Despues de evaluar mediante modelos de regresión lineal el efecto que tuvieron diferentes medidas de composición corporal, ajustamos un modelo que explica una gran proporción de la varianza observada (</w:t>
      </w:r>
      <w:r>
        <w:rPr>
          <w:iCs/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0.85,</w:t>
      </w:r>
      <w:r>
        <w:t xml:space="preserve"> </w:t>
      </w:r>
      <w:r>
        <w:rPr>
          <w:iCs/>
          <w:i/>
        </w:rPr>
        <w:t xml:space="preserve">F</w:t>
      </w:r>
      <w:r>
        <w:t xml:space="preserve">(2, 8) = 22.50,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w:r>
        <w:rPr>
          <w:iCs/>
          <w:i/>
        </w:rPr>
        <w:t xml:space="preserve">R</w:t>
      </w:r>
      <w:r>
        <w:rPr>
          <w:vertAlign w:val="subscript"/>
        </w:rPr>
        <w:t xml:space="preserve">adj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0.81), el cual considera considera</w:t>
      </w:r>
      <w:r>
        <w:t xml:space="preserve"> </w:t>
      </w:r>
      <m:oMath>
        <m:r>
          <m:t>Δ</m:t>
        </m:r>
        <m:r>
          <m:rPr>
            <m:sty m:val="p"/>
          </m:rPr>
          <m:t>PNS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IME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sSub>
          <m:e>
            <m:r>
              <m:rPr>
                <m:sty m:val="p"/>
              </m:rPr>
              <m:t>WH</m:t>
            </m:r>
          </m:e>
          <m:sub>
            <m:r>
              <m:t>r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En este modelo observamos que por cada incremento en una unidad en IME observamos un disminución proporcional en 1.32 puntos PNS (IC</w:t>
      </w:r>
      <w:r>
        <w:rPr>
          <w:vertAlign w:val="subscript"/>
        </w:rPr>
        <w:t xml:space="preserve">95%</w:t>
      </w:r>
      <w:r>
        <w:t xml:space="preserve">[-1.81, -0.84],</w:t>
      </w:r>
      <w:r>
        <w:t xml:space="preserve"> </w:t>
      </w:r>
      <w:r>
        <w:rPr>
          <w:iCs/>
          <w:i/>
        </w:rPr>
        <w:t xml:space="preserve">t</w:t>
      </w:r>
      <w:r>
        <w:t xml:space="preserve">(8) = -6.25,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mientras que en el caso del WH</w:t>
      </w:r>
      <w:r>
        <w:rPr>
          <w:vertAlign w:val="subscript"/>
        </w:rPr>
        <w:t xml:space="preserve">ratio</w:t>
      </w:r>
      <w:r>
        <w:t xml:space="preserve">, un incremento en una unidad en esta variable se asocia a un incremento en 7.74 puntos en PNS (IC</w:t>
      </w:r>
      <w:r>
        <w:rPr>
          <w:vertAlign w:val="subscript"/>
        </w:rPr>
        <w:t xml:space="preserve">95%</w:t>
      </w:r>
      <w:r>
        <w:t xml:space="preserve">[3.77, 11.72],</w:t>
      </w:r>
      <w:r>
        <w:t xml:space="preserve"> </w:t>
      </w:r>
      <w:r>
        <w:rPr>
          <w:iCs/>
          <w:i/>
        </w:rPr>
        <w:t xml:space="preserve">t</w:t>
      </w:r>
      <w:r>
        <w:t xml:space="preserve">(8) = 4.49,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0.002).</w:t>
      </w:r>
    </w:p>
    <w:p>
      <w:pPr>
        <w:pStyle w:val="Textoindependiente"/>
      </w:pPr>
      <w:r>
        <w:t xml:space="preserve">En el mismo modelo, añadir un término con interacción entre IME y WH</w:t>
      </w:r>
      <w:r>
        <w:rPr>
          <w:vertAlign w:val="subscript"/>
        </w:rPr>
        <w:t xml:space="preserve">ratio</w:t>
      </w:r>
      <w:r>
        <w:t xml:space="preserve"> </w:t>
      </w:r>
      <w:r>
        <w:t xml:space="preserve">no resultó en un efecto significativo (</w:t>
      </w:r>
      <m:oMath>
        <m:r>
          <m:t>β</m:t>
        </m:r>
      </m:oMath>
      <w:r>
        <w:t xml:space="preserve"> </w:t>
      </w:r>
      <w:r>
        <w:t xml:space="preserve">= 4.22, IC</w:t>
      </w:r>
      <w:r>
        <w:rPr>
          <w:vertAlign w:val="subscript"/>
        </w:rPr>
        <w:t xml:space="preserve">95%</w:t>
      </w:r>
      <w:r>
        <w:t xml:space="preserve">[-2.57, 11.00], t(7) = 1.47, p = 0.185), pese a esto, se observó una tendencia que sugiere que a mayor IME, existe un aumento en el ∆PNS por cada incremento en WH</w:t>
      </w:r>
      <w:r>
        <w:rPr>
          <w:vertAlign w:val="subscript"/>
        </w:rPr>
        <w:t xml:space="preserve">ratio</w:t>
      </w:r>
      <w:r>
        <w:t xml:space="preserve">, en donde por cada incremento en una unidad en WH</w:t>
      </w:r>
      <w:r>
        <w:rPr>
          <w:vertAlign w:val="subscript"/>
        </w:rPr>
        <w:t xml:space="preserve">ratio</w:t>
      </w:r>
      <w:r>
        <w:t xml:space="preserve"> </w:t>
      </w:r>
      <w:r>
        <w:t xml:space="preserve">existe un incremento en 5.45 puntos en el índice PNS cuando el sujeto tiene un IME de 8.08 (IC</w:t>
      </w:r>
      <w:r>
        <w:rPr>
          <w:vertAlign w:val="subscript"/>
        </w:rPr>
        <w:t xml:space="preserve">95%</w:t>
      </w:r>
      <w:r>
        <w:t xml:space="preserve">[0.15, 10.75],</w:t>
      </w:r>
      <w:r>
        <w:t xml:space="preserve"> </w:t>
      </w:r>
      <w:r>
        <w:rPr>
          <w:iCs/>
          <w:i/>
        </w:rPr>
        <w:t xml:space="preserve">t</w:t>
      </w:r>
      <w:r>
        <w:t xml:space="preserve">(9) = 2.43,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0.045), pero cuando el sujeto tiene un IME de 9.3, existe un incremente en 10.59 puntos en el índice PNS post FTP (IC</w:t>
      </w:r>
      <w:r>
        <w:rPr>
          <w:vertAlign w:val="subscript"/>
        </w:rPr>
        <w:t xml:space="preserve">95%</w:t>
      </w:r>
      <w:r>
        <w:t xml:space="preserve">[4.63, 16.56],</w:t>
      </w:r>
      <w:r>
        <w:t xml:space="preserve"> </w:t>
      </w:r>
      <w:r>
        <w:rPr>
          <w:iCs/>
          <w:i/>
        </w:rPr>
        <w:t xml:space="preserve">t</w:t>
      </w:r>
      <w:r>
        <w:t xml:space="preserve">(9) = 4.20,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0.045). Este comportamiento se ilustra en la Figura 2.</w:t>
      </w:r>
    </w:p>
    <w:p>
      <w:pPr>
        <w:pStyle w:val="CaptionedFigure"/>
      </w:pPr>
      <w:r>
        <w:drawing>
          <wp:inline>
            <wp:extent cx="5600700" cy="4604267"/>
            <wp:effectExtent b="0" l="0" r="0" t="0"/>
            <wp:docPr descr="Figura 2. Modulación del IME sobre el efecto del WHratio sobre la variación del índice PNS post FTP." title="" id="41" name="Picture"/>
            <a:graphic>
              <a:graphicData uri="http://schemas.openxmlformats.org/drawingml/2006/picture">
                <pic:pic>
                  <pic:nvPicPr>
                    <pic:cNvPr descr="figures/figure-2.tif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0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Modulación del IME sobre el efecto del WH</w:t>
      </w:r>
      <w:r>
        <w:rPr>
          <w:vertAlign w:val="subscript"/>
        </w:rPr>
        <w:t xml:space="preserve">ratio</w:t>
      </w:r>
      <w:r>
        <w:t xml:space="preserve"> </w:t>
      </w:r>
      <w:r>
        <w:t xml:space="preserve">sobre la variación del índice PNS post FTP.</w:t>
      </w:r>
    </w:p>
    <w:p>
      <w:pPr>
        <w:pStyle w:val="Textoindependiente"/>
      </w:pPr>
      <w:r>
        <w:t xml:space="preserve">Al analizar las variaciones observadas en el índice SNS, hallamos que el mejor modelo fue el que consideró al IMO como único predictor (R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0.81,</w:t>
      </w:r>
      <w:r>
        <w:t xml:space="preserve"> </w:t>
      </w:r>
      <w:r>
        <w:rPr>
          <w:iCs/>
          <w:i/>
        </w:rPr>
        <w:t xml:space="preserve">F</w:t>
      </w:r>
      <w:r>
        <w:t xml:space="preserve">(1, 10) = 43.87,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0.001,</w:t>
      </w:r>
      <w:r>
        <w:t xml:space="preserve"> </w:t>
      </w:r>
      <w:r>
        <w:rPr>
          <w:iCs/>
          <w:i/>
        </w:rPr>
        <w:t xml:space="preserve">R</w:t>
      </w:r>
      <w:r>
        <w:rPr>
          <w:vertAlign w:val="superscript"/>
        </w:rPr>
        <w:t xml:space="preserve">2</w:t>
      </w:r>
      <w:r>
        <w:rPr>
          <w:vertAlign w:val="subscript"/>
        </w:rPr>
        <w:t xml:space="preserve">adj</w:t>
      </w:r>
      <w:r>
        <w:t xml:space="preserve"> </w:t>
      </w:r>
      <w:r>
        <w:t xml:space="preserve">= 0.80), donde por cada incremento en una unidad en IMO, observamos un incremento proporcional en 11.63 unidades en el índice SNS (IC</w:t>
      </w:r>
      <w:r>
        <w:rPr>
          <w:vertAlign w:val="subscript"/>
        </w:rPr>
        <w:t xml:space="preserve">95%</w:t>
      </w:r>
      <w:r>
        <w:t xml:space="preserve">[7.72, 15.55],</w:t>
      </w:r>
      <w:r>
        <w:t xml:space="preserve"> </w:t>
      </w:r>
      <w:r>
        <w:rPr>
          <w:iCs/>
          <w:i/>
        </w:rPr>
        <w:t xml:space="preserve">t</w:t>
      </w:r>
      <w:r>
        <w:t xml:space="preserve">(10) = 6.62,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representado como</w:t>
      </w:r>
      <w:r>
        <w:t xml:space="preserve"> </w:t>
      </w:r>
      <m:oMath>
        <m:r>
          <m:t>Δ</m:t>
        </m:r>
        <m:r>
          <m:rPr>
            <m:sty m:val="p"/>
          </m:rPr>
          <m:t>SNS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r>
          <m:rPr>
            <m:sty m:val="p"/>
          </m:rPr>
          <m:t>IMO</m:t>
        </m:r>
        <m:r>
          <m:rPr>
            <m:sty m:val="p"/>
          </m:rPr>
          <m:t>+</m:t>
        </m:r>
        <m:r>
          <m:t>ϵ</m:t>
        </m:r>
      </m:oMath>
      <w:r>
        <w:t xml:space="preserve">. El efecto de IME se mantuvo constante al incluir otros términos en la ecuación como la edad y el BMI (</w:t>
      </w:r>
      <m:oMath>
        <m:r>
          <m:t>β</m:t>
        </m:r>
      </m:oMath>
      <w:r>
        <w:t xml:space="preserve"> </w:t>
      </w:r>
      <w:r>
        <w:t xml:space="preserve">= 11.65, IC</w:t>
      </w:r>
      <w:r>
        <w:rPr>
          <w:vertAlign w:val="subscript"/>
        </w:rPr>
        <w:t xml:space="preserve">95%</w:t>
      </w:r>
      <w:r>
        <w:t xml:space="preserve">[6.69, 16.61],</w:t>
      </w:r>
      <w:r>
        <w:t xml:space="preserve"> </w:t>
      </w:r>
      <w:r>
        <w:rPr>
          <w:iCs/>
          <w:i/>
        </w:rPr>
        <w:t xml:space="preserve">t</w:t>
      </w:r>
      <w:r>
        <w:t xml:space="preserve">(8) = 5.41,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0.001). Otro índice evaluado fue el de</w:t>
      </w:r>
      <w:r>
        <w:t xml:space="preserve"> </w:t>
      </w:r>
      <w:r>
        <w:rPr>
          <w:iCs/>
          <w:i/>
        </w:rPr>
        <w:t xml:space="preserve">stress</w:t>
      </w:r>
      <w:r>
        <w:t xml:space="preserve">, sin embargo y al tener un comportamiento similar que el índice SNS (</w:t>
      </w:r>
      <w:r>
        <w:rPr>
          <w:iCs/>
          <w:i/>
        </w:rPr>
        <w:t xml:space="preserve">r</w:t>
      </w:r>
      <w:r>
        <w:rPr>
          <w:vertAlign w:val="subscript"/>
        </w:rPr>
        <w:t xml:space="preserve">Pearson</w:t>
      </w:r>
      <w:r>
        <w:t xml:space="preserve"> </w:t>
      </w:r>
      <w:r>
        <w:t xml:space="preserve">= 0.99, IC</w:t>
      </w:r>
      <w:r>
        <w:rPr>
          <w:vertAlign w:val="subscript"/>
        </w:rPr>
        <w:t xml:space="preserve">95%</w:t>
      </w:r>
      <w:r>
        <w:t xml:space="preserve">[0.97, 1.00],</w:t>
      </w:r>
      <w:r>
        <w:t xml:space="preserve"> </w:t>
      </w:r>
      <w:r>
        <w:rPr>
          <w:iCs/>
          <w:i/>
        </w:rPr>
        <w:t xml:space="preserve">t</w:t>
      </w:r>
      <w:r>
        <w:t xml:space="preserve">(10) = 24.68,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0.001), observamos una asociación similar entre IMO y el índice de</w:t>
      </w:r>
      <w:r>
        <w:t xml:space="preserve"> </w:t>
      </w:r>
      <w:r>
        <w:rPr>
          <w:iCs/>
          <w:i/>
        </w:rPr>
        <w:t xml:space="preserve">stress</w:t>
      </w:r>
      <w:r>
        <w:t xml:space="preserve">. Otras configuraciones de predictores se evaluaron, sin embargo no fueron capaces de explicar una proporción significativa de la varianza observada en nuestros datos.</w:t>
      </w:r>
    </w:p>
    <w:bookmarkEnd w:id="43"/>
    <w:bookmarkEnd w:id="44"/>
    <w:bookmarkEnd w:id="45"/>
    <w:bookmarkStart w:id="46" w:name="discusión"/>
    <w:p>
      <w:pPr>
        <w:pStyle w:val="Ttulo1"/>
      </w:pPr>
      <w:r>
        <w:t xml:space="preserve">Discusión</w:t>
      </w:r>
    </w:p>
    <w:p>
      <w:pPr>
        <w:pStyle w:val="FirstParagraph"/>
      </w:pPr>
      <w:r>
        <w:t xml:space="preserve">[…].</w:t>
      </w:r>
    </w:p>
    <w:p>
      <w:pPr>
        <w:pStyle w:val="Textoindependiente"/>
      </w:pPr>
      <w:r>
        <w:t xml:space="preserve">[…].</w:t>
      </w:r>
    </w:p>
    <w:p>
      <w:pPr>
        <w:pStyle w:val="Textoindependiente"/>
      </w:pPr>
      <w:r>
        <w:t xml:space="preserve">[…].</w:t>
      </w:r>
    </w:p>
    <w:bookmarkEnd w:id="46"/>
    <w:bookmarkStart w:id="47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[…].</w:t>
      </w:r>
    </w:p>
    <w:bookmarkEnd w:id="47"/>
    <w:bookmarkStart w:id="48" w:name="agradecimientos"/>
    <w:p>
      <w:pPr>
        <w:pStyle w:val="Ttulo1"/>
      </w:pPr>
      <w:r>
        <w:t xml:space="preserve">Agradecimientos</w:t>
      </w:r>
    </w:p>
    <w:p>
      <w:pPr>
        <w:pStyle w:val="FirstParagraph"/>
      </w:pPr>
      <w:r>
        <w:t xml:space="preserve">[…].</w:t>
      </w:r>
    </w:p>
    <w:bookmarkEnd w:id="48"/>
    <w:bookmarkStart w:id="49" w:name="conflictos-de-interés"/>
    <w:p>
      <w:pPr>
        <w:pStyle w:val="Ttulo1"/>
      </w:pPr>
      <w:r>
        <w:t xml:space="preserve">Conflictos de interés</w:t>
      </w:r>
    </w:p>
    <w:p>
      <w:pPr>
        <w:pStyle w:val="FirstParagraph"/>
      </w:pPr>
      <w:r>
        <w:t xml:space="preserve">[…].</w:t>
      </w:r>
    </w:p>
    <w:bookmarkEnd w:id="49"/>
    <w:bookmarkStart w:id="53" w:name="referencias"/>
    <w:p>
      <w:pPr>
        <w:pStyle w:val="Ttulo1"/>
      </w:pPr>
      <w:r>
        <w:t xml:space="preserve">Referencias</w:t>
      </w:r>
    </w:p>
    <w:bookmarkStart w:id="52" w:name="refs"/>
    <w:bookmarkStart w:id="51" w:name="ref-rlanguage"/>
    <w:p>
      <w:pPr>
        <w:pStyle w:val="Bibliografa"/>
      </w:pPr>
      <w:r>
        <w:t xml:space="preserve">1.</w:t>
      </w:r>
      <w:r>
        <w:t xml:space="preserve"> </w:t>
      </w:r>
      <w:r>
        <w:t xml:space="preserve">	</w:t>
      </w:r>
      <w:r>
        <w:t xml:space="preserve">R Core Team. R: A language and environment for statistical computing [Internet]. Vienna, Austria: R Foundation for Statistical Computing; 2021. Available from:</w:t>
      </w:r>
      <w:r>
        <w:t xml:space="preserve"> </w:t>
      </w:r>
      <w:hyperlink r:id="rId50">
        <w:r>
          <w:rPr>
            <w:rStyle w:val="Hipervnculo"/>
          </w:rPr>
          <w:t xml:space="preserve">https://www.R-project.org/</w:t>
        </w:r>
      </w:hyperlink>
    </w:p>
    <w:bookmarkEnd w:id="51"/>
    <w:bookmarkEnd w:id="52"/>
    <w:bookmarkEnd w:id="53"/>
    <w:sectPr w:rsidR="006E2261" w:rsidSect="009F021F">
      <w:pgSz w:h="15840" w:w="12240"/>
      <w:pgMar w:bottom="1417" w:footer="720" w:gutter="0" w:header="720" w:left="1701" w:right="1701" w:top="1417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4CEC8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CB849F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A1023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A6CB61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E8393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AE72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CE07EB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0B8C8C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EBC09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F3819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2BAE3CC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Textoindependiente"/>
    <w:uiPriority w:val="9"/>
    <w:qFormat/>
    <w:rsid w:val="00264987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Ttulo5" w:type="paragraph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Ttulo6" w:type="paragraph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DDDDD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DDDDD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DDDDD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  <w:rsid w:val="00C61F2B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264987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rsid w:val="00264987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styleId="Fecha" w:type="paragraph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Textoindependiente"/>
    <w:qFormat/>
    <w:rsid w:val="00264987"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A17F09"/>
    <w:pPr>
      <w:ind w:hanging="567" w:left="567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C61F2B"/>
    <w:rPr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A5A5A5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ipervnculovisitado" w:type="character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customStyle="1" w:styleId="TextoindependienteCar" w:type="characte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styleId="Nmerodelnea" w:type="character">
    <w:name w:val="line number"/>
    <w:basedOn w:val="Fuentedeprrafopredeter"/>
    <w:semiHidden/>
    <w:unhideWhenUsed/>
    <w:rsid w:val="009F021F"/>
  </w:style>
  <w:style w:customStyle="1" w:styleId="Afiliation" w:type="paragraph">
    <w:name w:val="Afiliation"/>
    <w:basedOn w:val="Textoindependiente"/>
    <w:qFormat/>
    <w:rsid w:val="00C61593"/>
    <w:pPr>
      <w:spacing w:after="0" w:before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tiff" /><Relationship Type="http://schemas.openxmlformats.org/officeDocument/2006/relationships/image" Id="rId40" Target="media/rId40.tiff" /><Relationship Type="http://schemas.openxmlformats.org/officeDocument/2006/relationships/hyperlink" Id="rId20" Target="https://nimach.org" TargetMode="External" /><Relationship Type="http://schemas.openxmlformats.org/officeDocument/2006/relationships/hyperlink" Id="rId50" Target="https://www.R-project.org/" TargetMode="External" /><Relationship Type="http://schemas.openxmlformats.org/officeDocument/2006/relationships/hyperlink" Id="rId21" Target="mailto:cristian.nunez@umag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imach.org" TargetMode="External" /><Relationship Type="http://schemas.openxmlformats.org/officeDocument/2006/relationships/hyperlink" Id="rId50" Target="https://www.R-project.org/" TargetMode="External" /><Relationship Type="http://schemas.openxmlformats.org/officeDocument/2006/relationships/hyperlink" Id="rId21" Target="mailto:cristian.nunez@umag.cl" TargetMode="External" 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2022-10-18T19:24:57Z</dcterms:created>
  <dcterms:modified xsi:type="dcterms:W3CDTF">2022-10-18T19:24:57Z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