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5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Enhancing Cycling Performance: Unveiling the Interplay of Jump Force and Neuromuscular Efficiency in Elite Cyclists.</w:t>
      </w:r>
    </w:p>
    <w:p>
      <w:pPr>
        <w:pStyle w:val="Textoindependiente"/>
      </w:pPr>
      <w:r>
        <w:rPr>
          <w:bCs/>
          <w:b/>
        </w:rPr>
        <w:t xml:space="preserve">Authors</w:t>
      </w:r>
      <w:r>
        <w:t xml:space="preserve">: Diego Mabe Castro</w:t>
      </w:r>
      <w:r>
        <w:rPr>
          <w:vertAlign w:val="superscript"/>
        </w:rPr>
        <w:t xml:space="preserve">1,2</w:t>
      </w:r>
      <w:r>
        <w:t xml:space="preserve">, Matías Castillo-Aguilar</w:t>
      </w:r>
      <w:r>
        <w:rPr>
          <w:vertAlign w:val="superscript"/>
        </w:rPr>
        <w:t xml:space="preserve">1,2</w:t>
      </w:r>
      <w:r>
        <w:t xml:space="preserve">, Cristian Núñez-Espinoza</w:t>
      </w:r>
      <w:r>
        <w:rPr>
          <w:vertAlign w:val="superscript"/>
        </w:rPr>
        <w:t xml:space="preserve">2,3</w:t>
      </w:r>
      <w:r>
        <w:t xml:space="preserve">*.</w:t>
      </w:r>
    </w:p>
    <w:p>
      <w:pPr>
        <w:pStyle w:val="Afiliation"/>
      </w:pPr>
      <w:r>
        <w:rPr>
          <w:vertAlign w:val="superscript"/>
        </w:rPr>
        <w:t xml:space="preserve">1</w:t>
      </w:r>
      <w:r>
        <w:t xml:space="preserve"> Kinesiology Department, University of Magallanes, Punta Arenas, Chile.</w:t>
      </w:r>
    </w:p>
    <w:p>
      <w:pPr>
        <w:pStyle w:val="Afiliation"/>
      </w:pPr>
      <w:r>
        <w:rPr>
          <w:vertAlign w:val="superscript"/>
        </w:rPr>
        <w:t xml:space="preserve">2</w:t>
      </w:r>
      <w:r>
        <w:t xml:space="preserve"> Centro Asistencial de Docencia e Investigación (CADI-UMAG),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Cs/>
          <w:b/>
        </w:rPr>
        <w:t xml:space="preserve">Objective</w:t>
      </w:r>
      <w:r>
        <w:t xml:space="preserve">: […].</w:t>
      </w:r>
      <w:r>
        <w:t xml:space="preserve"> </w:t>
      </w:r>
      <w:r>
        <w:rPr>
          <w:bCs/>
          <w:b/>
        </w:rPr>
        <w:t xml:space="preserve">Material and methods</w:t>
      </w:r>
      <w:r>
        <w:t xml:space="preserve">: […].</w:t>
      </w:r>
      <w:r>
        <w:t xml:space="preserve"> </w:t>
      </w:r>
      <w:r>
        <w:rPr>
          <w:bCs/>
          <w:b/>
        </w:rPr>
        <w:t xml:space="preserve">Results</w:t>
      </w:r>
      <w:r>
        <w:t xml:space="preserve">: […].</w:t>
      </w:r>
      <w:r>
        <w:t xml:space="preserve"> </w:t>
      </w:r>
      <w:r>
        <w:rPr>
          <w:bCs/>
          <w:b/>
        </w:rPr>
        <w:t xml:space="preserve">Conclusion</w:t>
      </w:r>
      <w:r>
        <w:t xml:space="preserve">: […].</w:t>
      </w:r>
    </w:p>
    <w:p>
      <w:pPr>
        <w:pStyle w:val="Textoindependiente"/>
      </w:pPr>
      <w:r>
        <w:rPr>
          <w:bCs/>
          <w:b/>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w:t>
      </w:r>
    </w:p>
    <w:p>
      <w:pPr>
        <w:pStyle w:val="Textoindependiente"/>
      </w:pPr>
      <w:r>
        <w:t xml:space="preserve">[…].</w:t>
      </w:r>
    </w:p>
    <w:p>
      <w:pPr>
        <w:pStyle w:val="Textoindependiente"/>
      </w:pPr>
      <w:r>
        <w:t xml:space="preserve">[…].</w:t>
      </w:r>
    </w:p>
    <w:bookmarkEnd w:id="23"/>
    <w:bookmarkStart w:id="43" w:name="material-y-methods"/>
    <w:p>
      <w:pPr>
        <w:pStyle w:val="Ttulo1"/>
      </w:pPr>
      <w:r>
        <w:t xml:space="preserve">Material y methods</w:t>
      </w:r>
    </w:p>
    <w:bookmarkStart w:id="24" w:name="participants"/>
    <w:p>
      <w:pPr>
        <w:pStyle w:val="Ttulo2"/>
      </w:pPr>
      <w:r>
        <w:t xml:space="preserve">Participants</w:t>
      </w:r>
    </w:p>
    <w:p>
      <w:pPr>
        <w:pStyle w:val="FirstParagraph"/>
      </w:pPr>
      <w:r>
        <w:t xml:space="preserve">[…].</w:t>
      </w:r>
    </w:p>
    <w:bookmarkEnd w:id="24"/>
    <w:bookmarkStart w:id="29" w:name="instruments"/>
    <w:p>
      <w:pPr>
        <w:pStyle w:val="Ttulo2"/>
      </w:pPr>
      <w:r>
        <w:t xml:space="preserve">Instruments</w:t>
      </w:r>
    </w:p>
    <w:bookmarkStart w:id="25" w:name="instrument-1"/>
    <w:p>
      <w:pPr>
        <w:pStyle w:val="Ttulo3"/>
      </w:pPr>
      <w:r>
        <w:t xml:space="preserve">Instrument 1</w:t>
      </w:r>
    </w:p>
    <w:p>
      <w:pPr>
        <w:pStyle w:val="FirstParagraph"/>
      </w:pPr>
      <w:r>
        <w:t xml:space="preserve">[…].</w:t>
      </w:r>
    </w:p>
    <w:bookmarkEnd w:id="25"/>
    <w:bookmarkStart w:id="26" w:name="instrument-2"/>
    <w:p>
      <w:pPr>
        <w:pStyle w:val="Ttulo3"/>
      </w:pPr>
      <w:r>
        <w:t xml:space="preserve">Instrument 2</w:t>
      </w:r>
    </w:p>
    <w:p>
      <w:pPr>
        <w:pStyle w:val="FirstParagraph"/>
      </w:pPr>
      <w:r>
        <w:t xml:space="preserve">[…].</w:t>
      </w:r>
    </w:p>
    <w:bookmarkEnd w:id="26"/>
    <w:bookmarkStart w:id="27" w:name="instrument-3"/>
    <w:p>
      <w:pPr>
        <w:pStyle w:val="Ttulo3"/>
      </w:pPr>
      <w:r>
        <w:t xml:space="preserve">Instrument 3</w:t>
      </w:r>
    </w:p>
    <w:p>
      <w:pPr>
        <w:pStyle w:val="FirstParagraph"/>
      </w:pPr>
      <w:r>
        <w:t xml:space="preserve">[…].</w:t>
      </w:r>
    </w:p>
    <w:bookmarkEnd w:id="27"/>
    <w:bookmarkStart w:id="28" w:name="instrument-4"/>
    <w:p>
      <w:pPr>
        <w:pStyle w:val="Ttulo3"/>
      </w:pPr>
      <w:r>
        <w:t xml:space="preserve">Instrument 4</w:t>
      </w:r>
    </w:p>
    <w:p>
      <w:pPr>
        <w:pStyle w:val="FirstParagraph"/>
      </w:pPr>
      <w:r>
        <w:t xml:space="preserve">[…].</w:t>
      </w:r>
    </w:p>
    <w:bookmarkEnd w:id="28"/>
    <w:bookmarkEnd w:id="29"/>
    <w:bookmarkStart w:id="30" w:name="procedure"/>
    <w:p>
      <w:pPr>
        <w:pStyle w:val="Ttulo2"/>
      </w:pPr>
      <w:r>
        <w:t xml:space="preserve">Procedure</w:t>
      </w:r>
    </w:p>
    <w:p>
      <w:pPr>
        <w:pStyle w:val="FirstParagraph"/>
      </w:pPr>
      <w:r>
        <w:t xml:space="preserve">[…].</w:t>
      </w:r>
    </w:p>
    <w:p>
      <w:pPr>
        <w:pStyle w:val="Textoindependiente"/>
      </w:pPr>
      <w:r>
        <w:t xml:space="preserve">[…].</w:t>
      </w:r>
    </w:p>
    <w:bookmarkEnd w:id="30"/>
    <w:bookmarkStart w:id="42" w:name="statistical-analyses"/>
    <w:p>
      <w:pPr>
        <w:pStyle w:val="Ttulo2"/>
      </w:pPr>
      <w:r>
        <w:t xml:space="preserve">Statistical Analyses</w:t>
      </w:r>
    </w:p>
    <w:bookmarkStart w:id="31" w:name="framework"/>
    <w:p>
      <w:pPr>
        <w:pStyle w:val="Ttulo3"/>
      </w:pPr>
      <w:r>
        <w:t xml:space="preserve">Framework</w:t>
      </w:r>
    </w:p>
    <w:p>
      <w:pPr>
        <w:pStyle w:val="FirstParagraph"/>
      </w:pPr>
      <w:r>
        <w:t xml:space="preserve">We used a Bayesian framework to explore the complex interactions among key performance factors in 11 high-performance cyclists. Bayesian models are preferred over traditional frequentist methods because they can quantify uncertainty and estimate model parameters more comprehensively. Moreover, Bayesian inference allows for the inclusion of prior knowledge about model parameters, which enables the integration of existing findings and past research. This enhances robustness, especially when dealing with limited data or complex models.</w:t>
      </w:r>
    </w:p>
    <w:p>
      <w:pPr>
        <w:pStyle w:val="Textoindependiente"/>
      </w:pPr>
      <w:r>
        <w:t xml:space="preserve">The Bayesian framework provides posterior distributions, allowing for a probabilistic interpretation of parameter estimates with credible intervals that reflect parameter uncertainty. Through Bayesian generalized linear models, we analyzed the relationships between neuromuscular efficiency through EMG recordings during FTP test and performance variables associated with jump and FTP test itself. In addition to this we also considered the inclusion of moderating variables to take into account for confounding variables in the models.</w:t>
      </w:r>
    </w:p>
    <w:bookmarkEnd w:id="31"/>
    <w:bookmarkStart w:id="36" w:name="model-based-approach"/>
    <w:p>
      <w:pPr>
        <w:pStyle w:val="Ttulo3"/>
      </w:pPr>
      <w:r>
        <w:t xml:space="preserve">Model-based approach</w:t>
      </w:r>
    </w:p>
    <w:bookmarkStart w:id="33" w:name="neuromuscular-efficiency"/>
    <w:p>
      <w:pPr>
        <w:pStyle w:val="Ttulo4"/>
      </w:pPr>
      <w:r>
        <w:t xml:space="preserve">Neuromuscular efficiency</w:t>
      </w:r>
    </w:p>
    <w:p>
      <w:pPr>
        <w:pStyle w:val="FirstParagraph"/>
      </w:pPr>
      <w:r>
        <w:t xml:space="preserve">In the first group of models, our goal was to explore how EMG reflects neuromuscular efficiency under a high taxing assessment, and how this is influenced by key performance indicators such as power derived from FTP, and jumping metrics. The model can be expressed as follows:</w:t>
      </w:r>
    </w:p>
    <w:p>
      <w:pPr>
        <w:pStyle w:val="Textoindependiente"/>
      </w:pPr>
      <w:bookmarkStart w:id="32" w:name="eq-first-model"/>
      <m:oMathPara>
        <m:oMathParaPr>
          <m:jc m:val="center"/>
        </m:oMathParaPr>
        <m:oMath>
          <m:m>
            <m:mPr>
              <m:baseJc m:val="center"/>
              <m:plcHide m:val="1"/>
              <m:mcs>
                <m:mc>
                  <m:mcPr>
                    <m:mcJc m:val="right"/>
                    <m:count m:val="1"/>
                  </m:mcPr>
                </m:mc>
                <m:mc>
                  <m:mcPr>
                    <m:mcJc m:val="left"/>
                    <m:count m:val="1"/>
                  </m:mcPr>
                </m:mc>
              </m:mcs>
            </m:mPr>
            <m:mr>
              <m:e>
                <m:sSub>
                  <m:e>
                    <m:r>
                      <m:rPr>
                        <m:nor/>
                        <m:sty m:val="p"/>
                      </m:rPr>
                      <m:t>EMG</m:t>
                    </m:r>
                  </m:e>
                  <m:sub>
                    <m:r>
                      <m:t>i</m:t>
                    </m:r>
                  </m:sub>
                </m:sSub>
              </m:e>
              <m:e>
                <m:r>
                  <m:rPr>
                    <m:sty m:val="p"/>
                  </m:rPr>
                  <m:t>∼</m:t>
                </m:r>
                <m:r>
                  <m:rPr>
                    <m:nor/>
                    <m:sty m:val="p"/>
                  </m:rPr>
                  <m:t>Normal</m:t>
                </m:r>
                <m:d>
                  <m:dPr>
                    <m:begChr m:val="("/>
                    <m:endChr m:val=")"/>
                    <m:sepChr m:val=""/>
                    <m:grow/>
                  </m:dPr>
                  <m:e>
                    <m:sSub>
                      <m:e>
                        <m:r>
                          <m:t>μ</m:t>
                        </m:r>
                      </m:e>
                      <m:sub>
                        <m:r>
                          <m:t>i</m:t>
                        </m:r>
                      </m:sub>
                    </m:sSub>
                    <m:r>
                      <m:rPr>
                        <m:sty m:val="p"/>
                      </m:rPr>
                      <m:t>,</m:t>
                    </m:r>
                    <m:r>
                      <m:t>σ</m:t>
                    </m:r>
                  </m:e>
                </m:d>
              </m:e>
            </m:mr>
            <m:mr>
              <m:e>
                <m:d>
                  <m:dPr>
                    <m:begChr m:val="("/>
                    <m:endChr m:val=")"/>
                    <m:sepChr m:val=""/>
                    <m:grow/>
                  </m:dPr>
                  <m:e>
                    <m:r>
                      <m:t>1</m:t>
                    </m:r>
                  </m:e>
                </m:d>
                <m:r>
                  <m:t> </m:t>
                </m:r>
                <m:sSub>
                  <m:e>
                    <m:r>
                      <m:t>μ</m:t>
                    </m:r>
                  </m:e>
                  <m:sub>
                    <m:r>
                      <m:t>i</m:t>
                    </m:r>
                  </m:sub>
                </m:sSub>
              </m:e>
              <m:e>
                <m:r>
                  <m:rPr>
                    <m:sty m:val="p"/>
                  </m:rPr>
                  <m:t>=</m:t>
                </m:r>
                <m:r>
                  <m:t>α</m:t>
                </m:r>
                <m:r>
                  <m:rPr>
                    <m:sty m:val="p"/>
                  </m:rPr>
                  <m:t>+</m:t>
                </m:r>
                <m:sSub>
                  <m:e>
                    <m:r>
                      <m:t>β</m:t>
                    </m:r>
                  </m:e>
                  <m:sub>
                    <m:r>
                      <m:rPr>
                        <m:nor/>
                        <m:sty m:val="p"/>
                      </m:rPr>
                      <m:t>JH</m:t>
                    </m:r>
                  </m:sub>
                </m:sSub>
                <m:r>
                  <m:rPr>
                    <m:sty m:val="p"/>
                  </m:rPr>
                  <m:t>⋅</m:t>
                </m:r>
                <m:sSub>
                  <m:e>
                    <m:r>
                      <m:rPr>
                        <m:nor/>
                        <m:sty m:val="p"/>
                      </m:rPr>
                      <m:t>JH</m:t>
                    </m:r>
                  </m:e>
                  <m:sub>
                    <m:r>
                      <m:t>i</m:t>
                    </m:r>
                  </m:sub>
                </m:sSub>
              </m:e>
            </m:mr>
            <m:mr>
              <m:e>
                <m:d>
                  <m:dPr>
                    <m:begChr m:val="("/>
                    <m:endChr m:val=")"/>
                    <m:sepChr m:val=""/>
                    <m:grow/>
                  </m:dPr>
                  <m:e>
                    <m:r>
                      <m:t>2</m:t>
                    </m:r>
                  </m:e>
                </m:d>
                <m:r>
                  <m:t> </m:t>
                </m:r>
                <m:sSub>
                  <m:e>
                    <m:r>
                      <m:t>μ</m:t>
                    </m:r>
                  </m:e>
                  <m:sub>
                    <m:r>
                      <m:t>i</m:t>
                    </m:r>
                  </m:sub>
                </m:sSub>
              </m:e>
              <m:e>
                <m:r>
                  <m:rPr>
                    <m:sty m:val="p"/>
                  </m:rPr>
                  <m:t>=</m:t>
                </m:r>
                <m:r>
                  <m:t>α</m:t>
                </m:r>
                <m:r>
                  <m:rPr>
                    <m:sty m:val="p"/>
                  </m:rPr>
                  <m:t>+</m:t>
                </m:r>
                <m:sSub>
                  <m:e>
                    <m:r>
                      <m:t>β</m:t>
                    </m:r>
                  </m:e>
                  <m:sub>
                    <m:r>
                      <m:rPr>
                        <m:nor/>
                        <m:sty m:val="p"/>
                      </m:rPr>
                      <m:t>FTP</m:t>
                    </m:r>
                  </m:sub>
                </m:sSub>
                <m:r>
                  <m:rPr>
                    <m:sty m:val="p"/>
                  </m:rPr>
                  <m:t>⋅</m:t>
                </m:r>
                <m:sSub>
                  <m:e>
                    <m:r>
                      <m:rPr>
                        <m:nor/>
                        <m:sty m:val="p"/>
                      </m:rPr>
                      <m:t>FTP</m:t>
                    </m:r>
                  </m:e>
                  <m:sub>
                    <m:r>
                      <m:t>i</m:t>
                    </m:r>
                  </m:sub>
                </m:sSub>
              </m:e>
            </m:mr>
            <m:mr>
              <m:e>
                <m:d>
                  <m:dPr>
                    <m:begChr m:val="("/>
                    <m:endChr m:val=")"/>
                    <m:sepChr m:val=""/>
                    <m:grow/>
                  </m:dPr>
                  <m:e>
                    <m:r>
                      <m:t>3</m:t>
                    </m:r>
                  </m:e>
                </m:d>
                <m:r>
                  <m:t> </m:t>
                </m:r>
                <m:sSub>
                  <m:e>
                    <m:r>
                      <m:t>μ</m:t>
                    </m:r>
                  </m:e>
                  <m:sub>
                    <m:r>
                      <m:t>i</m:t>
                    </m:r>
                  </m:sub>
                </m:sSub>
              </m:e>
              <m:e>
                <m:r>
                  <m:rPr>
                    <m:sty m:val="p"/>
                  </m:rPr>
                  <m:t>=</m:t>
                </m:r>
                <m:r>
                  <m:t>α</m:t>
                </m:r>
                <m:r>
                  <m:rPr>
                    <m:sty m:val="p"/>
                  </m:rPr>
                  <m:t>+</m:t>
                </m:r>
                <m:sSub>
                  <m:e>
                    <m:r>
                      <m:t>β</m:t>
                    </m:r>
                  </m:e>
                  <m:sub>
                    <m:r>
                      <m:rPr>
                        <m:nor/>
                        <m:sty m:val="p"/>
                      </m:rPr>
                      <m:t>AUI</m:t>
                    </m:r>
                  </m:sub>
                </m:sSub>
                <m:r>
                  <m:rPr>
                    <m:sty m:val="p"/>
                  </m:rPr>
                  <m:t>⋅</m:t>
                </m:r>
                <m:sSub>
                  <m:e>
                    <m:r>
                      <m:rPr>
                        <m:nor/>
                        <m:sty m:val="p"/>
                      </m:rPr>
                      <m:t>AUI</m:t>
                    </m:r>
                  </m:e>
                  <m:sub>
                    <m:r>
                      <m:t>i</m:t>
                    </m:r>
                  </m:sub>
                </m:sSub>
              </m:e>
            </m:mr>
            <m:mr>
              <m:e>
                <m:d>
                  <m:dPr>
                    <m:begChr m:val="("/>
                    <m:endChr m:val=")"/>
                    <m:sepChr m:val=""/>
                    <m:grow/>
                  </m:dPr>
                  <m:e>
                    <m:r>
                      <m:t>4</m:t>
                    </m:r>
                  </m:e>
                </m:d>
                <m:r>
                  <m:t> </m:t>
                </m:r>
                <m:sSub>
                  <m:e>
                    <m:r>
                      <m:t>μ</m:t>
                    </m:r>
                  </m:e>
                  <m:sub>
                    <m:r>
                      <m:t>i</m:t>
                    </m:r>
                  </m:sub>
                </m:sSub>
              </m:e>
              <m:e>
                <m:r>
                  <m:rPr>
                    <m:sty m:val="p"/>
                  </m:rPr>
                  <m:t>=</m:t>
                </m:r>
                <m:r>
                  <m:t>α</m:t>
                </m:r>
                <m:r>
                  <m:rPr>
                    <m:sty m:val="p"/>
                  </m:rPr>
                  <m:t>+</m:t>
                </m:r>
                <m:sSub>
                  <m:e>
                    <m:r>
                      <m:t>β</m:t>
                    </m:r>
                  </m:e>
                  <m:sub>
                    <m:r>
                      <m:rPr>
                        <m:nor/>
                        <m:sty m:val="p"/>
                      </m:rPr>
                      <m:t>JH</m:t>
                    </m:r>
                  </m:sub>
                </m:sSub>
                <m:r>
                  <m:rPr>
                    <m:sty m:val="p"/>
                  </m:rPr>
                  <m:t>⋅</m:t>
                </m:r>
                <m:sSub>
                  <m:e>
                    <m:r>
                      <m:rPr>
                        <m:nor/>
                        <m:sty m:val="p"/>
                      </m:rPr>
                      <m:t>JH</m:t>
                    </m:r>
                  </m:e>
                  <m:sub>
                    <m:r>
                      <m:t>i</m:t>
                    </m:r>
                  </m:sub>
                </m:sSub>
                <m:r>
                  <m:rPr>
                    <m:sty m:val="p"/>
                  </m:rPr>
                  <m:t>+</m:t>
                </m:r>
                <m:sSub>
                  <m:e>
                    <m:r>
                      <m:t>β</m:t>
                    </m:r>
                  </m:e>
                  <m:sub>
                    <m:r>
                      <m:rPr>
                        <m:nor/>
                        <m:sty m:val="p"/>
                      </m:rPr>
                      <m:t>FTP</m:t>
                    </m:r>
                  </m:sub>
                </m:sSub>
                <m:r>
                  <m:rPr>
                    <m:sty m:val="p"/>
                  </m:rPr>
                  <m:t>⋅</m:t>
                </m:r>
                <m:sSub>
                  <m:e>
                    <m:r>
                      <m:rPr>
                        <m:nor/>
                        <m:sty m:val="p"/>
                      </m:rPr>
                      <m:t>FTP</m:t>
                    </m:r>
                  </m:e>
                  <m:sub>
                    <m:r>
                      <m:t>i</m:t>
                    </m:r>
                  </m:sub>
                </m:sSub>
                <m:r>
                  <m:rPr>
                    <m:sty m:val="p"/>
                  </m:rPr>
                  <m:t>+</m:t>
                </m:r>
                <m:sSub>
                  <m:e>
                    <m:r>
                      <m:t>β</m:t>
                    </m:r>
                  </m:e>
                  <m:sub>
                    <m:r>
                      <m:rPr>
                        <m:nor/>
                        <m:sty m:val="p"/>
                      </m:rPr>
                      <m:t>AUI</m:t>
                    </m:r>
                  </m:sub>
                </m:sSub>
                <m:r>
                  <m:rPr>
                    <m:sty m:val="p"/>
                  </m:rPr>
                  <m:t>⋅</m:t>
                </m:r>
                <m:sSub>
                  <m:e>
                    <m:r>
                      <m:rPr>
                        <m:nor/>
                        <m:sty m:val="p"/>
                      </m:rPr>
                      <m:t>AUI</m:t>
                    </m:r>
                  </m:e>
                  <m:sub>
                    <m:r>
                      <m:t>i</m:t>
                    </m:r>
                  </m:sub>
                </m:sSub>
              </m:e>
            </m:mr>
          </m:m>
          <m:r>
            <m:t>  </m:t>
          </m:r>
          <m:d>
            <m:dPr>
              <m:begChr m:val="("/>
              <m:endChr m:val=")"/>
              <m:sepChr m:val=""/>
              <m:grow/>
            </m:dPr>
            <m:e>
              <m:r>
                <m:t>1</m:t>
              </m:r>
            </m:e>
          </m:d>
        </m:oMath>
      </m:oMathPara>
      <w:bookmarkEnd w:id="32"/>
    </w:p>
    <w:p>
      <w:pPr>
        <w:pStyle w:val="FirstParagraph"/>
      </w:pPr>
      <w:r>
        <w:t xml:space="preserve">where</w:t>
      </w:r>
      <w:r>
        <w:t xml:space="preserve"> </w:t>
      </w:r>
      <m:oMath>
        <m:r>
          <m:t>μ</m:t>
        </m:r>
      </m:oMath>
      <w:r>
        <w:t xml:space="preserve"> </w:t>
      </w:r>
      <w:r>
        <w:t xml:space="preserve">and</w:t>
      </w:r>
      <w:r>
        <w:t xml:space="preserve"> </w:t>
      </w:r>
      <m:oMath>
        <m:r>
          <m:t>σ</m:t>
        </m:r>
      </m:oMath>
      <w:r>
        <w:t xml:space="preserve"> </w:t>
      </w:r>
      <w:r>
        <w:t xml:space="preserve">are the location and scale parameters, and</w:t>
      </w:r>
      <w:r>
        <w:t xml:space="preserve"> </w:t>
      </w:r>
      <m:oMath>
        <m:r>
          <m:t>μ</m:t>
        </m:r>
      </m:oMath>
      <w:r>
        <w:t xml:space="preserve"> </w:t>
      </w:r>
      <w:r>
        <w:t xml:space="preserve">is estimated from four linear models: 1) jump height obtained from jump tests (</w:t>
      </w:r>
      <m:oMath>
        <m:r>
          <m:rPr>
            <m:nor/>
            <m:sty m:val="p"/>
          </m:rPr>
          <m:t>JH</m:t>
        </m:r>
      </m:oMath>
      <w:r>
        <w:t xml:space="preserve">); 2) FTP measurements (</w:t>
      </w:r>
      <m:oMath>
        <m:r>
          <m:rPr>
            <m:nor/>
            <m:sty m:val="p"/>
          </m:rPr>
          <m:t>FTP</m:t>
        </m:r>
      </m:oMath>
      <w:r>
        <w:t xml:space="preserve">); 3) arm usage index obtained from jump tests (</w:t>
      </w:r>
      <m:oMath>
        <m:r>
          <m:rPr>
            <m:nor/>
            <m:sty m:val="p"/>
          </m:rPr>
          <m:t>AUI</m:t>
        </m:r>
      </m:oMath>
      <w:r>
        <w:t xml:space="preserve">); 4) a fully adjusted model based on the linear combination of previous predictors.</w:t>
      </w:r>
    </w:p>
    <w:bookmarkEnd w:id="33"/>
    <w:bookmarkStart w:id="35" w:name="muscle-power-and-performance"/>
    <w:p>
      <w:pPr>
        <w:pStyle w:val="Ttulo4"/>
      </w:pPr>
      <w:r>
        <w:t xml:space="preserve">Muscle power and performance</w:t>
      </w:r>
    </w:p>
    <w:p>
      <w:pPr>
        <w:pStyle w:val="FirstParagraph"/>
      </w:pPr>
      <w:r>
        <w:t xml:space="preserve">In the case of muscle power indicators, our aim was to describe how performance modifying variables affect key power related metrics derived from the FTP, such as power and weight-adjusted power (WAP), which are sport-specific outcomes for cyclists. In this context, we modeled the impact of EMG and jump height, obtained from jump tests, on the magnitude of change observed in the FTP measurements in a multivariate model. The models can be expressed as:</w:t>
      </w:r>
    </w:p>
    <w:p>
      <w:pPr>
        <w:pStyle w:val="Textoindependiente"/>
      </w:pPr>
      <w:bookmarkStart w:id="34" w:name="eq-second-model"/>
      <m:oMathPara>
        <m:oMathParaPr>
          <m:jc m:val="center"/>
        </m:oMathParaPr>
        <m:oMath>
          <m:m>
            <m:mPr>
              <m:baseJc m:val="center"/>
              <m:plcHide m:val="1"/>
              <m:mcs>
                <m:mc>
                  <m:mcPr>
                    <m:mcJc m:val="right"/>
                    <m:count m:val="1"/>
                  </m:mcPr>
                </m:mc>
                <m:mc>
                  <m:mcPr>
                    <m:mcJc m:val="left"/>
                    <m:count m:val="1"/>
                  </m:mcPr>
                </m:mc>
              </m:mcs>
            </m:mPr>
            <m:mr>
              <m:e>
                <m:sSub>
                  <m:e>
                    <m:r>
                      <m:rPr>
                        <m:nor/>
                        <m:sty m:val="p"/>
                      </m:rPr>
                      <m:t>Power</m:t>
                    </m:r>
                  </m:e>
                  <m:sub>
                    <m:r>
                      <m:t>i</m:t>
                    </m:r>
                  </m:sub>
                </m:sSub>
                <m:r>
                  <m:rPr>
                    <m:sty m:val="p"/>
                  </m:rPr>
                  <m:t>,</m:t>
                </m:r>
                <m:sSub>
                  <m:e>
                    <m:r>
                      <m:rPr>
                        <m:nor/>
                        <m:sty m:val="p"/>
                      </m:rPr>
                      <m:t>WAP</m:t>
                    </m:r>
                  </m:e>
                  <m:sub>
                    <m:r>
                      <m:t>i</m:t>
                    </m:r>
                  </m:sub>
                </m:sSub>
              </m:e>
              <m:e>
                <m:r>
                  <m:rPr>
                    <m:sty m:val="p"/>
                  </m:rPr>
                  <m:t>∼</m:t>
                </m:r>
                <m:r>
                  <m:rPr>
                    <m:nor/>
                    <m:sty m:val="p"/>
                  </m:rPr>
                  <m:t>Normal</m:t>
                </m:r>
                <m:d>
                  <m:dPr>
                    <m:begChr m:val="("/>
                    <m:endChr m:val=")"/>
                    <m:sepChr m:val=""/>
                    <m:grow/>
                  </m:dPr>
                  <m:e>
                    <m:sSub>
                      <m:e>
                        <m:r>
                          <m:t>μ</m:t>
                        </m:r>
                      </m:e>
                      <m:sub>
                        <m:r>
                          <m:t>i</m:t>
                        </m:r>
                      </m:sub>
                    </m:sSub>
                    <m:r>
                      <m:rPr>
                        <m:sty m:val="p"/>
                      </m:rPr>
                      <m:t>,</m:t>
                    </m:r>
                    <m:r>
                      <m:t>σ</m:t>
                    </m:r>
                  </m:e>
                </m:d>
              </m:e>
            </m:mr>
            <m:mr>
              <m:e>
                <m:d>
                  <m:dPr>
                    <m:begChr m:val="("/>
                    <m:endChr m:val=")"/>
                    <m:sepChr m:val=""/>
                    <m:grow/>
                  </m:dPr>
                  <m:e>
                    <m:r>
                      <m:t>1</m:t>
                    </m:r>
                  </m:e>
                </m:d>
                <m:r>
                  <m:t> </m:t>
                </m:r>
                <m:sSub>
                  <m:e>
                    <m:r>
                      <m:t>μ</m:t>
                    </m:r>
                  </m:e>
                  <m:sub>
                    <m:r>
                      <m:t>i</m:t>
                    </m:r>
                  </m:sub>
                </m:sSub>
              </m:e>
              <m:e>
                <m:r>
                  <m:rPr>
                    <m:sty m:val="p"/>
                  </m:rPr>
                  <m:t>=</m:t>
                </m:r>
                <m:r>
                  <m:t>α</m:t>
                </m:r>
                <m:r>
                  <m:rPr>
                    <m:sty m:val="p"/>
                  </m:rPr>
                  <m:t>+</m:t>
                </m:r>
                <m:d>
                  <m:dPr>
                    <m:begChr m:val="("/>
                    <m:endChr m:val=")"/>
                    <m:sepChr m:val=""/>
                    <m:grow/>
                  </m:dPr>
                  <m:e>
                    <m:sSub>
                      <m:e>
                        <m:r>
                          <m:t>β</m:t>
                        </m:r>
                      </m:e>
                      <m:sub>
                        <m:r>
                          <m:rPr>
                            <m:nor/>
                            <m:sty m:val="p"/>
                          </m:rPr>
                          <m:t>JH</m:t>
                        </m:r>
                      </m:sub>
                    </m:sSub>
                    <m:r>
                      <m:rPr>
                        <m:sty m:val="p"/>
                      </m:rPr>
                      <m:t>⋅</m:t>
                    </m:r>
                    <m:sSub>
                      <m:e>
                        <m:r>
                          <m:rPr>
                            <m:nor/>
                            <m:sty m:val="p"/>
                          </m:rPr>
                          <m:t>JH</m:t>
                        </m:r>
                      </m:e>
                      <m:sub>
                        <m:r>
                          <m:t>i</m:t>
                        </m:r>
                      </m:sub>
                    </m:sSub>
                  </m:e>
                </m:d>
              </m:e>
            </m:mr>
            <m:mr>
              <m:e>
                <m:d>
                  <m:dPr>
                    <m:begChr m:val="("/>
                    <m:endChr m:val=")"/>
                    <m:sepChr m:val=""/>
                    <m:grow/>
                  </m:dPr>
                  <m:e>
                    <m:r>
                      <m:t>2</m:t>
                    </m:r>
                  </m:e>
                </m:d>
                <m:r>
                  <m:t> </m:t>
                </m:r>
                <m:sSub>
                  <m:e>
                    <m:r>
                      <m:t>μ</m:t>
                    </m:r>
                  </m:e>
                  <m:sub>
                    <m:r>
                      <m:t>i</m:t>
                    </m:r>
                  </m:sub>
                </m:sSub>
              </m:e>
              <m:e>
                <m:r>
                  <m:rPr>
                    <m:sty m:val="p"/>
                  </m:rPr>
                  <m:t>=</m:t>
                </m:r>
                <m:r>
                  <m:t>α</m:t>
                </m:r>
                <m:r>
                  <m:rPr>
                    <m:sty m:val="p"/>
                  </m:rPr>
                  <m:t>+</m:t>
                </m:r>
                <m:d>
                  <m:dPr>
                    <m:begChr m:val="("/>
                    <m:endChr m:val=")"/>
                    <m:sepChr m:val=""/>
                    <m:grow/>
                  </m:dPr>
                  <m:e>
                    <m:sSub>
                      <m:e>
                        <m:r>
                          <m:t>β</m:t>
                        </m:r>
                      </m:e>
                      <m:sub>
                        <m:r>
                          <m:rPr>
                            <m:nor/>
                            <m:sty m:val="p"/>
                          </m:rPr>
                          <m:t>EMG</m:t>
                        </m:r>
                      </m:sub>
                    </m:sSub>
                    <m:r>
                      <m:rPr>
                        <m:sty m:val="p"/>
                      </m:rPr>
                      <m:t>⋅</m:t>
                    </m:r>
                    <m:sSub>
                      <m:e>
                        <m:r>
                          <m:rPr>
                            <m:nor/>
                            <m:sty m:val="p"/>
                          </m:rPr>
                          <m:t>EMG</m:t>
                        </m:r>
                      </m:e>
                      <m:sub>
                        <m:r>
                          <m:t>i</m:t>
                        </m:r>
                      </m:sub>
                    </m:sSub>
                  </m:e>
                </m:d>
              </m:e>
            </m:mr>
            <m:mr>
              <m:e>
                <m:d>
                  <m:dPr>
                    <m:begChr m:val="("/>
                    <m:endChr m:val=")"/>
                    <m:sepChr m:val=""/>
                    <m:grow/>
                  </m:dPr>
                  <m:e>
                    <m:r>
                      <m:t>3</m:t>
                    </m:r>
                  </m:e>
                </m:d>
                <m:r>
                  <m:t> </m:t>
                </m:r>
                <m:sSub>
                  <m:e>
                    <m:r>
                      <m:t>μ</m:t>
                    </m:r>
                  </m:e>
                  <m:sub>
                    <m:r>
                      <m:t>i</m:t>
                    </m:r>
                  </m:sub>
                </m:sSub>
              </m:e>
              <m:e>
                <m:r>
                  <m:rPr>
                    <m:sty m:val="p"/>
                  </m:rPr>
                  <m:t>=</m:t>
                </m:r>
                <m:r>
                  <m:t>α</m:t>
                </m:r>
                <m:r>
                  <m:rPr>
                    <m:sty m:val="p"/>
                  </m:rPr>
                  <m:t>+</m:t>
                </m:r>
                <m:d>
                  <m:dPr>
                    <m:begChr m:val="("/>
                    <m:endChr m:val=")"/>
                    <m:sepChr m:val=""/>
                    <m:grow/>
                  </m:dPr>
                  <m:e>
                    <m:sSub>
                      <m:e>
                        <m:r>
                          <m:t>β</m:t>
                        </m:r>
                      </m:e>
                      <m:sub>
                        <m:r>
                          <m:rPr>
                            <m:nor/>
                            <m:sty m:val="p"/>
                          </m:rPr>
                          <m:t>JH</m:t>
                        </m:r>
                      </m:sub>
                    </m:sSub>
                    <m:r>
                      <m:rPr>
                        <m:sty m:val="p"/>
                      </m:rPr>
                      <m:t>⋅</m:t>
                    </m:r>
                    <m:sSub>
                      <m:e>
                        <m:r>
                          <m:rPr>
                            <m:nor/>
                            <m:sty m:val="p"/>
                          </m:rPr>
                          <m:t>JH</m:t>
                        </m:r>
                      </m:e>
                      <m:sub>
                        <m:r>
                          <m:t>i</m:t>
                        </m:r>
                      </m:sub>
                    </m:sSub>
                  </m:e>
                </m:d>
                <m:r>
                  <m:rPr>
                    <m:sty m:val="p"/>
                  </m:rPr>
                  <m:t>+</m:t>
                </m:r>
                <m:d>
                  <m:dPr>
                    <m:begChr m:val="("/>
                    <m:endChr m:val=")"/>
                    <m:sepChr m:val=""/>
                    <m:grow/>
                  </m:dPr>
                  <m:e>
                    <m:sSub>
                      <m:e>
                        <m:r>
                          <m:t>β</m:t>
                        </m:r>
                      </m:e>
                      <m:sub>
                        <m:r>
                          <m:rPr>
                            <m:nor/>
                            <m:sty m:val="p"/>
                          </m:rPr>
                          <m:t>EMG</m:t>
                        </m:r>
                      </m:sub>
                    </m:sSub>
                    <m:r>
                      <m:rPr>
                        <m:sty m:val="p"/>
                      </m:rPr>
                      <m:t>⋅</m:t>
                    </m:r>
                    <m:sSub>
                      <m:e>
                        <m:r>
                          <m:rPr>
                            <m:nor/>
                            <m:sty m:val="p"/>
                          </m:rPr>
                          <m:t>EMG</m:t>
                        </m:r>
                      </m:e>
                      <m:sub>
                        <m:r>
                          <m:t>i</m:t>
                        </m:r>
                      </m:sub>
                    </m:sSub>
                  </m:e>
                </m:d>
              </m:e>
            </m:mr>
          </m:m>
          <m:r>
            <m:t>  </m:t>
          </m:r>
          <m:d>
            <m:dPr>
              <m:begChr m:val="("/>
              <m:endChr m:val=")"/>
              <m:sepChr m:val=""/>
              <m:grow/>
            </m:dPr>
            <m:e>
              <m:r>
                <m:t>2</m:t>
              </m:r>
            </m:e>
          </m:d>
        </m:oMath>
      </m:oMathPara>
      <w:bookmarkEnd w:id="34"/>
    </w:p>
    <w:p>
      <w:pPr>
        <w:pStyle w:val="FirstParagraph"/>
      </w:pPr>
      <w:r>
        <w:t xml:space="preserve">where</w:t>
      </w:r>
      <w:r>
        <w:t xml:space="preserve"> </w:t>
      </w:r>
      <m:oMath>
        <m:r>
          <m:t>μ</m:t>
        </m:r>
      </m:oMath>
      <w:r>
        <w:t xml:space="preserve"> </w:t>
      </w:r>
      <w:r>
        <w:t xml:space="preserve">and</w:t>
      </w:r>
      <w:r>
        <w:t xml:space="preserve"> </w:t>
      </w:r>
      <m:oMath>
        <m:r>
          <m:t>σ</m:t>
        </m:r>
      </m:oMath>
      <w:r>
        <w:t xml:space="preserve"> </w:t>
      </w:r>
      <w:r>
        <w:t xml:space="preserve">are the location and scale parameters from the multivariate normal distribution of Power and WAP, and</w:t>
      </w:r>
      <w:r>
        <w:t xml:space="preserve"> </w:t>
      </w:r>
      <m:oMath>
        <m:r>
          <m:t>μ</m:t>
        </m:r>
      </m:oMath>
      <w:r>
        <w:t xml:space="preserve"> </w:t>
      </w:r>
      <w:r>
        <w:t xml:space="preserve">is estimated from three linear models: 1) jump height obtained from jump tests (</w:t>
      </w:r>
      <m:oMath>
        <m:r>
          <m:rPr>
            <m:nor/>
            <m:sty m:val="p"/>
          </m:rPr>
          <m:t>JH</m:t>
        </m:r>
      </m:oMath>
      <w:r>
        <w:t xml:space="preserve">); 2) EMG recordings (</w:t>
      </w:r>
      <m:oMath>
        <m:r>
          <m:rPr>
            <m:nor/>
            <m:sty m:val="p"/>
          </m:rPr>
          <m:t>EMG</m:t>
        </m:r>
      </m:oMath>
      <w:r>
        <w:t xml:space="preserve">); 3) a fully adjusted model based on the linear combination of previous predictors.</w:t>
      </w:r>
    </w:p>
    <w:bookmarkEnd w:id="35"/>
    <w:bookmarkEnd w:id="36"/>
    <w:bookmarkStart w:id="40" w:name="prior-specification"/>
    <w:p>
      <w:pPr>
        <w:pStyle w:val="Ttulo3"/>
      </w:pPr>
      <w:r>
        <w:t xml:space="preserve">Prior specification</w:t>
      </w:r>
    </w:p>
    <w:p>
      <w:pPr>
        <w:pStyle w:val="FirstParagraph"/>
      </w:pPr>
      <w:r>
        <w:t xml:space="preserve">For the model coefficients, we defined weakly informative priors centered at 0 as a regularization strategy during the Bayesian estimation process, shrinking potential noise-associated effects deriving from outliers or random sampling error that could arise from the observations. The intercept term’s prior distribution,</w:t>
      </w:r>
      <w:r>
        <w:t xml:space="preserve"> </w:t>
      </w:r>
      <m:oMath>
        <m:r>
          <m:t>α</m:t>
        </m:r>
      </m:oMath>
      <w:r>
        <w:t xml:space="preserve">, was specified as follows:</w:t>
      </w:r>
    </w:p>
    <w:p>
      <w:pPr>
        <w:pStyle w:val="Textoindependiente"/>
      </w:pPr>
      <w:bookmarkStart w:id="37" w:name="eq-alpha-prior"/>
      <m:oMathPara>
        <m:oMathParaPr>
          <m:jc m:val="center"/>
        </m:oMathParaPr>
        <m:oMath>
          <m:m>
            <m:mPr>
              <m:baseJc m:val="center"/>
              <m:plcHide m:val="1"/>
              <m:mcs>
                <m:mc>
                  <m:mcPr>
                    <m:mcJc m:val="right"/>
                    <m:count m:val="1"/>
                  </m:mcPr>
                </m:mc>
                <m:mc>
                  <m:mcPr>
                    <m:mcJc m:val="left"/>
                    <m:count m:val="1"/>
                  </m:mcPr>
                </m:mc>
              </m:mcs>
            </m:mPr>
            <m:mr>
              <m:e>
                <m:r>
                  <m:t>μ</m:t>
                </m:r>
              </m:e>
              <m:e>
                <m:r>
                  <m:rPr>
                    <m:sty m:val="p"/>
                  </m:rPr>
                  <m:t>=</m:t>
                </m:r>
                <m:r>
                  <m:rPr>
                    <m:nor/>
                    <m:sty m:val="p"/>
                  </m:rPr>
                  <m:t>Med</m:t>
                </m:r>
                <m:d>
                  <m:dPr>
                    <m:begChr m:val="("/>
                    <m:endChr m:val=")"/>
                    <m:sepChr m:val=""/>
                    <m:grow/>
                  </m:dPr>
                  <m:e>
                    <m:sSub>
                      <m:e>
                        <m:r>
                          <m:rPr>
                            <m:nor/>
                            <m:sty m:val="p"/>
                          </m:rPr>
                          <m:t>Y</m:t>
                        </m:r>
                      </m:e>
                      <m:sub>
                        <m:r>
                          <m:t>j</m:t>
                        </m:r>
                      </m:sub>
                    </m:sSub>
                  </m:e>
                </m:d>
              </m:e>
            </m:mr>
            <m:mr>
              <m:e>
                <m:r>
                  <m:t>σ</m:t>
                </m:r>
              </m:e>
              <m:e>
                <m:r>
                  <m:rPr>
                    <m:sty m:val="p"/>
                  </m:rPr>
                  <m:t>=</m:t>
                </m:r>
                <m:d>
                  <m:dPr>
                    <m:begChr m:val="{"/>
                    <m:endChr m:val=""/>
                    <m:sepChr m:val=""/>
                    <m:grow/>
                  </m:dPr>
                  <m:e>
                    <m:m>
                      <m:mPr>
                        <m:baseJc m:val="center"/>
                        <m:plcHide m:val="1"/>
                        <m:mcs>
                          <m:mc>
                            <m:mcPr>
                              <m:mcJc m:val="left"/>
                              <m:count m:val="1"/>
                            </m:mcPr>
                          </m:mc>
                          <m:mc>
                            <m:mcPr>
                              <m:mcJc m:val="left"/>
                              <m:count m:val="1"/>
                            </m:mcPr>
                          </m:mc>
                        </m:mcs>
                      </m:mPr>
                      <m:mr>
                        <m:e>
                          <m:r>
                            <m:rPr>
                              <m:nor/>
                              <m:sty m:val="p"/>
                            </m:rPr>
                            <m:t>MAD</m:t>
                          </m:r>
                          <m:d>
                            <m:dPr>
                              <m:begChr m:val="("/>
                              <m:endChr m:val=")"/>
                              <m:sepChr m:val=""/>
                              <m:grow/>
                            </m:dPr>
                            <m:e>
                              <m:sSub>
                                <m:e>
                                  <m:r>
                                    <m:rPr>
                                      <m:nor/>
                                      <m:sty m:val="p"/>
                                    </m:rPr>
                                    <m:t>Y</m:t>
                                  </m:r>
                                </m:e>
                                <m:sub>
                                  <m:r>
                                    <m:t>j</m:t>
                                  </m:r>
                                </m:sub>
                              </m:sSub>
                            </m:e>
                          </m:d>
                          <m:r>
                            <m:rPr>
                              <m:sty m:val="p"/>
                            </m:rPr>
                            <m:t>,</m:t>
                          </m:r>
                        </m:e>
                        <m:e>
                          <m:r>
                            <m:rPr>
                              <m:nor/>
                              <m:sty m:val="p"/>
                            </m:rPr>
                            <m:t>if </m:t>
                          </m:r>
                          <m:r>
                            <m:rPr>
                              <m:nor/>
                              <m:sty m:val="p"/>
                            </m:rPr>
                            <m:t>MAD</m:t>
                          </m:r>
                          <m:d>
                            <m:dPr>
                              <m:begChr m:val="("/>
                              <m:endChr m:val=")"/>
                              <m:sepChr m:val=""/>
                              <m:grow/>
                            </m:dPr>
                            <m:e>
                              <m:sSub>
                                <m:e>
                                  <m:r>
                                    <m:rPr>
                                      <m:nor/>
                                      <m:sty m:val="p"/>
                                    </m:rPr>
                                    <m:t>Y</m:t>
                                  </m:r>
                                </m:e>
                                <m:sub>
                                  <m:r>
                                    <m:t>j</m:t>
                                  </m:r>
                                </m:sub>
                              </m:sSub>
                            </m:e>
                          </m:d>
                          <m:r>
                            <m:rPr>
                              <m:sty m:val="p"/>
                            </m:rPr>
                            <m:t>&gt;</m:t>
                          </m:r>
                          <m:r>
                            <m:t>2.5</m:t>
                          </m:r>
                        </m:e>
                      </m:mr>
                      <m:mr>
                        <m:e>
                          <m:r>
                            <m:t>2.5</m:t>
                          </m:r>
                          <m:r>
                            <m:rPr>
                              <m:sty m:val="p"/>
                            </m:rPr>
                            <m:t>,</m:t>
                          </m:r>
                        </m:e>
                        <m:e>
                          <m:r>
                            <m:rPr>
                              <m:nor/>
                              <m:sty m:val="p"/>
                            </m:rPr>
                            <m:t>if </m:t>
                          </m:r>
                          <m:r>
                            <m:rPr>
                              <m:nor/>
                              <m:sty m:val="p"/>
                            </m:rPr>
                            <m:t>MAD</m:t>
                          </m:r>
                          <m:d>
                            <m:dPr>
                              <m:begChr m:val="("/>
                              <m:endChr m:val=")"/>
                              <m:sepChr m:val=""/>
                              <m:grow/>
                            </m:dPr>
                            <m:e>
                              <m:sSub>
                                <m:e>
                                  <m:r>
                                    <m:rPr>
                                      <m:nor/>
                                      <m:sty m:val="p"/>
                                    </m:rPr>
                                    <m:t>Y</m:t>
                                  </m:r>
                                </m:e>
                                <m:sub>
                                  <m:r>
                                    <m:t>j</m:t>
                                  </m:r>
                                </m:sub>
                              </m:sSub>
                            </m:e>
                          </m:d>
                          <m:r>
                            <m:rPr>
                              <m:sty m:val="p"/>
                            </m:rPr>
                            <m:t>≤</m:t>
                          </m:r>
                          <m:r>
                            <m:t>2.5</m:t>
                          </m:r>
                        </m:e>
                      </m:mr>
                    </m:m>
                  </m:e>
                </m:d>
              </m:e>
            </m:mr>
            <m:mr>
              <m:e>
                <m:r>
                  <m:t>α</m:t>
                </m:r>
              </m:e>
              <m:e>
                <m:r>
                  <m:rPr>
                    <m:sty m:val="p"/>
                  </m:rPr>
                  <m:t>∼</m:t>
                </m:r>
                <m:r>
                  <m:rPr>
                    <m:nor/>
                    <m:sty m:val="p"/>
                  </m:rPr>
                  <m:t>Student-t</m:t>
                </m:r>
                <m:d>
                  <m:dPr>
                    <m:begChr m:val="("/>
                    <m:endChr m:val=")"/>
                    <m:sepChr m:val=""/>
                    <m:grow/>
                  </m:dPr>
                  <m:e>
                    <m:r>
                      <m:t>3</m:t>
                    </m:r>
                    <m:r>
                      <m:rPr>
                        <m:sty m:val="p"/>
                      </m:rPr>
                      <m:t>,</m:t>
                    </m:r>
                    <m:r>
                      <m:t>μ</m:t>
                    </m:r>
                    <m:r>
                      <m:rPr>
                        <m:sty m:val="p"/>
                      </m:rPr>
                      <m:t>,</m:t>
                    </m:r>
                    <m:r>
                      <m:t>σ</m:t>
                    </m:r>
                  </m:e>
                </m:d>
              </m:e>
            </m:mr>
          </m:m>
          <m:r>
            <m:t>  </m:t>
          </m:r>
          <m:d>
            <m:dPr>
              <m:begChr m:val="("/>
              <m:endChr m:val=")"/>
              <m:sepChr m:val=""/>
              <m:grow/>
            </m:dPr>
            <m:e>
              <m:r>
                <m:t>3</m:t>
              </m:r>
            </m:e>
          </m:d>
        </m:oMath>
      </m:oMathPara>
      <w:bookmarkEnd w:id="37"/>
    </w:p>
    <w:p>
      <w:pPr>
        <w:pStyle w:val="FirstParagraph"/>
      </w:pPr>
      <w:r>
        <w:t xml:space="preserve">where</w:t>
      </w:r>
      <w:r>
        <w:t xml:space="preserve"> </w:t>
      </w:r>
      <m:oMath>
        <m:r>
          <m:t>α</m:t>
        </m:r>
      </m:oMath>
      <w:r>
        <w:t xml:space="preserve">, specified as a t-distribution with location</w:t>
      </w:r>
      <w:r>
        <w:t xml:space="preserve"> </w:t>
      </w:r>
      <m:oMath>
        <m:r>
          <m:t>μ</m:t>
        </m:r>
      </m:oMath>
      <w:r>
        <w:t xml:space="preserve"> </w:t>
      </w:r>
      <w:r>
        <w:t xml:space="preserve">and scale</w:t>
      </w:r>
      <w:r>
        <w:t xml:space="preserve"> </w:t>
      </w:r>
      <m:oMath>
        <m:r>
          <m:t>σ</m:t>
        </m:r>
      </m:oMath>
      <w:r>
        <w:t xml:space="preserve"> </w:t>
      </w:r>
      <w:r>
        <w:t xml:space="preserve">served as the prior distribution for the intercept, where</w:t>
      </w:r>
      <w:r>
        <w:t xml:space="preserve"> </w:t>
      </w:r>
      <m:oMath>
        <m:r>
          <m:t>μ</m:t>
        </m:r>
      </m:oMath>
      <w:r>
        <w:t xml:space="preserve"> </w:t>
      </w:r>
      <w:r>
        <w:t xml:space="preserve">represented the median (</w:t>
      </w:r>
      <m:oMath>
        <m:r>
          <m:rPr>
            <m:nor/>
            <m:sty m:val="p"/>
          </m:rPr>
          <m:t>Med</m:t>
        </m:r>
      </m:oMath>
      <w:r>
        <w:t xml:space="preserve">) of the response</w:t>
      </w:r>
      <w:r>
        <w:t xml:space="preserve"> </w:t>
      </w:r>
      <m:oMath>
        <m:r>
          <m:t>Y</m:t>
        </m:r>
      </m:oMath>
      <w:r>
        <w:t xml:space="preserve">, for each variable</w:t>
      </w:r>
      <w:r>
        <w:t xml:space="preserve"> </w:t>
      </w:r>
      <m:oMath>
        <m:r>
          <m:t>j</m:t>
        </m:r>
      </m:oMath>
      <w:r>
        <w:t xml:space="preserve">, and</w:t>
      </w:r>
      <w:r>
        <w:t xml:space="preserve"> </w:t>
      </w:r>
      <m:oMath>
        <m:r>
          <m:t>σ</m:t>
        </m:r>
      </m:oMath>
      <w:r>
        <w:t xml:space="preserve"> </w:t>
      </w:r>
      <w:r>
        <w:t xml:space="preserve">represented the median absolute deviation (MAD) of the response variable</w:t>
      </w:r>
      <w:r>
        <w:t xml:space="preserve"> </w:t>
      </w:r>
      <m:oMath>
        <m:sSub>
          <m:e>
            <m:r>
              <m:t>Y</m:t>
            </m:r>
          </m:e>
          <m:sub>
            <m:r>
              <m:t>j</m:t>
            </m:r>
          </m:sub>
        </m:sSub>
      </m:oMath>
      <w:r>
        <w:t xml:space="preserve">, adjusted to 2.5 if the MAD was less than or equal to 2.5.</w:t>
      </w:r>
    </w:p>
    <w:p>
      <w:pPr>
        <w:pStyle w:val="Textoindependiente"/>
      </w:pPr>
      <w:r>
        <w:t xml:space="preserve">Meanwhile, the prior distributions for fixed effects</w:t>
      </w:r>
      <w:r>
        <w:t xml:space="preserve"> </w:t>
      </w:r>
      <m:oMath>
        <m:r>
          <m:t>β</m:t>
        </m:r>
      </m:oMath>
      <w:r>
        <w:t xml:space="preserve"> </w:t>
      </w:r>
      <w:r>
        <w:t xml:space="preserve">for each variable</w:t>
      </w:r>
      <w:r>
        <w:t xml:space="preserve"> </w:t>
      </w:r>
      <m:oMath>
        <m:r>
          <m:t>k</m:t>
        </m:r>
      </m:oMath>
      <w:r>
        <w:t xml:space="preserve">, were specified as follow:</w:t>
      </w:r>
    </w:p>
    <w:p>
      <w:pPr>
        <w:pStyle w:val="Textoindependiente"/>
      </w:pPr>
      <w:bookmarkStart w:id="38" w:name="eq-b-prior"/>
      <m:oMathPara>
        <m:oMathParaPr>
          <m:jc m:val="center"/>
        </m:oMathParaPr>
        <m:oMath>
          <m:m>
            <m:mPr>
              <m:baseJc m:val="center"/>
              <m:plcHide m:val="1"/>
              <m:mcs>
                <m:mc>
                  <m:mcPr>
                    <m:mcJc m:val="right"/>
                    <m:count m:val="1"/>
                  </m:mcPr>
                </m:mc>
              </m:mcs>
            </m:mPr>
            <m:mr>
              <m:e>
                <m:sSub>
                  <m:e>
                    <m:r>
                      <m:t>β</m:t>
                    </m:r>
                  </m:e>
                  <m:sub>
                    <m:r>
                      <m:t>k</m:t>
                    </m:r>
                  </m:sub>
                </m:sSub>
                <m:r>
                  <m:rPr>
                    <m:sty m:val="p"/>
                  </m:rPr>
                  <m:t>∼</m:t>
                </m:r>
                <m:r>
                  <m:rPr>
                    <m:nor/>
                    <m:sty m:val="p"/>
                  </m:rPr>
                  <m:t>Normal</m:t>
                </m:r>
                <m:d>
                  <m:dPr>
                    <m:begChr m:val="("/>
                    <m:endChr m:val=")"/>
                    <m:sepChr m:val=""/>
                    <m:grow/>
                  </m:dPr>
                  <m:e>
                    <m:r>
                      <m:t>0</m:t>
                    </m:r>
                    <m:r>
                      <m:rPr>
                        <m:sty m:val="p"/>
                      </m:rPr>
                      <m:t>,</m:t>
                    </m:r>
                    <m:r>
                      <m:t>10</m:t>
                    </m:r>
                  </m:e>
                </m:d>
              </m:e>
            </m:mr>
          </m:m>
          <m:r>
            <m:t>  </m:t>
          </m:r>
          <m:d>
            <m:dPr>
              <m:begChr m:val="("/>
              <m:endChr m:val=")"/>
              <m:sepChr m:val=""/>
              <m:grow/>
            </m:dPr>
            <m:e>
              <m:r>
                <m:t>4</m:t>
              </m:r>
            </m:e>
          </m:d>
        </m:oMath>
      </m:oMathPara>
      <w:bookmarkEnd w:id="38"/>
    </w:p>
    <w:bookmarkStart w:id="39" w:name="sensitivity-analysis"/>
    <w:p>
      <w:pPr>
        <w:pStyle w:val="Ttulo4"/>
      </w:pPr>
      <w:r>
        <w:t xml:space="preserve">Sensitivity analysis</w:t>
      </w:r>
    </w:p>
    <w:p>
      <w:pPr>
        <w:pStyle w:val="FirstParagraph"/>
      </w:pPr>
      <w:r>
        <w:t xml:space="preserve">To ensure the stability and reliability of our Bayesian models and findings, we conducted sensitivity analyses to assess the impact of various prior distributions on model predictive performance. Specifically, we investigated variations in the scale and shape of weakly informative priors using leave-one-out cross-validation to compare the predictive performance of Bayesian models.</w:t>
      </w:r>
    </w:p>
    <w:p>
      <w:pPr>
        <w:pStyle w:val="Textoindependiente"/>
      </w:pPr>
      <w:r>
        <w:t xml:space="preserve">We examined the expected log pointwise predictive density (ELPD) difference between models fitted with</w:t>
      </w:r>
      <w:r>
        <w:t xml:space="preserve"> </w:t>
      </w:r>
      <m:oMath>
        <m:r>
          <m:t>σ</m:t>
        </m:r>
      </m:oMath>
      <w:r>
        <w:t xml:space="preserve"> </w:t>
      </w:r>
      <w:r>
        <w:t xml:space="preserve">values of 1, 5, and 100 in comparison to the utilized</w:t>
      </w:r>
      <w:r>
        <w:t xml:space="preserve"> </w:t>
      </w:r>
      <m:oMath>
        <m:r>
          <m:t>σ</m:t>
        </m:r>
      </m:oMath>
      <w:r>
        <w:t xml:space="preserve"> </w:t>
      </w:r>
      <w:r>
        <w:t xml:space="preserve">of 10. For the univariate models exploring the effect of neuromuscular efficiency, our analysis revealed an ELPD difference ranging from -2.0 to 3.8, with standard errors spanning from 0.1 to 2.3. These results indicate robustness across a wide spectrum of</w:t>
      </w:r>
      <w:r>
        <w:t xml:space="preserve"> </w:t>
      </w:r>
      <m:oMath>
        <m:r>
          <m:t>σ</m:t>
        </m:r>
      </m:oMath>
      <w:r>
        <w:t xml:space="preserve"> </w:t>
      </w:r>
      <w:r>
        <w:t xml:space="preserve">values, affirming the stability of our models.</w:t>
      </w:r>
    </w:p>
    <w:p>
      <w:pPr>
        <w:pStyle w:val="Textoindependiente"/>
      </w:pPr>
      <w:r>
        <w:t xml:space="preserve">Similarly, when evaluating the impact of different scale parameters on multivariate models, we observed an ELPD difference spanning from -0.24 to 0.23, with standard errors ranging from 0.08 to 0.27. These findings provide substantial evidence supporting the robustness of our models to variations in scale parameters for priors in multivariate models as well.</w:t>
      </w:r>
    </w:p>
    <w:bookmarkEnd w:id="39"/>
    <w:bookmarkEnd w:id="40"/>
    <w:bookmarkStart w:id="41" w:name="model-fitting"/>
    <w:p>
      <w:pPr>
        <w:pStyle w:val="Ttulo3"/>
      </w:pPr>
      <w:r>
        <w:t xml:space="preserve">Model-fitting</w:t>
      </w:r>
    </w:p>
    <w:p>
      <w:pPr>
        <w:pStyle w:val="FirstParagraph"/>
      </w:pPr>
      <w:r>
        <w:t xml:space="preserve">The Bayesian generalized linear models were fitted utilizing the</w:t>
      </w:r>
      <w:r>
        <w:t xml:space="preserve"> </w:t>
      </w:r>
      <w:r>
        <w:rPr>
          <w:rStyle w:val="VerbatimChar"/>
        </w:rPr>
        <w:t xml:space="preserve">brm()</w:t>
      </w:r>
      <w:r>
        <w:t xml:space="preserve"> </w:t>
      </w:r>
      <w:r>
        <w:t xml:space="preserve">function from the</w:t>
      </w:r>
      <w:r>
        <w:t xml:space="preserve"> </w:t>
      </w:r>
      <w:r>
        <w:rPr>
          <w:iCs/>
          <w:i/>
        </w:rPr>
        <w:t xml:space="preserve">brms</w:t>
      </w:r>
      <w:r>
        <w:t xml:space="preserve"> </w:t>
      </w:r>
      <w:r>
        <w:t xml:space="preserve">package</w:t>
      </w:r>
      <w:r>
        <w:t xml:space="preserve"> </w:t>
      </w:r>
      <w:r>
        <w:t xml:space="preserve">(Bürkner 2017)</w:t>
      </w:r>
      <w:r>
        <w:t xml:space="preserve">, employing 5 chains with 12000 iterations per chain. The initial 2000 iterations were designated as warm up to ascertain convergence, while the remaining iterations facilitated posterior distribution estimation of model coefficients (i.e., 50000 effective iterations in total), thus offering credible intervals to substantiate parameter uncertainty.</w:t>
      </w:r>
    </w:p>
    <w:p>
      <w:pPr>
        <w:pStyle w:val="Textoindependiente"/>
      </w:pPr>
      <w:r>
        <w:t xml:space="preserve">Following the</w:t>
      </w:r>
      <w:r>
        <w:t xml:space="preserve"> </w:t>
      </w:r>
      <w:r>
        <w:rPr>
          <w:bCs/>
          <w:b/>
        </w:rPr>
        <w:t xml:space="preserve">S</w:t>
      </w:r>
      <w:r>
        <w:t xml:space="preserve">equential</w:t>
      </w:r>
      <w:r>
        <w:t xml:space="preserve"> </w:t>
      </w:r>
      <w:r>
        <w:rPr>
          <w:bCs/>
          <w:b/>
        </w:rPr>
        <w:t xml:space="preserve">E</w:t>
      </w:r>
      <w:r>
        <w:t xml:space="preserve">ffect e</w:t>
      </w:r>
      <w:r>
        <w:rPr>
          <w:bCs/>
          <w:b/>
        </w:rPr>
        <w:t xml:space="preserve">X</w:t>
      </w:r>
      <w:r>
        <w:t xml:space="preserve">istence and s</w:t>
      </w:r>
      <w:r>
        <w:rPr>
          <w:bCs/>
          <w:b/>
        </w:rPr>
        <w:t xml:space="preserve">I</w:t>
      </w:r>
      <w:r>
        <w:t xml:space="preserve">gnificance</w:t>
      </w:r>
      <w:r>
        <w:t xml:space="preserve"> </w:t>
      </w:r>
      <w:r>
        <w:rPr>
          <w:bCs/>
          <w:b/>
        </w:rPr>
        <w:t xml:space="preserve">T</w:t>
      </w:r>
      <w:r>
        <w:t xml:space="preserve">esting (SEXIT) framework to describe the effects from Bayesian models</w:t>
      </w:r>
      <w:r>
        <w:t xml:space="preserve"> </w:t>
      </w:r>
      <w:r>
        <w:t xml:space="preserve">(Makowski et al. 2019)</w:t>
      </w:r>
      <w:r>
        <w:t xml:space="preserve">, the median and the CI</w:t>
      </w:r>
      <w:r>
        <w:rPr>
          <w:vertAlign w:val="subscript"/>
        </w:rPr>
        <w:t xml:space="preserve">95%</w:t>
      </w:r>
      <w:r>
        <w:t xml:space="preserve"> </w:t>
      </w:r>
      <w:r>
        <w:t xml:space="preserve">(using the highest density interval) were reported as a measure of centrality and uncertainty, the probability of direction (p</w:t>
      </w:r>
      <w:r>
        <w:rPr>
          <w:vertAlign w:val="subscript"/>
        </w:rPr>
        <w:t xml:space="preserve">direction</w:t>
      </w:r>
      <w:r>
        <w:t xml:space="preserve">) as measure of existence, the proportion of the posterior probability distribution of the median sign that falls outside the region of practical equivalence (ROPE) as a measure of practical significance (p</w:t>
      </w:r>
      <w:r>
        <w:rPr>
          <w:vertAlign w:val="subscript"/>
        </w:rPr>
        <w:t xml:space="preserve">signif</w:t>
      </w:r>
      <w:r>
        <w:t xml:space="preserve">), estimated as one tenth (1/10 = 0.1) of the SD of the response variable, and Bayes factor (BF</w:t>
      </w:r>
      <w:r>
        <w:rPr>
          <w:vertAlign w:val="subscript"/>
        </w:rPr>
        <w:t xml:space="preserve">10</w:t>
      </w:r>
      <w:r>
        <w:t xml:space="preserve">) using Savage-Dickey density ratio against the point null indicating if the null value has become less or more likely given the observed data</w:t>
      </w:r>
      <w:r>
        <w:t xml:space="preserve"> </w:t>
      </w:r>
      <w:r>
        <w:t xml:space="preserve">(Heck 2019)</w:t>
      </w:r>
      <w:r>
        <w:t xml:space="preserve">, using this as a measure of absolute magnitude of evidence in favor or against the null hypothesis (of no effect).</w:t>
      </w:r>
      <w:r>
        <w:t xml:space="preserve"> </w:t>
      </w:r>
      <w:r>
        <w:t xml:space="preserve">Considering that ROPE, and therefore p</w:t>
      </w:r>
      <w:r>
        <w:rPr>
          <w:vertAlign w:val="subscript"/>
        </w:rPr>
        <w:t xml:space="preserve">signif</w:t>
      </w:r>
      <w:r>
        <w:t xml:space="preserve">, are sensitive to the predictor-level scale, continuous independent variables were standardized, which is relevant for models described in</w:t>
      </w:r>
      <w:r>
        <w:t xml:space="preserve"> </w:t>
      </w:r>
      <w:hyperlink w:anchor="eq-first-model">
        <w:r>
          <w:rPr>
            <w:rStyle w:val="Hipervnculo"/>
          </w:rPr>
          <w:t xml:space="preserve">Equation 1</w:t>
        </w:r>
      </w:hyperlink>
      <w:r>
        <w:t xml:space="preserve"> </w:t>
      </w:r>
      <w:r>
        <w:t xml:space="preserve">and</w:t>
      </w:r>
      <w:r>
        <w:t xml:space="preserve"> </w:t>
      </w:r>
      <w:hyperlink w:anchor="eq-second-model">
        <w:r>
          <w:rPr>
            <w:rStyle w:val="Hipervnculo"/>
          </w:rPr>
          <w:t xml:space="preserve">2</w:t>
        </w:r>
      </w:hyperlink>
      <w:r>
        <w:t xml:space="preserve">, standardizing the response variables power and WAP as well in</w:t>
      </w:r>
      <w:r>
        <w:t xml:space="preserve"> </w:t>
      </w:r>
      <w:hyperlink w:anchor="eq-second-model">
        <w:r>
          <w:rPr>
            <w:rStyle w:val="Hipervnculo"/>
          </w:rPr>
          <w:t xml:space="preserve">Equation 2</w:t>
        </w:r>
      </w:hyperlink>
      <w:r>
        <w:t xml:space="preserve"> </w:t>
      </w:r>
      <w:r>
        <w:t xml:space="preserve">for multivariate models.</w:t>
      </w:r>
    </w:p>
    <w:p>
      <w:pPr>
        <w:pStyle w:val="Textoindependiente"/>
      </w:pPr>
      <w:r>
        <w:t xml:space="preserve">For BF interpretation we’ve considered: BF = 1, no evidence; 1 &lt; BF &lt;= 3, anecdotal; 3 &lt; BF &lt;= 10, moderate; 10 &lt; BF &lt;= 30, strong; 30 &lt; BF &lt;= 100, very strong; and BF &gt; 100, as extreme evidence</w:t>
      </w:r>
      <w:r>
        <w:t xml:space="preserve"> </w:t>
      </w:r>
      <w:r>
        <w:t xml:space="preserve">(Jeffreys 1998)</w:t>
      </w:r>
      <w:r>
        <w:t xml:space="preserve">. For the proportion of the posterior in the ROPE we considered: &lt; 1%, significant; &lt; 2.5%, probably significant; ≤ 97.5% &amp; ≥ 2.5%, undecided significance; &gt; 97.5%, probably negligible; &gt; 99%, negligible</w:t>
      </w:r>
      <w:r>
        <w:t xml:space="preserve"> </w:t>
      </w:r>
      <w:r>
        <w:t xml:space="preserve">(Makowski et al. 2019)</w:t>
      </w:r>
      <w:r>
        <w:t xml:space="preserve">. The convergence and stability of Bayesian sampling has been assessed using R-hat, which should be below 1.01</w:t>
      </w:r>
      <w:r>
        <w:t xml:space="preserve"> </w:t>
      </w:r>
      <w:r>
        <w:t xml:space="preserve">(Vehtari et al. 2019)</w:t>
      </w:r>
      <w:r>
        <w:t xml:space="preserve">, the Effective Sample Size (ESS), which should be greater than 1000</w:t>
      </w:r>
      <w:r>
        <w:t xml:space="preserve"> </w:t>
      </w:r>
      <w:r>
        <w:t xml:space="preserve">(Bürkner 2017)</w:t>
      </w:r>
      <w:r>
        <w:t xml:space="preserve">, and visual inspection of traceplots and posterior predictive checks. All the statistical analyses were computed and implemented in the R programming language</w:t>
      </w:r>
      <w:r>
        <w:t xml:space="preserve"> </w:t>
      </w:r>
      <w:r>
        <w:t xml:space="preserve">(R Core Team 2021)</w:t>
      </w:r>
      <w:r>
        <w:t xml:space="preserve">.</w:t>
      </w:r>
    </w:p>
    <w:bookmarkEnd w:id="41"/>
    <w:bookmarkEnd w:id="42"/>
    <w:bookmarkEnd w:id="43"/>
    <w:bookmarkStart w:id="57" w:name="results"/>
    <w:p>
      <w:pPr>
        <w:pStyle w:val="Ttulo1"/>
      </w:pPr>
      <w:r>
        <w:t xml:space="preserve">Results</w:t>
      </w:r>
    </w:p>
    <w:p>
      <w:pPr>
        <w:pStyle w:val="FirstParagraph"/>
      </w:pPr>
      <w:r>
        <w:t xml:space="preserve">EMG activity across different measurement windows during FTP testing and jump performance characteristics across the different types of jump can be seen in</w:t>
      </w:r>
      <w:r>
        <w:t xml:space="preserve"> </w:t>
      </w:r>
      <w:hyperlink w:anchor="tbl-1">
        <w:r>
          <w:rPr>
            <w:rStyle w:val="Hipervnculo"/>
          </w:rPr>
          <w:t xml:space="preserve">table 1</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5"/>
        <w:gridCol w:w="1362"/>
        <w:gridCol w:w="1362"/>
        <w:gridCol w:w="1362"/>
        <w:gridCol w:w="1816"/>
        <w:gridCol w:w="1451"/>
        <w:gridCol w:w="1540"/>
        <w:gridCol w:w="1540"/>
      </w:tblGrid>
      <w:tr>
        <w:trPr>
          <w:trHeight w:val="532" w:hRule="auto"/>
          <w:tblHeader/>
        </w:trPr>
        header1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3"/>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FTP Window Measurement</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3"/>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Jump type</w:t>
            </w:r>
          </w:p>
        </w:tc>
      </w:tr>
      <w:tr>
        <w:trPr>
          <w:trHeight w:val="532" w:hRule="auto"/>
          <w:tblHeader/>
        </w:trPr>
        header2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EMG</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1/3</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2/3</w:t>
            </w:r>
          </w:p>
        </w:tc>
        <w:tc>
          <w:tcPr>
            <w:tcBorders>
              <w:bottom w:val="single" w:sz="12" w:space="0" w:color="666666"/>
              <w:top w:val="single" w:sz="0"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3/3</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Characteristic</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Abalakov</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CMJ</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SJ</w:t>
            </w:r>
          </w:p>
        </w:tc>
      </w:tr>
      <w:tr>
        <w:trPr>
          <w:trHeight w:val="563" w:hRule="auto"/>
        </w:trPr>
        body1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Mean</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27.12 (9.34)</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23.81 (9.11)</w:t>
            </w:r>
          </w:p>
        </w:tc>
        <w:tc>
          <w:tcPr>
            <w:tcBorders>
              <w:bottom w:val="single" w:sz="0" w:space="0" w:color="BEBEBE"/>
              <w:top w:val="single" w:sz="12" w:space="0" w:color="666666"/>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27.37 (9.34)</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Height (m)</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0.31 (0.06)</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0.26 (0.06)</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0.27 (0.06)</w:t>
            </w:r>
          </w:p>
        </w:tc>
      </w:tr>
      <w:tr>
        <w:trPr>
          <w:trHeight w:val="560" w:hRule="auto"/>
        </w:trPr>
        body2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25.99 (8.5)</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24.84 (10.15)</w:t>
            </w:r>
          </w:p>
        </w:tc>
        <w:tc>
          <w:tcPr>
            <w:tcBorders>
              <w:bottom w:val="single" w:sz="0" w:space="0" w:color="BEBEBE"/>
              <w:top w:val="single" w:sz="0"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26.99 (9.2)</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Peak force (N)</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1578.5 (293.4)</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1552.9 (293.6)</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1552.9 (293.6)</w:t>
            </w:r>
          </w:p>
        </w:tc>
      </w:tr>
      <w:tr>
        <w:trPr>
          <w:trHeight w:val="561" w:hRule="auto"/>
        </w:trPr>
        body3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Peak</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64.35 (56.25)</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39.62 (20.71)</w:t>
            </w:r>
          </w:p>
        </w:tc>
        <w:tc>
          <w:tcPr>
            <w:tcBorders>
              <w:bottom w:val="single" w:sz="12" w:space="0" w:color="666666"/>
              <w:top w:val="single" w:sz="0"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42.19 (16.99)</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Peak power (Watts)</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3940.5 (878.8)</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3153.8 (1291.4)</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3153.8 (1291.4)</w:t>
            </w:r>
          </w:p>
        </w:tc>
      </w:tr>
    </w:tbl>
    <w:p>
      <w:pPr>
        <w:pStyle w:val="Textoindependiente"/>
      </w:pPr>
      <w:bookmarkStart w:id="44" w:name="tbl-1"/>
      <w:r>
        <w:rPr>
          <w:bCs/>
          <w:b/>
        </w:rPr>
        <w:t xml:space="preserve">Table 1</w:t>
      </w:r>
      <w:bookmarkEnd w:id="44"/>
      <w:r>
        <w:t xml:space="preserve">. Descriptive characteristics of EMG recordings during FTP evaluation aggregated by window of measurement and summary statistics of key performance indicators of jump assessments.</w:t>
      </w:r>
    </w:p>
    <w:bookmarkStart w:id="50" w:name="neuromuscular-efficiency-1"/>
    <w:p>
      <w:pPr>
        <w:pStyle w:val="Ttulo2"/>
      </w:pPr>
      <w:r>
        <w:t xml:space="preserve">Neuromuscular efficiency</w:t>
      </w:r>
    </w:p>
    <w:p>
      <w:pPr>
        <w:pStyle w:val="FirstParagraph"/>
      </w:pPr>
      <w:r>
        <w:t xml:space="preserve">Effects derived from unadjusted models show that arm usage index (BF</w:t>
      </w:r>
      <w:r>
        <w:rPr>
          <w:vertAlign w:val="subscript"/>
        </w:rPr>
        <w:t xml:space="preserve">10</w:t>
      </w:r>
      <w:r>
        <w:t xml:space="preserve"> </w:t>
      </w:r>
      <w:r>
        <w:t xml:space="preserve">= 2.530), height in Abalakov (BF</w:t>
      </w:r>
      <w:r>
        <w:rPr>
          <w:vertAlign w:val="subscript"/>
        </w:rPr>
        <w:t xml:space="preserve">10</w:t>
      </w:r>
      <w:r>
        <w:t xml:space="preserve"> </w:t>
      </w:r>
      <w:r>
        <w:t xml:space="preserve">= 1.308) and CMJ (BF</w:t>
      </w:r>
      <w:r>
        <w:rPr>
          <w:vertAlign w:val="subscript"/>
        </w:rPr>
        <w:t xml:space="preserve">10</w:t>
      </w:r>
      <w:r>
        <w:t xml:space="preserve"> </w:t>
      </w:r>
      <w:r>
        <w:t xml:space="preserve">= 1.204) provide anecdotal evidence in favor of the hypothesis of the presence of an effect on neuromuscular efficiency. Similar evidence was found regarding power and WAP concerning median EMG. However, after estimating the marginal effect while taking into account the influence of jump and FTP parameters, we were unable to find any evidence in favor of the presence of an effect in neuromuscular efficiency (see</w:t>
      </w:r>
      <w:r>
        <w:t xml:space="preserve"> </w:t>
      </w:r>
      <w:hyperlink w:anchor="fig-1">
        <w:r>
          <w:rPr>
            <w:rStyle w:val="Hipervnculo"/>
          </w:rPr>
          <w:t xml:space="preserve">figure 1</w:t>
        </w:r>
      </w:hyperlink>
      <w:r>
        <w:t xml:space="preserve">). Univariate and adjusted model parameter effects on median EMG activity, as well as model diagnostics are shown in</w:t>
      </w:r>
      <w:r>
        <w:t xml:space="preserve"> </w:t>
      </w:r>
      <w:hyperlink w:anchor="tbl-2">
        <w:r>
          <w:rPr>
            <w:rStyle w:val="Hipervnculo"/>
          </w:rPr>
          <w:t xml:space="preserve">table 2</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53"/>
        <w:gridCol w:w="1482"/>
        <w:gridCol w:w="948"/>
        <w:gridCol w:w="824"/>
        <w:gridCol w:w="770"/>
        <w:gridCol w:w="1214"/>
        <w:gridCol w:w="1464"/>
        <w:gridCol w:w="735"/>
        <w:gridCol w:w="1304"/>
        <w:gridCol w:w="770"/>
        <w:gridCol w:w="993"/>
      </w:tblGrid>
      <w:tr>
        <w:trPr>
          <w:trHeight w:val="564" w:hRule="auto"/>
          <w:tblHeader/>
        </w:trPr>
        header 1
        <w:tc>
          <w:tcPr>
            <w:gridSpan w:val="3"/>
            <w:tcBorders>
              <w:bottom w:val="single" w:sz="6" w:space="0" w:color="FFFFFF"/>
              <w:top w:val="single" w:sz="16" w:space="0" w:color="666666"/>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95% CI</w:t>
            </w:r>
          </w:p>
        </w:tc>
        <w:tc>
          <w:tcPr>
            <w:gridSpan w:val="4"/>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Effect Existence and Significance</w:t>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Diagnostics</w:t>
            </w:r>
          </w:p>
        </w:tc>
      </w:tr>
      <w:tr>
        <w:trPr>
          <w:trHeight w:val="563" w:hRule="auto"/>
          <w:tblHeader/>
        </w:trPr>
        header 2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Model</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Parameter</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Estimate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Low</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High</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(direction)</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(significance)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ROPE</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BF</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R-hat</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ESS</w:t>
            </w:r>
          </w:p>
        </w:tc>
      </w:tr>
      <w:tr>
        <w:trPr>
          <w:trHeight w:val="560" w:hRule="auto"/>
        </w:trPr>
        body 1
        <w:tc>
          <w:tcPr>
            <w:vMerge w:val="restart"/>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Adjusted</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25.811</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20.775</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31.055</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0.000</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1,930,479.394</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32,969.83</w:t>
            </w:r>
          </w:p>
        </w:tc>
      </w:tr>
      <w:tr>
        <w:trPr>
          <w:trHeight w:val="564" w:hRule="auto"/>
        </w:trPr>
        body 2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-12.500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7.757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0.709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0.651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0.112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28,632.30</w:t>
            </w:r>
          </w:p>
        </w:tc>
      </w:tr>
      <w:tr>
        <w:trPr>
          <w:trHeight w:val="564" w:hRule="auto"/>
        </w:trPr>
        body 3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-14.684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14.317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0.742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22,681.76</w:t>
            </w:r>
          </w:p>
        </w:tc>
      </w:tr>
      <w:tr>
        <w:trPr>
          <w:trHeight w:val="561" w:hRule="auto"/>
        </w:trPr>
        body 4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0.430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-10.405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11.696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0.531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24,988.66</w:t>
            </w:r>
          </w:p>
        </w:tc>
      </w:tr>
      <w:tr>
        <w:trPr>
          <w:trHeight w:val="561" w:hRule="auto"/>
        </w:trPr>
        body 5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Arm usage index</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1.583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-8.819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12.174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23,978.41</w:t>
            </w:r>
          </w:p>
        </w:tc>
      </w:tr>
      <w:tr>
        <w:trPr>
          <w:trHeight w:val="560" w:hRule="auto"/>
        </w:trPr>
        body 6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-2.662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-11.898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6.829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0.722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0.658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33,674.69</w:t>
            </w:r>
          </w:p>
        </w:tc>
      </w:tr>
      <w:tr>
        <w:trPr>
          <w:trHeight w:val="560" w:hRule="auto"/>
        </w:trPr>
        body 7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15.712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0.847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26,743.73</w:t>
            </w:r>
          </w:p>
        </w:tc>
      </w:tr>
      <w:tr>
        <w:trPr>
          <w:trHeight w:val="561" w:hRule="auto"/>
        </w:trPr>
        body 8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Jump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25.808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20.743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30.920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167,188.270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35,678.72</w:t>
            </w:r>
          </w:p>
        </w:tc>
      </w:tr>
      <w:tr>
        <w:trPr>
          <w:trHeight w:val="564" w:hRule="auto"/>
        </w:trPr>
        body 9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-8.146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8.096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0.420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0.397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31,635.08</w:t>
            </w:r>
          </w:p>
        </w:tc>
      </w:tr>
      <w:tr>
        <w:trPr>
          <w:trHeight w:val="564" w:hRule="auto"/>
        </w:trPr>
        body10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-6.149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-15.171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0.906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27,899.07</w:t>
            </w:r>
          </w:p>
        </w:tc>
      </w:tr>
      <w:tr>
        <w:trPr>
          <w:trHeight w:val="561" w:hRule="auto"/>
        </w:trPr>
        body11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5.592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12.836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0.932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0.899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31,661.81</w:t>
            </w:r>
          </w:p>
        </w:tc>
      </w:tr>
      <w:tr>
        <w:trPr>
          <w:trHeight w:val="559" w:hRule="auto"/>
        </w:trPr>
        body12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AUI</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25.856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21.369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30.485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2,644,619.485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33,913.81</w:t>
            </w:r>
          </w:p>
        </w:tc>
      </w:tr>
      <w:tr>
        <w:trPr>
          <w:trHeight w:val="561" w:hRule="auto"/>
        </w:trPr>
        body13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Arm usage index</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5.205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9.915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2.530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35,955.45</w:t>
            </w:r>
          </w:p>
        </w:tc>
      </w:tr>
      <w:tr>
        <w:trPr>
          <w:trHeight w:val="559" w:hRule="auto"/>
        </w:trPr>
        body14
        <w:tc>
          <w:tcPr>
            <w:vMerge w:val="restart"/>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FTP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25.854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21.231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30.415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9,118,619.495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36,802.46</w:t>
            </w:r>
          </w:p>
        </w:tc>
      </w:tr>
      <w:tr>
        <w:trPr>
          <w:trHeight w:val="547" w:hRule="auto"/>
        </w:trPr>
        body15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-5.563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-11.126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1.833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28,913.77</w:t>
            </w:r>
          </w:p>
        </w:tc>
      </w:tr>
      <w:tr>
        <w:trPr>
          <w:trHeight w:val="547" w:hRule="auto"/>
        </w:trPr>
        body16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6.134</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0.241</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11.823</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0.975</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0.959</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0.027</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2.731</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29,006.37</w:t>
            </w:r>
          </w:p>
        </w:tc>
      </w:tr>
    </w:tbl>
    <w:p>
      <w:pPr>
        <w:pStyle w:val="Textoindependiente"/>
      </w:pPr>
      <w:bookmarkStart w:id="45" w:name="tbl-2"/>
      <w:r>
        <w:rPr>
          <w:bCs/>
          <w:b/>
        </w:rPr>
        <w:t xml:space="preserve">Table 2</w:t>
      </w:r>
      <w:bookmarkEnd w:id="45"/>
      <w:r>
        <w:t xml:space="preserve">. Model estimates and 95% CI for jump and FTP parameters associated with median EMG activity. Parameter coefficients were estimated per separate in univariate and adjusted models.</w:t>
      </w:r>
    </w:p>
    <w:p>
      <w:pPr>
        <w:pStyle w:val="Textoindependiente"/>
      </w:pPr>
      <w:r>
        <w:drawing>
          <wp:inline>
            <wp:extent cx="5600700" cy="4200525"/>
            <wp:effectExtent b="0" l="0" r="0" t="0"/>
            <wp:docPr descr="" title="" id="47" name="Picture"/>
            <a:graphic>
              <a:graphicData uri="http://schemas.openxmlformats.org/drawingml/2006/picture">
                <pic:pic>
                  <pic:nvPicPr>
                    <pic:cNvPr descr="figures/fig-1.pdf" id="48" name="Picture"/>
                    <pic:cNvPicPr>
                      <a:picLocks noChangeArrowheads="1" noChangeAspect="1"/>
                    </pic:cNvPicPr>
                  </pic:nvPicPr>
                  <pic:blipFill>
                    <a:blip r:embed="rId46"/>
                    <a:stretch>
                      <a:fillRect/>
                    </a:stretch>
                  </pic:blipFill>
                  <pic:spPr bwMode="auto">
                    <a:xfrm>
                      <a:off x="0" y="0"/>
                      <a:ext cx="5600700" cy="4200525"/>
                    </a:xfrm>
                    <a:prstGeom prst="rect">
                      <a:avLst/>
                    </a:prstGeom>
                    <a:noFill/>
                    <a:ln w="9525">
                      <a:noFill/>
                      <a:headEnd/>
                      <a:tailEnd/>
                    </a:ln>
                  </pic:spPr>
                </pic:pic>
              </a:graphicData>
            </a:graphic>
          </wp:inline>
        </w:drawing>
      </w:r>
      <w:r>
        <w:t xml:space="preserve"> </w:t>
      </w:r>
      <w:bookmarkStart w:id="49" w:name="fig-1"/>
      <w:r>
        <w:rPr>
          <w:bCs/>
          <w:b/>
        </w:rPr>
        <w:t xml:space="preserve">Figure 1</w:t>
      </w:r>
      <w:bookmarkEnd w:id="49"/>
      <w:r>
        <w:t xml:space="preserve">. A, Posterior distributions and shaded 50% CIs of the marginal effects of model parameters in the adjusted model; B, Empirical distribution of the response variable observed from the data to the distributions of simulated data from the posterior predictive distribution.</w:t>
      </w:r>
    </w:p>
    <w:bookmarkEnd w:id="50"/>
    <w:bookmarkStart w:id="56" w:name="muscle-power-and-performance-1"/>
    <w:p>
      <w:pPr>
        <w:pStyle w:val="Ttulo2"/>
      </w:pPr>
      <w:r>
        <w:t xml:space="preserve">Muscle power and performance</w:t>
      </w:r>
    </w:p>
    <w:p>
      <w:pPr>
        <w:pStyle w:val="FirstParagraph"/>
      </w:pPr>
      <w:r>
        <w:t xml:space="preserve">When inspecting the effect of median EMG on both power and WAP, we observed anecdotal evidence in favor of the absence of an effect and with low probability of being significant (Power, p</w:t>
      </w:r>
      <w:r>
        <w:rPr>
          <w:vertAlign w:val="subscript"/>
        </w:rPr>
        <w:t xml:space="preserve">signif</w:t>
      </w:r>
      <w:r>
        <w:t xml:space="preserve"> </w:t>
      </w:r>
      <w:r>
        <w:t xml:space="preserve">= 0.057; WAP, p</w:t>
      </w:r>
      <w:r>
        <w:rPr>
          <w:vertAlign w:val="subscript"/>
        </w:rPr>
        <w:t xml:space="preserve">signif</w:t>
      </w:r>
      <w:r>
        <w:t xml:space="preserve"> </w:t>
      </w:r>
      <w:r>
        <w:t xml:space="preserve">= 0.085) with an undecided significance based on proportion of the posterior distribution inside ROPE (Power, ROPE = 0.938; WAP, ROPE = 0.913) and very strong evidence in favor of the null hypothesis (Power, BF</w:t>
      </w:r>
      <w:r>
        <w:rPr>
          <w:vertAlign w:val="subscript"/>
        </w:rPr>
        <w:t xml:space="preserve">10</w:t>
      </w:r>
      <w:r>
        <w:t xml:space="preserve"> </w:t>
      </w:r>
      <w:r>
        <w:t xml:space="preserve">= 0.006; WAP, BF</w:t>
      </w:r>
      <w:r>
        <w:rPr>
          <w:vertAlign w:val="subscript"/>
        </w:rPr>
        <w:t xml:space="preserve">10</w:t>
      </w:r>
      <w:r>
        <w:t xml:space="preserve"> </w:t>
      </w:r>
      <w:r>
        <w:t xml:space="preserve">= 0.008) suggesting that there is evidence that median EMG assessed during FTP does not exert an effect on muscle performance indicators derived from FTP assessment, even after controlling for the marginal effect of jump height (Power, BF</w:t>
      </w:r>
      <w:r>
        <w:rPr>
          <w:vertAlign w:val="subscript"/>
        </w:rPr>
        <w:t xml:space="preserve">10</w:t>
      </w:r>
      <w:r>
        <w:t xml:space="preserve"> </w:t>
      </w:r>
      <w:r>
        <w:t xml:space="preserve">= 0.004; WAP, BF</w:t>
      </w:r>
      <w:r>
        <w:rPr>
          <w:vertAlign w:val="subscript"/>
        </w:rPr>
        <w:t xml:space="preserve">10</w:t>
      </w:r>
      <w:r>
        <w:t xml:space="preserve"> </w:t>
      </w:r>
      <w:r>
        <w:t xml:space="preserve">= 0.005).</w:t>
      </w:r>
    </w:p>
    <w:p>
      <w:pPr>
        <w:pStyle w:val="Textoindependiente"/>
      </w:pPr>
      <w:r>
        <w:t xml:space="preserve">In the case of jump measures, we found anecdotal evidence of a significant effect of abalakov height on WAP (ROPE = 0.005; p</w:t>
      </w:r>
      <w:r>
        <w:rPr>
          <w:vertAlign w:val="subscript"/>
        </w:rPr>
        <w:t xml:space="preserve">signif</w:t>
      </w:r>
      <w:r>
        <w:t xml:space="preserve"> </w:t>
      </w:r>
      <w:r>
        <w:t xml:space="preserve">= 0.991) but of undecided significance for power (ROPE = 0.032; p</w:t>
      </w:r>
      <w:r>
        <w:rPr>
          <w:vertAlign w:val="subscript"/>
        </w:rPr>
        <w:t xml:space="preserve">signif</w:t>
      </w:r>
      <w:r>
        <w:t xml:space="preserve"> </w:t>
      </w:r>
      <w:r>
        <w:t xml:space="preserve">= 0.469), similar findings of probably significant effects were found on CMJ (ROPE = 0.019; p</w:t>
      </w:r>
      <w:r>
        <w:rPr>
          <w:vertAlign w:val="subscript"/>
        </w:rPr>
        <w:t xml:space="preserve">signif</w:t>
      </w:r>
      <w:r>
        <w:t xml:space="preserve"> </w:t>
      </w:r>
      <w:r>
        <w:t xml:space="preserve">= 0.964) and SJ jump on WAP (ROPE = 0.014; p</w:t>
      </w:r>
      <w:r>
        <w:rPr>
          <w:vertAlign w:val="subscript"/>
        </w:rPr>
        <w:t xml:space="preserve">signif</w:t>
      </w:r>
      <w:r>
        <w:t xml:space="preserve"> </w:t>
      </w:r>
      <w:r>
        <w:t xml:space="preserve">= 0.978) but not power. In fully adjusted models only SJ height remained probably significant for WAP (ROPE = 0.016; p</w:t>
      </w:r>
      <w:r>
        <w:rPr>
          <w:vertAlign w:val="subscript"/>
        </w:rPr>
        <w:t xml:space="preserve">signif</w:t>
      </w:r>
      <w:r>
        <w:t xml:space="preserve"> </w:t>
      </w:r>
      <w:r>
        <w:t xml:space="preserve">= 0.972), but not for power (ROPE = 0.124; p</w:t>
      </w:r>
      <w:r>
        <w:rPr>
          <w:vertAlign w:val="subscript"/>
        </w:rPr>
        <w:t xml:space="preserve">signif</w:t>
      </w:r>
      <w:r>
        <w:t xml:space="preserve"> </w:t>
      </w:r>
      <w:r>
        <w:t xml:space="preserve">= 0.739).</w:t>
      </w:r>
      <w:r>
        <w:t xml:space="preserve"> </w:t>
      </w:r>
      <w:hyperlink w:anchor="tbl-3">
        <w:r>
          <w:rPr>
            <w:rStyle w:val="Hipervnculo"/>
          </w:rPr>
          <w:t xml:space="preserve">Table 3</w:t>
        </w:r>
      </w:hyperlink>
      <w:r>
        <w:t xml:space="preserve"> </w:t>
      </w:r>
      <w:r>
        <w:t xml:space="preserve">presents the univariate and adjusted model parameter effects on power and WAP, along with model diagnostics.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4"/>
        <w:gridCol w:w="975"/>
        <w:gridCol w:w="1748"/>
        <w:gridCol w:w="948"/>
        <w:gridCol w:w="735"/>
        <w:gridCol w:w="735"/>
        <w:gridCol w:w="1214"/>
        <w:gridCol w:w="1464"/>
        <w:gridCol w:w="735"/>
        <w:gridCol w:w="681"/>
        <w:gridCol w:w="770"/>
        <w:gridCol w:w="770"/>
      </w:tblGrid>
      <w:tr>
        <w:trPr>
          <w:trHeight w:val="564" w:hRule="auto"/>
          <w:tblHeader/>
        </w:trPr>
        header 1
        <w:tc>
          <w:tcPr>
            <w:gridSpan w:val="4"/>
            <w:tcBorders>
              <w:bottom w:val="single" w:sz="6" w:space="0" w:color="FFFFFF"/>
              <w:top w:val="single" w:sz="16" w:space="0" w:color="666666"/>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95% CI</w:t>
            </w:r>
          </w:p>
        </w:tc>
        <w:tc>
          <w:tcPr>
            <w:gridSpan w:val="4"/>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Effect Existence and Significance</w:t>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Diagnostics</w:t>
            </w:r>
          </w:p>
        </w:tc>
      </w:tr>
      <w:tr>
        <w:trPr>
          <w:trHeight w:val="563" w:hRule="auto"/>
          <w:tblHeader/>
        </w:trPr>
        header 2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Model</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Outcome</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Parameter</w:t>
            </w:r>
          </w:p>
        </w:tc>
        <w:tc>
          <w:tcPr>
            <w:tcBorders>
              <w:bottom w:val="single" w:sz="12" w:space="0" w:color="666666"/>
              <w:top w:val="single" w:sz="6"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Estimate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Low</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High</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(direction)</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(significance)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ROPE</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BF</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R-hat</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ESS</w:t>
            </w:r>
          </w:p>
        </w:tc>
      </w:tr>
      <w:tr>
        <w:trPr>
          <w:trHeight w:val="5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Adjusted</w:t>
            </w:r>
          </w:p>
        </w:tc>
        <w:tc>
          <w:tcPr>
            <w:vMerge w:val="restart"/>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0.272</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2.669</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0.614</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0.572</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0.080</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0.004</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18,553</w:t>
            </w:r>
          </w:p>
        </w:tc>
      </w:tr>
      <w:tr>
        <w:trPr>
          <w:trHeight w:val="561" w:hRule="auto"/>
        </w:trPr>
        body 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0.148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-0.849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0.545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0.046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17,103</w:t>
            </w:r>
          </w:p>
        </w:tc>
      </w:tr>
      <w:tr>
        <w:trPr>
          <w:trHeight w:val="564" w:hRule="auto"/>
        </w:trPr>
        body 3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15,072</w:t>
            </w:r>
          </w:p>
        </w:tc>
      </w:tr>
      <w:tr>
        <w:trPr>
          <w:trHeight w:val="564" w:hRule="auto"/>
        </w:trPr>
        body 4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0.363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1.353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0.739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21,823</w:t>
            </w:r>
          </w:p>
        </w:tc>
      </w:tr>
      <w:tr>
        <w:trPr>
          <w:trHeight w:val="563" w:hRule="auto"/>
        </w:trPr>
        body 5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18,436</w:t>
            </w:r>
          </w:p>
        </w:tc>
      </w:tr>
      <w:tr>
        <w:trPr>
          <w:trHeight w:val="560" w:hRule="auto"/>
        </w:trPr>
        body 6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-2.365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1.021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18,677</w:t>
            </w:r>
          </w:p>
        </w:tc>
      </w:tr>
      <w:tr>
        <w:trPr>
          <w:trHeight w:val="561" w:hRule="auto"/>
        </w:trPr>
        body 7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0.693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0.295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16,649</w:t>
            </w:r>
          </w:p>
        </w:tc>
      </w:tr>
      <w:tr>
        <w:trPr>
          <w:trHeight w:val="564" w:hRule="auto"/>
        </w:trPr>
        body 8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0.389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0.911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15,060</w:t>
            </w:r>
          </w:p>
        </w:tc>
      </w:tr>
      <w:tr>
        <w:trPr>
          <w:trHeight w:val="564" w:hRule="auto"/>
        </w:trPr>
        body 9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0.792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0.545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22,621</w:t>
            </w:r>
          </w:p>
        </w:tc>
      </w:tr>
      <w:tr>
        <w:trPr>
          <w:trHeight w:val="563" w:hRule="auto"/>
        </w:trPr>
        body10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0.841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18,445</w:t>
            </w:r>
          </w:p>
        </w:tc>
      </w:tr>
      <w:tr>
        <w:trPr>
          <w:trHeight w:val="559" w:hRule="auto"/>
        </w:trPr>
        body11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EMG</w:t>
            </w: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3.280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0.765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26,206</w:t>
            </w:r>
          </w:p>
        </w:tc>
      </w:tr>
      <w:tr>
        <w:trPr>
          <w:trHeight w:val="563"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0.938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26,455</w:t>
            </w:r>
          </w:p>
        </w:tc>
      </w:tr>
      <w:tr>
        <w:trPr>
          <w:trHeight w:val="559" w:hRule="auto"/>
        </w:trPr>
        body13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-3.417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1.232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0.851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25,867</w:t>
            </w:r>
          </w:p>
        </w:tc>
      </w:tr>
      <w:tr>
        <w:trPr>
          <w:trHeight w:val="563" w:hRule="auto"/>
        </w:trPr>
        body14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0.044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-0.044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0.862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0.913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25,722</w:t>
            </w:r>
          </w:p>
        </w:tc>
      </w:tr>
      <w:tr>
        <w:trPr>
          <w:trHeight w:val="559" w:hRule="auto"/>
        </w:trPr>
        body15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Jump</w:t>
            </w: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0.481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0.312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0.378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34,402</w:t>
            </w:r>
          </w:p>
        </w:tc>
      </w:tr>
      <w:tr>
        <w:trPr>
          <w:trHeight w:val="561" w:hRule="auto"/>
        </w:trPr>
        body16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-0.677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0.796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27,717</w:t>
            </w:r>
          </w:p>
        </w:tc>
      </w:tr>
      <w:tr>
        <w:trPr>
          <w:trHeight w:val="564" w:hRule="auto"/>
        </w:trPr>
        body17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1.522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0.869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21,965</w:t>
            </w:r>
          </w:p>
        </w:tc>
      </w:tr>
      <w:tr>
        <w:trPr>
          <w:trHeight w:val="564" w:hRule="auto"/>
        </w:trPr>
        body18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1.238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0.821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0.751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24,607</w:t>
            </w:r>
          </w:p>
        </w:tc>
      </w:tr>
      <w:tr>
        <w:trPr>
          <w:trHeight w:val="559" w:hRule="auto"/>
        </w:trPr>
        body19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val="restart"/>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0.383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0.274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32,536</w:t>
            </w:r>
          </w:p>
        </w:tc>
      </w:tr>
      <w:tr>
        <w:trPr>
          <w:trHeight w:val="561" w:hRule="auto"/>
        </w:trPr>
        body20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1.467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26,477</w:t>
            </w:r>
          </w:p>
        </w:tc>
      </w:tr>
      <w:tr>
        <w:trPr>
          <w:trHeight w:val="564" w:hRule="auto"/>
        </w:trPr>
        body21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-0.826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-1.642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20,949</w:t>
            </w:r>
          </w:p>
        </w:tc>
      </w:tr>
      <w:tr>
        <w:trPr>
          <w:trHeight w:val="564" w:hRule="auto"/>
        </w:trPr>
        body22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0.811</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0.135</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1.504</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0.986</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0.978</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0.014</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0.623</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24,575</w:t>
            </w:r>
          </w:p>
        </w:tc>
      </w:tr>
    </w:tbl>
    <w:p>
      <w:pPr>
        <w:pStyle w:val="Textoindependiente"/>
      </w:pPr>
      <w:bookmarkStart w:id="51" w:name="tbl-3"/>
      <w:r>
        <w:rPr>
          <w:bCs/>
          <w:b/>
        </w:rPr>
        <w:t xml:space="preserve">Table 3</w:t>
      </w:r>
      <w:bookmarkEnd w:id="51"/>
      <w:r>
        <w:t xml:space="preserve">. Model estimates in terms of Z-score change in response to one SD change in independent variables and 95% CI for jump and median EMG activity parameters associated with Power and WAP. Parameter coefficients were estimated per separate in univariate and adjusted models.</w:t>
      </w:r>
    </w:p>
    <w:p>
      <w:pPr>
        <w:pStyle w:val="Textoindependiente"/>
      </w:pPr>
      <w:r>
        <w:drawing>
          <wp:inline>
            <wp:extent cx="5600700" cy="5600700"/>
            <wp:effectExtent b="0" l="0" r="0" t="0"/>
            <wp:docPr descr="" title="" id="53" name="Picture"/>
            <a:graphic>
              <a:graphicData uri="http://schemas.openxmlformats.org/drawingml/2006/picture">
                <pic:pic>
                  <pic:nvPicPr>
                    <pic:cNvPr descr="figures/fig-2.pdf" id="54" name="Picture"/>
                    <pic:cNvPicPr>
                      <a:picLocks noChangeArrowheads="1" noChangeAspect="1"/>
                    </pic:cNvPicPr>
                  </pic:nvPicPr>
                  <pic:blipFill>
                    <a:blip r:embed="rId52"/>
                    <a:stretch>
                      <a:fillRect/>
                    </a:stretch>
                  </pic:blipFill>
                  <pic:spPr bwMode="auto">
                    <a:xfrm>
                      <a:off x="0" y="0"/>
                      <a:ext cx="5600700" cy="5600700"/>
                    </a:xfrm>
                    <a:prstGeom prst="rect">
                      <a:avLst/>
                    </a:prstGeom>
                    <a:noFill/>
                    <a:ln w="9525">
                      <a:noFill/>
                      <a:headEnd/>
                      <a:tailEnd/>
                    </a:ln>
                  </pic:spPr>
                </pic:pic>
              </a:graphicData>
            </a:graphic>
          </wp:inline>
        </w:drawing>
      </w:r>
      <w:r>
        <w:t xml:space="preserve"> </w:t>
      </w:r>
      <w:bookmarkStart w:id="55" w:name="fig-2"/>
      <w:r>
        <w:rPr>
          <w:bCs/>
          <w:b/>
        </w:rPr>
        <w:t xml:space="preserve">Figure 2</w:t>
      </w:r>
      <w:bookmarkEnd w:id="55"/>
      <w:r>
        <w:t xml:space="preserve">. A, Posterior distributions and shaded 50% CIs of the marginal effects of model parameters in the adjusted multivariate model; B and C, Empirical distributions of the response variable observed from the data to the distributions of simulated data from the posterior predictive distribution.</w:t>
      </w:r>
    </w:p>
    <w:bookmarkEnd w:id="56"/>
    <w:bookmarkEnd w:id="57"/>
    <w:bookmarkStart w:id="58" w:name="discussion"/>
    <w:p>
      <w:pPr>
        <w:pStyle w:val="Ttulo1"/>
      </w:pPr>
      <w:r>
        <w:t xml:space="preserve">Discussion</w:t>
      </w:r>
    </w:p>
    <w:p>
      <w:pPr>
        <w:pStyle w:val="FirstParagraph"/>
      </w:pPr>
      <w:r>
        <w:t xml:space="preserve">Our study employed a Bayesian framework to investigate the complex relationships among key performance factors in elite cyclists. Specifically, it focused on understanding the associations between neuromuscular efficiency during FTP tests, and performance metrics derived from jump assessments and FTP measurements.</w:t>
      </w:r>
    </w:p>
    <w:p>
      <w:pPr>
        <w:pStyle w:val="Textoindependiente"/>
      </w:pPr>
      <w:r>
        <w:t xml:space="preserve">Initial analyses indicated potential connections between neuromuscular efficiency, represented by EMG during taxing assessments, and performance indicators like jump height and FTP measurements. However, subsequent rigorous evaluations, particularly after accounting for variables such as jump height and FTP parameters, revealed insufficient evidence supporting a direct impact of EMG on muscle performance indicators derived from FTP assessments.</w:t>
      </w:r>
    </w:p>
    <w:p>
      <w:pPr>
        <w:pStyle w:val="Textoindependiente"/>
      </w:pPr>
      <w:r>
        <w:t xml:space="preserve">Sensitivity analyses examined the influence of various prior distributions on model predictive performance, demonstrating consistent outcomes across different prior specifications. Both univariate and multivariate models exhibited resilience, reinforcing the consistency of our conclusions regardless of variations in prior parameters.</w:t>
      </w:r>
    </w:p>
    <w:p>
      <w:pPr>
        <w:pStyle w:val="Textoindependiente"/>
      </w:pPr>
      <w:r>
        <w:t xml:space="preserve">The absence of a direct influence of EMG on muscle performance indicators suggests that while EMG may offer insights into physiological responses during taxing assessments, its direct impact on specific muscle performance indicators, notably power and weight-adjusted power derived from FTP assessments, may be less pronounced among elite cyclists than initially assumed.</w:t>
      </w:r>
    </w:p>
    <w:p>
      <w:pPr>
        <w:pStyle w:val="Textoindependiente"/>
      </w:pPr>
      <w:r>
        <w:t xml:space="preserve">These outcomes have significant implications for research and practical applications in high-performance cycling. They underscore the intricate nature of interactions among neuromuscular efficiency, EMG recordings, and targeted performance metrics, warranting a comprehensive understanding of factors impacting performance outcomes in elite cyclists.</w:t>
      </w:r>
    </w:p>
    <w:p>
      <w:pPr>
        <w:pStyle w:val="Textoindependiente"/>
      </w:pPr>
      <w:r>
        <w:t xml:space="preserve">[…].</w:t>
      </w:r>
    </w:p>
    <w:bookmarkEnd w:id="58"/>
    <w:bookmarkStart w:id="59" w:name="conclusion"/>
    <w:p>
      <w:pPr>
        <w:pStyle w:val="Ttulo1"/>
      </w:pPr>
      <w:r>
        <w:t xml:space="preserve">Conclusion</w:t>
      </w:r>
    </w:p>
    <w:p>
      <w:pPr>
        <w:pStyle w:val="FirstParagraph"/>
      </w:pPr>
      <w:r>
        <w:t xml:space="preserve">Our study provides insights into the associations between neuromuscular efficiency and performance metrics in elite cyclists. While our findings suggest a lack of direct influence of EMG on muscle performance indicators derived from FTP assessments, they advocate for continued exploration to understand the intricate network of factors influencing athletic performance among elite cyclists.</w:t>
      </w:r>
    </w:p>
    <w:bookmarkEnd w:id="59"/>
    <w:bookmarkStart w:id="60" w:name="acknowledgements"/>
    <w:p>
      <w:pPr>
        <w:pStyle w:val="Ttulo1"/>
      </w:pPr>
      <w:r>
        <w:t xml:space="preserve">Acknowledgements</w:t>
      </w:r>
    </w:p>
    <w:p>
      <w:pPr>
        <w:pStyle w:val="FirstParagraph"/>
      </w:pPr>
      <w:r>
        <w:t xml:space="preserve">[…].</w:t>
      </w:r>
    </w:p>
    <w:bookmarkEnd w:id="60"/>
    <w:bookmarkStart w:id="61" w:name="conflict-of-interest"/>
    <w:p>
      <w:pPr>
        <w:pStyle w:val="Ttulo1"/>
      </w:pPr>
      <w:r>
        <w:t xml:space="preserve">Conflict of interest</w:t>
      </w:r>
    </w:p>
    <w:p>
      <w:pPr>
        <w:pStyle w:val="FirstParagraph"/>
      </w:pPr>
      <w:r>
        <w:t xml:space="preserve">[…].</w:t>
      </w:r>
    </w:p>
    <w:bookmarkEnd w:id="61"/>
    <w:bookmarkStart w:id="71" w:name="references"/>
    <w:p>
      <w:pPr>
        <w:pStyle w:val="Ttulo1"/>
      </w:pPr>
      <w:r>
        <w:t xml:space="preserve">References</w:t>
      </w:r>
    </w:p>
    <w:bookmarkStart w:id="70" w:name="refs"/>
    <w:bookmarkStart w:id="63" w:name="ref-brms"/>
    <w:p>
      <w:pPr>
        <w:pStyle w:val="Bibliografa"/>
      </w:pPr>
      <w:r>
        <w:t xml:space="preserve">Bürkner, Paul-Christian. 2017.</w:t>
      </w:r>
      <w:r>
        <w:t xml:space="preserve"> </w:t>
      </w:r>
      <w:r>
        <w:t xml:space="preserve">“</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 </w:t>
      </w:r>
      <w:r>
        <w:t xml:space="preserve">80 (1): 1–28.</w:t>
      </w:r>
      <w:r>
        <w:t xml:space="preserve"> </w:t>
      </w:r>
      <w:hyperlink r:id="rId62">
        <w:r>
          <w:rPr>
            <w:rStyle w:val="Hipervnculo"/>
          </w:rPr>
          <w:t xml:space="preserve">https://doi.org/10.18637/jss.v080.i01</w:t>
        </w:r>
      </w:hyperlink>
      <w:r>
        <w:t xml:space="preserve">.</w:t>
      </w:r>
    </w:p>
    <w:bookmarkEnd w:id="63"/>
    <w:bookmarkStart w:id="64" w:name="ref-heck2019caveat"/>
    <w:p>
      <w:pPr>
        <w:pStyle w:val="Bibliografa"/>
      </w:pPr>
      <w:r>
        <w:t xml:space="preserve">Heck, Daniel W. 2019.</w:t>
      </w:r>
      <w:r>
        <w:t xml:space="preserve"> </w:t>
      </w:r>
      <w:r>
        <w:t xml:space="preserve">“A Caveat on the Savage–Dickey Density Ratio: The Case of Computing Bayes Factors for Regression Parameters.”</w:t>
      </w:r>
      <w:r>
        <w:t xml:space="preserve"> </w:t>
      </w:r>
      <w:r>
        <w:rPr>
          <w:iCs/>
          <w:i/>
        </w:rPr>
        <w:t xml:space="preserve">British Journal of Mathematical and Statistical Psychology</w:t>
      </w:r>
      <w:r>
        <w:t xml:space="preserve"> </w:t>
      </w:r>
      <w:r>
        <w:t xml:space="preserve">72 (2): 316–33.</w:t>
      </w:r>
    </w:p>
    <w:bookmarkEnd w:id="64"/>
    <w:bookmarkStart w:id="65" w:name="ref-jeffreys1998theory"/>
    <w:p>
      <w:pPr>
        <w:pStyle w:val="Bibliografa"/>
      </w:pPr>
      <w:r>
        <w:t xml:space="preserve">Jeffreys, Harold. 1998.</w:t>
      </w:r>
      <w:r>
        <w:t xml:space="preserve"> </w:t>
      </w:r>
      <w:r>
        <w:rPr>
          <w:iCs/>
          <w:i/>
        </w:rPr>
        <w:t xml:space="preserve">The Theory of Probability</w:t>
      </w:r>
      <w:r>
        <w:t xml:space="preserve">. OUP Oxford.</w:t>
      </w:r>
    </w:p>
    <w:bookmarkEnd w:id="65"/>
    <w:bookmarkStart w:id="66" w:name="ref-makowski2019indices"/>
    <w:p>
      <w:pPr>
        <w:pStyle w:val="Bibliografa"/>
      </w:pPr>
      <w:r>
        <w:t xml:space="preserve">Makowski, Dominique, Mattan S Ben-Shachar, SH Annabel Chen, and Daniel Lüdecke. 2019.</w:t>
      </w:r>
      <w:r>
        <w:t xml:space="preserve"> </w:t>
      </w:r>
      <w:r>
        <w:t xml:space="preserve">“Indices of Effect Existence and Significance in the Bayesian Framework.”</w:t>
      </w:r>
      <w:r>
        <w:t xml:space="preserve"> </w:t>
      </w:r>
      <w:r>
        <w:rPr>
          <w:iCs/>
          <w:i/>
        </w:rPr>
        <w:t xml:space="preserve">Frontiers in Psychology</w:t>
      </w:r>
      <w:r>
        <w:t xml:space="preserve"> </w:t>
      </w:r>
      <w:r>
        <w:t xml:space="preserve">10: 2767.</w:t>
      </w:r>
    </w:p>
    <w:bookmarkEnd w:id="66"/>
    <w:bookmarkStart w:id="68" w:name="ref-rlanguage"/>
    <w:p>
      <w:pPr>
        <w:pStyle w:val="Bibliografa"/>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67">
        <w:r>
          <w:rPr>
            <w:rStyle w:val="Hipervnculo"/>
          </w:rPr>
          <w:t xml:space="preserve">https://www.R-project.org/</w:t>
        </w:r>
      </w:hyperlink>
      <w:r>
        <w:t xml:space="preserve">.</w:t>
      </w:r>
    </w:p>
    <w:bookmarkEnd w:id="68"/>
    <w:bookmarkStart w:id="69" w:name="ref-vehtari2019rank"/>
    <w:p>
      <w:pPr>
        <w:pStyle w:val="Bibliografa"/>
      </w:pPr>
      <w:r>
        <w:t xml:space="preserve">Vehtari, Aki, Andrew Gelman, Daniel Simpson, Bob Carpenter, and Paul-Christian Bürkner. 2019.</w:t>
      </w:r>
      <w:r>
        <w:t xml:space="preserve"> </w:t>
      </w:r>
      <w:r>
        <w:t xml:space="preserve">“Rank-Normalization, Folding, and Localization: An Improved r for Assessing Convergence of MCMC. arXiv.”</w:t>
      </w:r>
      <w:r>
        <w:t xml:space="preserve"> </w:t>
      </w:r>
      <w:r>
        <w:rPr>
          <w:iCs/>
          <w:i/>
        </w:rPr>
        <w:t xml:space="preserve">arXiv Preprint arXiv:1903.08008</w:t>
      </w:r>
      <w:r>
        <w:t xml:space="preserve">.</w:t>
      </w:r>
    </w:p>
    <w:bookmarkEnd w:id="69"/>
    <w:bookmarkEnd w:id="70"/>
    <w:bookmarkEnd w:id="71"/>
    <w:sectPr w:rsidR="006E2261"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4CEC88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1CB849F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A10237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A6CB61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DE8393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8AE72F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CE07EB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0B8C8C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EBC09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F3819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2BAE3CC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264987"/>
    <w:pPr>
      <w:keepNext/>
      <w:keepLines/>
      <w:spacing w:after="0" w:before="200"/>
      <w:outlineLvl w:val="2"/>
    </w:pPr>
    <w:rPr>
      <w:rFonts w:cstheme="majorBidi" w:eastAsiaTheme="majorEastAsia"/>
      <w:b/>
      <w:bCs/>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A17F09"/>
    <w:pPr>
      <w:ind w:hanging="567" w:left="567"/>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52" Target="media/rId52.pdf" /><Relationship Type="http://schemas.openxmlformats.org/officeDocument/2006/relationships/hyperlink" Id="rId62" Target="https://doi.org/10.18637/jss.v080.i01" TargetMode="External" /><Relationship Type="http://schemas.openxmlformats.org/officeDocument/2006/relationships/hyperlink" Id="rId67" Target="https://www.R-project.org/" TargetMode="External"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62" Target="https://doi.org/10.18637/jss.v080.i01" TargetMode="External" /><Relationship Type="http://schemas.openxmlformats.org/officeDocument/2006/relationships/hyperlink" Id="rId67" Target="https://www.R-project.org/" TargetMode="External" /><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195</Words>
  <Characters>1074</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2024-01-05T05:05:19Z</dcterms:created>
  <dcterms:modified xsi:type="dcterms:W3CDTF">2024-01-05T05:05:19Z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