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55"/>
        <w:tblW w:w="5000" w:type="pct"/>
        <w:tblLook w:val="0420" w:firstRow="1" w:lastRow="0" w:firstColumn="0" w:lastColumn="0" w:noHBand="0" w:noVBand="1"/>
      </w:tblPr>
      <w:tblGrid>
        <w:gridCol w:w="1676"/>
        <w:gridCol w:w="1832"/>
        <w:gridCol w:w="1426"/>
        <w:gridCol w:w="714"/>
        <w:gridCol w:w="714"/>
        <w:gridCol w:w="646"/>
        <w:gridCol w:w="646"/>
        <w:gridCol w:w="1292"/>
      </w:tblGrid>
      <w:tr w:rsidR="00CF0CC9" w:rsidRPr="006C6EE5" w:rsidTr="001A5C13">
        <w:trPr>
          <w:trHeight w:val="283"/>
          <w:tblHeader/>
        </w:trPr>
        <w:tc>
          <w:tcPr>
            <w:tcW w:w="937" w:type="pct"/>
            <w:vMerge w:val="restart"/>
            <w:tcBorders>
              <w:top w:val="single" w:sz="12" w:space="0" w:color="B2B2B2" w:themeColor="accent2"/>
            </w:tcBorders>
            <w:shd w:val="clear" w:color="auto" w:fill="FFFFFF"/>
            <w:vAlign w:val="center"/>
          </w:tcPr>
          <w:p w:rsidR="00CF0CC9" w:rsidRPr="00CF0CC9" w:rsidRDefault="00CF0CC9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Isokinetic torque</w:t>
            </w:r>
          </w:p>
        </w:tc>
        <w:tc>
          <w:tcPr>
            <w:tcW w:w="1024" w:type="pct"/>
            <w:vMerge w:val="restart"/>
            <w:tcBorders>
              <w:top w:val="single" w:sz="12" w:space="0" w:color="B2B2B2" w:themeColor="accent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595" w:type="pct"/>
            <w:gridSpan w:val="3"/>
            <w:tcBorders>
              <w:top w:val="single" w:sz="12" w:space="0" w:color="B2B2B2" w:themeColor="accent2"/>
              <w:bottom w:val="single" w:sz="12" w:space="0" w:color="B2B2B2" w:themeColor="accent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Hamstrings</w:t>
            </w:r>
          </w:p>
        </w:tc>
        <w:tc>
          <w:tcPr>
            <w:tcW w:w="1444" w:type="pct"/>
            <w:gridSpan w:val="3"/>
            <w:tcBorders>
              <w:top w:val="single" w:sz="12" w:space="0" w:color="B2B2B2" w:themeColor="accent2"/>
              <w:bottom w:val="single" w:sz="12" w:space="0" w:color="B2B2B2" w:themeColor="accent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Quadriceps</w:t>
            </w:r>
          </w:p>
        </w:tc>
      </w:tr>
      <w:tr w:rsidR="00CF0CC9" w:rsidRPr="006C6EE5" w:rsidTr="001A5C13">
        <w:trPr>
          <w:trHeight w:val="283"/>
          <w:tblHeader/>
        </w:trPr>
        <w:tc>
          <w:tcPr>
            <w:tcW w:w="937" w:type="pct"/>
            <w:vMerge/>
            <w:shd w:val="clear" w:color="auto" w:fill="FFFFFF"/>
            <w:vAlign w:val="center"/>
          </w:tcPr>
          <w:p w:rsidR="00CF0CC9" w:rsidRPr="00CF0CC9" w:rsidRDefault="00CF0CC9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24" w:type="pct"/>
            <w:vMerge/>
            <w:tcBorders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97" w:type="pct"/>
            <w:tcBorders>
              <w:top w:val="single" w:sz="12" w:space="0" w:color="B2B2B2" w:themeColor="accent2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Left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, N = 7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98" w:type="pct"/>
            <w:gridSpan w:val="2"/>
            <w:tcBorders>
              <w:top w:val="single" w:sz="12" w:space="0" w:color="B2B2B2" w:themeColor="accent2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Right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, N = 7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22" w:type="pct"/>
            <w:gridSpan w:val="2"/>
            <w:tcBorders>
              <w:top w:val="single" w:sz="12" w:space="0" w:color="B2B2B2" w:themeColor="accent2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Left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, N = 7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722" w:type="pct"/>
            <w:tcBorders>
              <w:top w:val="single" w:sz="12" w:space="0" w:color="B2B2B2" w:themeColor="accent2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0CC9" w:rsidRPr="00CF0CC9" w:rsidRDefault="00CF0CC9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Right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, N = 7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6C6EE5" w:rsidRPr="006C6EE5" w:rsidTr="001A5C13">
        <w:trPr>
          <w:trHeight w:val="283"/>
        </w:trPr>
        <w:tc>
          <w:tcPr>
            <w:tcW w:w="937" w:type="pct"/>
            <w:vMerge/>
            <w:shd w:val="clear" w:color="auto" w:fill="FFFFFF"/>
            <w:vAlign w:val="center"/>
          </w:tcPr>
          <w:p w:rsidR="006C6EE5" w:rsidRPr="00CF0CC9" w:rsidRDefault="006C6EE5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Mean torque</w:t>
            </w:r>
          </w:p>
        </w:tc>
        <w:tc>
          <w:tcPr>
            <w:tcW w:w="797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82 (66, 88)</w:t>
            </w:r>
          </w:p>
        </w:tc>
        <w:tc>
          <w:tcPr>
            <w:tcW w:w="798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84 (72, 88)</w:t>
            </w:r>
          </w:p>
        </w:tc>
        <w:tc>
          <w:tcPr>
            <w:tcW w:w="722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169 (122, 197)</w:t>
            </w:r>
          </w:p>
        </w:tc>
        <w:tc>
          <w:tcPr>
            <w:tcW w:w="722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176 (157, 190)</w:t>
            </w:r>
          </w:p>
        </w:tc>
      </w:tr>
      <w:tr w:rsidR="006C6EE5" w:rsidRPr="006C6EE5" w:rsidTr="001A5C13">
        <w:trPr>
          <w:trHeight w:val="283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C6EE5" w:rsidRPr="00CF0CC9" w:rsidRDefault="006C6EE5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SD of torque</w:t>
            </w:r>
          </w:p>
        </w:tc>
        <w:tc>
          <w:tcPr>
            <w:tcW w:w="797" w:type="pct"/>
            <w:tcBorders>
              <w:top w:val="single" w:sz="4" w:space="0" w:color="C7C7C7" w:themeColor="accent1" w:themeShade="E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2.40 (1.35, 2.95)</w:t>
            </w:r>
          </w:p>
        </w:tc>
        <w:tc>
          <w:tcPr>
            <w:tcW w:w="798" w:type="pct"/>
            <w:gridSpan w:val="2"/>
            <w:tcBorders>
              <w:top w:val="single" w:sz="4" w:space="0" w:color="C7C7C7" w:themeColor="accent1" w:themeShade="E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2.30 (1.65, 2.60)</w:t>
            </w:r>
          </w:p>
        </w:tc>
        <w:tc>
          <w:tcPr>
            <w:tcW w:w="722" w:type="pct"/>
            <w:gridSpan w:val="2"/>
            <w:tcBorders>
              <w:top w:val="single" w:sz="4" w:space="0" w:color="C7C7C7" w:themeColor="accent1" w:themeShade="E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6 (5, 9)</w:t>
            </w:r>
          </w:p>
        </w:tc>
        <w:tc>
          <w:tcPr>
            <w:tcW w:w="722" w:type="pct"/>
            <w:tcBorders>
              <w:top w:val="single" w:sz="4" w:space="0" w:color="C7C7C7" w:themeColor="accent1" w:themeShade="E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C6EE5" w:rsidRPr="00CF0CC9" w:rsidRDefault="006C6EE5" w:rsidP="00F027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8 (2, 10)</w:t>
            </w:r>
          </w:p>
        </w:tc>
      </w:tr>
      <w:tr w:rsidR="00804B16" w:rsidRPr="006C6EE5" w:rsidTr="001A5C13">
        <w:trPr>
          <w:trHeight w:val="283"/>
        </w:trPr>
        <w:tc>
          <w:tcPr>
            <w:tcW w:w="937" w:type="pct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04B16" w:rsidRPr="00CF0CC9" w:rsidRDefault="00804B16" w:rsidP="001874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eastAsia="Helvetica" w:cs="Times New Roman"/>
                <w:b/>
                <w:color w:val="000000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EMG activity</w:t>
            </w:r>
          </w:p>
        </w:tc>
        <w:tc>
          <w:tcPr>
            <w:tcW w:w="1024" w:type="pct"/>
            <w:tcBorders>
              <w:top w:val="single" w:sz="4" w:space="0" w:color="auto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04B16" w:rsidRPr="00CF0CC9" w:rsidRDefault="00804B16" w:rsidP="006C6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3039" w:type="pct"/>
            <w:gridSpan w:val="6"/>
            <w:tcBorders>
              <w:top w:val="single" w:sz="4" w:space="0" w:color="auto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04B16" w:rsidRPr="00CF0CC9" w:rsidRDefault="00804B16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N = 11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804B16" w:rsidRPr="006C6EE5" w:rsidTr="001A5C13">
        <w:trPr>
          <w:trHeight w:val="283"/>
        </w:trPr>
        <w:tc>
          <w:tcPr>
            <w:tcW w:w="937" w:type="pct"/>
            <w:vMerge/>
            <w:shd w:val="clear" w:color="auto" w:fill="FFFFFF"/>
            <w:vAlign w:val="center"/>
          </w:tcPr>
          <w:p w:rsidR="00804B16" w:rsidRPr="00CF0CC9" w:rsidRDefault="00804B16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04B16" w:rsidRPr="00CF0CC9" w:rsidRDefault="00804B16" w:rsidP="006C6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Mean EMG (%)</w:t>
            </w:r>
          </w:p>
        </w:tc>
        <w:tc>
          <w:tcPr>
            <w:tcW w:w="3039" w:type="pct"/>
            <w:gridSpan w:val="6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04B16" w:rsidRPr="00CF0CC9" w:rsidRDefault="00804B16" w:rsidP="006C6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27 (9)</w:t>
            </w:r>
          </w:p>
        </w:tc>
      </w:tr>
      <w:tr w:rsidR="00804B16" w:rsidRPr="006C6EE5" w:rsidTr="001A5C13">
        <w:trPr>
          <w:trHeight w:val="283"/>
        </w:trPr>
        <w:tc>
          <w:tcPr>
            <w:tcW w:w="937" w:type="pct"/>
            <w:vMerge/>
            <w:shd w:val="clear" w:color="auto" w:fill="FFFFFF"/>
            <w:vAlign w:val="center"/>
          </w:tcPr>
          <w:p w:rsidR="00804B16" w:rsidRPr="00CF0CC9" w:rsidRDefault="00804B16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04B16" w:rsidRPr="00CF0CC9" w:rsidRDefault="00804B16" w:rsidP="006C6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Median EMG (%)</w:t>
            </w:r>
          </w:p>
        </w:tc>
        <w:tc>
          <w:tcPr>
            <w:tcW w:w="3039" w:type="pct"/>
            <w:gridSpan w:val="6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04B16" w:rsidRPr="00CF0CC9" w:rsidRDefault="00804B16" w:rsidP="006C6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26 (9)</w:t>
            </w:r>
          </w:p>
        </w:tc>
      </w:tr>
      <w:tr w:rsidR="00804B16" w:rsidRPr="006C6EE5" w:rsidTr="001A5C13">
        <w:trPr>
          <w:trHeight w:val="283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4B16" w:rsidRPr="00CF0CC9" w:rsidRDefault="00804B16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04B16" w:rsidRPr="00CF0CC9" w:rsidRDefault="00804B16" w:rsidP="006C6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Peak EMG (%)</w:t>
            </w:r>
          </w:p>
        </w:tc>
        <w:tc>
          <w:tcPr>
            <w:tcW w:w="3039" w:type="pct"/>
            <w:gridSpan w:val="6"/>
            <w:tcBorders>
              <w:top w:val="single" w:sz="4" w:space="0" w:color="C7C7C7" w:themeColor="accent1" w:themeShade="E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04B16" w:rsidRPr="00CF0CC9" w:rsidRDefault="00804B16" w:rsidP="006C6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eastAsia="Helvetica" w:cs="Times New Roman"/>
                <w:color w:val="000000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46 (18)</w:t>
            </w:r>
          </w:p>
        </w:tc>
      </w:tr>
      <w:tr w:rsidR="000A4BEF" w:rsidRPr="006C6EE5" w:rsidTr="001A5C13">
        <w:trPr>
          <w:trHeight w:val="283"/>
        </w:trPr>
        <w:tc>
          <w:tcPr>
            <w:tcW w:w="937" w:type="pct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57" w:right="57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Jump recordings</w:t>
            </w:r>
          </w:p>
        </w:tc>
        <w:tc>
          <w:tcPr>
            <w:tcW w:w="1024" w:type="pct"/>
            <w:tcBorders>
              <w:top w:val="single" w:sz="4" w:space="0" w:color="auto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196" w:type="pct"/>
            <w:gridSpan w:val="2"/>
            <w:tcBorders>
              <w:top w:val="single" w:sz="4" w:space="0" w:color="auto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BEF" w:rsidRPr="00CF0CC9" w:rsidRDefault="000A4BEF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Abalakov</w:t>
            </w:r>
            <w:proofErr w:type="spellEnd"/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, N = 11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60" w:type="pct"/>
            <w:gridSpan w:val="2"/>
            <w:tcBorders>
              <w:top w:val="single" w:sz="4" w:space="0" w:color="auto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BEF" w:rsidRPr="00CF0CC9" w:rsidRDefault="000A4BEF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CMJ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, N = 11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83" w:type="pct"/>
            <w:gridSpan w:val="2"/>
            <w:tcBorders>
              <w:top w:val="single" w:sz="4" w:space="0" w:color="auto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A4BEF" w:rsidRPr="00CF0CC9" w:rsidRDefault="000A4BEF" w:rsidP="00CF0C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b/>
                <w:color w:val="000000"/>
                <w:sz w:val="18"/>
                <w:szCs w:val="18"/>
              </w:rPr>
              <w:t>SJ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, N = 11</w:t>
            </w:r>
            <w:r w:rsidRPr="00CF0CC9">
              <w:rPr>
                <w:rFonts w:eastAsia="Helvetica" w:cs="Times New Roman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0A4BEF" w:rsidRPr="006C6EE5" w:rsidTr="001A5C13">
        <w:trPr>
          <w:trHeight w:val="283"/>
        </w:trPr>
        <w:tc>
          <w:tcPr>
            <w:tcW w:w="937" w:type="pct"/>
            <w:vMerge/>
            <w:shd w:val="clear" w:color="auto" w:fill="FFFFFF"/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Jump height (m)</w:t>
            </w:r>
          </w:p>
        </w:tc>
        <w:tc>
          <w:tcPr>
            <w:tcW w:w="1196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0.31 (0.06)</w:t>
            </w:r>
          </w:p>
        </w:tc>
        <w:tc>
          <w:tcPr>
            <w:tcW w:w="760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0.26 (0.06)</w:t>
            </w:r>
          </w:p>
        </w:tc>
        <w:tc>
          <w:tcPr>
            <w:tcW w:w="1083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0.27 (0.06)</w:t>
            </w:r>
          </w:p>
        </w:tc>
      </w:tr>
      <w:tr w:rsidR="000A4BEF" w:rsidRPr="006C6EE5" w:rsidTr="001A5C13">
        <w:trPr>
          <w:trHeight w:val="283"/>
        </w:trPr>
        <w:tc>
          <w:tcPr>
            <w:tcW w:w="937" w:type="pct"/>
            <w:vMerge/>
            <w:shd w:val="clear" w:color="auto" w:fill="FFFFFF"/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Jump peak force (N)</w:t>
            </w:r>
          </w:p>
        </w:tc>
        <w:tc>
          <w:tcPr>
            <w:tcW w:w="1196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1,579 (293)</w:t>
            </w:r>
          </w:p>
        </w:tc>
        <w:tc>
          <w:tcPr>
            <w:tcW w:w="760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1,494 (278)</w:t>
            </w:r>
          </w:p>
        </w:tc>
        <w:tc>
          <w:tcPr>
            <w:tcW w:w="1083" w:type="pct"/>
            <w:gridSpan w:val="2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1,553 (294)</w:t>
            </w:r>
          </w:p>
        </w:tc>
      </w:tr>
      <w:tr w:rsidR="000A4BEF" w:rsidRPr="006C6EE5" w:rsidTr="001A5C13">
        <w:trPr>
          <w:trHeight w:val="283"/>
        </w:trPr>
        <w:tc>
          <w:tcPr>
            <w:tcW w:w="937" w:type="pct"/>
            <w:vMerge/>
            <w:tcBorders>
              <w:bottom w:val="single" w:sz="12" w:space="0" w:color="B2B2B2" w:themeColor="accent2"/>
            </w:tcBorders>
            <w:shd w:val="clear" w:color="auto" w:fill="FFFFFF"/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eastAsia="Helvetica" w:cs="Times New Roman"/>
                <w:color w:val="000000"/>
                <w:sz w:val="18"/>
                <w:szCs w:val="18"/>
              </w:rPr>
            </w:pPr>
          </w:p>
        </w:tc>
        <w:tc>
          <w:tcPr>
            <w:tcW w:w="1024" w:type="pct"/>
            <w:tcBorders>
              <w:top w:val="single" w:sz="4" w:space="0" w:color="C7C7C7" w:themeColor="accent1" w:themeShade="E6"/>
              <w:bottom w:val="single" w:sz="12" w:space="0" w:color="B2B2B2" w:themeColor="accent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left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Jump power peak (W)</w:t>
            </w:r>
          </w:p>
        </w:tc>
        <w:tc>
          <w:tcPr>
            <w:tcW w:w="1196" w:type="pct"/>
            <w:gridSpan w:val="2"/>
            <w:tcBorders>
              <w:top w:val="single" w:sz="4" w:space="0" w:color="C7C7C7" w:themeColor="accent1" w:themeShade="E6"/>
              <w:bottom w:val="single" w:sz="12" w:space="0" w:color="B2B2B2" w:themeColor="accent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3,941 (879)</w:t>
            </w:r>
          </w:p>
        </w:tc>
        <w:tc>
          <w:tcPr>
            <w:tcW w:w="760" w:type="pct"/>
            <w:gridSpan w:val="2"/>
            <w:tcBorders>
              <w:top w:val="single" w:sz="4" w:space="0" w:color="C7C7C7" w:themeColor="accent1" w:themeShade="E6"/>
              <w:bottom w:val="single" w:sz="12" w:space="0" w:color="B2B2B2" w:themeColor="accent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3,707 (1,113)</w:t>
            </w:r>
          </w:p>
        </w:tc>
        <w:tc>
          <w:tcPr>
            <w:tcW w:w="1083" w:type="pct"/>
            <w:gridSpan w:val="2"/>
            <w:tcBorders>
              <w:top w:val="single" w:sz="4" w:space="0" w:color="C7C7C7" w:themeColor="accent1" w:themeShade="E6"/>
              <w:bottom w:val="single" w:sz="12" w:space="0" w:color="B2B2B2" w:themeColor="accent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A4BEF" w:rsidRPr="00CF0CC9" w:rsidRDefault="000A4BEF" w:rsidP="000A4BE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0"/>
              <w:jc w:val="center"/>
              <w:rPr>
                <w:rFonts w:cs="Times New Roman"/>
                <w:sz w:val="18"/>
                <w:szCs w:val="18"/>
              </w:rPr>
            </w:pPr>
            <w:r w:rsidRPr="00CF0CC9">
              <w:rPr>
                <w:rFonts w:eastAsia="Helvetica" w:cs="Times New Roman"/>
                <w:color w:val="000000"/>
                <w:sz w:val="18"/>
                <w:szCs w:val="18"/>
              </w:rPr>
              <w:t>3,154 (1,291)</w:t>
            </w:r>
          </w:p>
        </w:tc>
      </w:tr>
    </w:tbl>
    <w:p w:rsidR="00632A23" w:rsidRPr="00D17317" w:rsidRDefault="000A4BEF" w:rsidP="00D17317">
      <w:pPr>
        <w:pStyle w:val="Compact"/>
        <w:spacing w:line="240" w:lineRule="auto"/>
      </w:pPr>
      <w:r w:rsidRPr="00D17317">
        <w:rPr>
          <w:i/>
          <w:iCs/>
        </w:rPr>
        <w:t>Table 1.</w:t>
      </w:r>
      <w:r w:rsidRPr="00D17317">
        <w:t xml:space="preserve"> Baseline characteristics across </w:t>
      </w:r>
      <w:r w:rsidR="00D17317" w:rsidRPr="00D17317">
        <w:t xml:space="preserve">performance metrics assessed: Isokinetic torque for the hamstrings and quadriceps for each leg; EMG activity recorded during FTP test; Recordings from each of the jumps </w:t>
      </w:r>
      <w:proofErr w:type="spellStart"/>
      <w:r w:rsidR="00D17317" w:rsidRPr="00D17317">
        <w:t>Abalakov</w:t>
      </w:r>
      <w:proofErr w:type="spellEnd"/>
      <w:r w:rsidR="00D17317" w:rsidRPr="00D17317">
        <w:t>, CMJ and SJ. Descriptive statistics were one of (1) Median (IQR) for isokinetic data, and (2) Mean (SD) for EMG and jump data.</w:t>
      </w:r>
    </w:p>
    <w:sectPr w:rsidR="00632A23" w:rsidRPr="00D17317" w:rsidSect="000A4BEF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5B76" w:rsidRDefault="009F5B76">
      <w:pPr>
        <w:spacing w:after="0" w:line="240" w:lineRule="auto"/>
      </w:pPr>
      <w:r>
        <w:separator/>
      </w:r>
    </w:p>
  </w:endnote>
  <w:endnote w:type="continuationSeparator" w:id="0">
    <w:p w:rsidR="009F5B76" w:rsidRDefault="009F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5B76" w:rsidRDefault="009F5B76">
      <w:r>
        <w:separator/>
      </w:r>
    </w:p>
  </w:footnote>
  <w:footnote w:type="continuationSeparator" w:id="0">
    <w:p w:rsidR="009F5B76" w:rsidRDefault="009F5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488"/>
    <w:rsid w:val="000A4BEF"/>
    <w:rsid w:val="001A5C13"/>
    <w:rsid w:val="00455FC9"/>
    <w:rsid w:val="00632A23"/>
    <w:rsid w:val="00666488"/>
    <w:rsid w:val="006C6EE5"/>
    <w:rsid w:val="00804B16"/>
    <w:rsid w:val="009321AF"/>
    <w:rsid w:val="009F5B76"/>
    <w:rsid w:val="00C03AFD"/>
    <w:rsid w:val="00CF0CC9"/>
    <w:rsid w:val="00D17317"/>
    <w:rsid w:val="00F02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14EDB52-01D0-1641-BF40-843C7AC2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987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26498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264987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61F2B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26498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264987"/>
    <w:pPr>
      <w:spacing w:before="240"/>
    </w:pPr>
    <w:rPr>
      <w:color w:val="000000" w:themeColor="text1"/>
      <w:sz w:val="30"/>
      <w:szCs w:val="30"/>
    </w:rPr>
  </w:style>
  <w:style w:type="paragraph" w:customStyle="1" w:styleId="Author">
    <w:name w:val="Author"/>
    <w:next w:val="Textoindependiente"/>
    <w:qFormat/>
    <w:rsid w:val="00264987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CE634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264987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17F09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C61F2B"/>
    <w:rPr>
      <w:color w:val="auto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visitado">
    <w:name w:val="FollowedHyperlink"/>
    <w:basedOn w:val="Fuentedeprrafopredeter"/>
    <w:semiHidden/>
    <w:unhideWhenUsed/>
    <w:rsid w:val="00C61F2B"/>
    <w:rPr>
      <w:b w:val="0"/>
      <w:i w:val="0"/>
      <w:color w:val="auto"/>
      <w:u w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1F2B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F021F"/>
  </w:style>
  <w:style w:type="paragraph" w:customStyle="1" w:styleId="Afiliation">
    <w:name w:val="Afiliation"/>
    <w:basedOn w:val="Textoindependiente"/>
    <w:qFormat/>
    <w:rsid w:val="00C61593"/>
    <w:pPr>
      <w:spacing w:before="0" w:after="0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-1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luma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6</cp:revision>
  <dcterms:created xsi:type="dcterms:W3CDTF">2023-07-26T23:04:00Z</dcterms:created>
  <dcterms:modified xsi:type="dcterms:W3CDTF">2023-07-30T22:53:00Z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../misc/ref.bib</vt:lpwstr>
  </property>
  <property fmtid="{D5CDD505-2E9C-101B-9397-08002B2CF9AE}" pid="3" name="csl">
    <vt:lpwstr>../misc/vancouver.csl</vt:lpwstr>
  </property>
  <property fmtid="{D5CDD505-2E9C-101B-9397-08002B2CF9AE}" pid="4" name="output">
    <vt:lpwstr/>
  </property>
</Properties>
</file>