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81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the findings unveil a triangular relationship, where body fat percentage significantly impacts physical fitness and cardiac autonomic activity during exercise, while a greater sympathetic activity correlates with higher physical fitness. Additionally, physical fitness moderates the link between body fat and cardiac autonomic activity, emphasizing its importance for older adults’ health. Further research is needed to explore psychological variables’ moderating effects.</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highlighting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this study explore their collective influence on physical fitness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moderating effect of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moderating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81 community-dwelling older adults were recruited and selected by non-probabilistic sampling, from the Region of Magallanes and Chilean Antartica, Chile. They were included if: 65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prepared. For resting HRV measurements (before and after the application of the TMST), the volunteers remained seated in a chair, with feet and back supported, ensuring avoiding to talk during the recordings. R-R intervals were recorded continuously during the last 10 min of rest, and were subsequently analyzed for 5 min in each occasion. The breathing rate was spontaneous. As part of the protocol, it was ensured that the participant needed to have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computed.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conducted to compute HRV related indices were performed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cardiorespiratory fitness. Participants are instructed to raise their right knee to a marked point on a wall as many times as possible within the given time frame, ensuring that each raise reaches at least a 70° angle at the thigh-femoral joint. The number of valid steps were recorded for each subject.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depressive symptoms</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relationship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mediation effect (ACME), the average direct effect (ADE) of the main effects after taking into account the effect of moderator variables into the observed relationships and the proportion of the effect that its mediated by these variables</w:t>
      </w:r>
      <w:r>
        <w:t xml:space="preserve"> </w:t>
      </w:r>
      <w:r>
        <w:t xml:space="preserve">(44)</w:t>
      </w:r>
      <w:r>
        <w:t xml:space="preserve">. To assess the significance of moderating variables, we used non overlapping CI</w:t>
      </w:r>
      <w:r>
        <w:rPr>
          <w:vertAlign w:val="subscript"/>
        </w:rPr>
        <w:t xml:space="preserve">95%</w:t>
      </w:r>
      <w:r>
        <w:t xml:space="preserve">, estimated based on non parametric bootstrapping by using Monte Carlo resampling, and bias-corrected and accelerated CI</w:t>
      </w:r>
      <w:r>
        <w:rPr>
          <w:vertAlign w:val="subscript"/>
        </w:rPr>
        <w:t xml:space="preserve">95%</w:t>
      </w:r>
      <w:r>
        <w:t xml:space="preserve">, using the</w:t>
      </w:r>
      <w:r>
        <w:t xml:space="preserve"> </w:t>
      </w:r>
      <w:r>
        <w:rPr>
          <w:iCs/>
          <w:i/>
        </w:rPr>
        <w:t xml:space="preserve">mediation</w:t>
      </w:r>
      <w:r>
        <w:t xml:space="preserve"> </w:t>
      </w:r>
      <w:r>
        <w:t xml:space="preserve">R package to this end</w:t>
      </w:r>
      <w:r>
        <w:t xml:space="preserve"> </w:t>
      </w:r>
      <w:r>
        <w:t xml:space="preserve">(45)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and non-overlapping CI</w:t>
      </w:r>
      <w:r>
        <w:rPr>
          <w:vertAlign w:val="subscript"/>
        </w:rPr>
        <w:t xml:space="preserve">95%</w:t>
      </w:r>
      <w:r>
        <w:t xml:space="preserve"> </w:t>
      </w:r>
      <w:r>
        <w:t xml:space="preserve">over the null effect for sex differences and mediation analyses. All analyses were computed using the</w:t>
      </w:r>
      <w:r>
        <w:t xml:space="preserve"> </w:t>
      </w:r>
      <w:r>
        <w:rPr>
          <w:iCs/>
          <w:i/>
        </w:rPr>
        <w:t xml:space="preserve">R</w:t>
      </w:r>
      <w:r>
        <w:t xml:space="preserve"> </w:t>
      </w:r>
      <w:r>
        <w:t xml:space="preserve">programming language for statistical computing,</w:t>
      </w:r>
      <w:r>
        <w:t xml:space="preserve"> </w:t>
      </w:r>
      <w:r>
        <w:t xml:space="preserve">(46)</w:t>
      </w:r>
      <w:r>
        <w:t xml:space="preserve">.</w:t>
      </w:r>
    </w:p>
    <w:bookmarkEnd w:id="34"/>
    <w:bookmarkEnd w:id="35"/>
    <w:bookmarkStart w:id="44"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p>
      <w:pPr>
        <w:pStyle w:val="Textoindependiente"/>
      </w:pPr>
      <w:r>
        <w:rPr>
          <w:bCs/>
          <w:b/>
        </w:rPr>
        <w:t xml:space="preserve">Table 1</w:t>
      </w:r>
      <w:r>
        <w:t xml:space="preserve">. Main sample characteristics. Body composition and sociodemograpic variables are displayed for the overall sample and aggregated by sex. Differences between males and females are displayed as SMD and CI</w:t>
      </w:r>
      <w:r>
        <w:rPr>
          <w:vertAlign w:val="subscript"/>
        </w:rPr>
        <w:t xml:space="preserve">95%</w:t>
      </w:r>
      <w:r>
        <w:t xml:space="preserve"> </w:t>
      </w:r>
      <w:r>
        <w:t xml:space="preserve">for continuous variables.</w:t>
      </w:r>
    </w:p>
    <w:bookmarkEnd w:id="36"/>
    <w:bookmarkStart w:id="40"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 No other body composition variables were found to influence the cardiac autonomic response to exercise.</w:t>
      </w:r>
    </w:p>
    <w:p>
      <w:pPr>
        <w:pStyle w:val="Textoindependiente"/>
      </w:pPr>
      <w:r>
        <w:drawing>
          <wp:inline>
            <wp:extent cx="5600700" cy="5600700"/>
            <wp:effectExtent b="0" l="0" r="0" t="0"/>
            <wp:docPr descr="" title="" id="38" name="Picture"/>
            <a:graphic>
              <a:graphicData uri="http://schemas.openxmlformats.org/drawingml/2006/picture">
                <pic:pic>
                  <pic:nvPicPr>
                    <pic:cNvPr descr="figures/fig-1.jpeg" id="39" name="Picture"/>
                    <pic:cNvPicPr>
                      <a:picLocks noChangeArrowheads="1" noChangeAspect="1"/>
                    </pic:cNvPicPr>
                  </pic:nvPicPr>
                  <pic:blipFill>
                    <a:blip r:embed="rId37"/>
                    <a:stretch>
                      <a:fillRect/>
                    </a:stretch>
                  </pic:blipFill>
                  <pic:spPr bwMode="auto">
                    <a:xfrm>
                      <a:off x="0" y="0"/>
                      <a:ext cx="5600700" cy="5600700"/>
                    </a:xfrm>
                    <a:prstGeom prst="rect">
                      <a:avLst/>
                    </a:prstGeom>
                    <a:noFill/>
                    <a:ln w="9525">
                      <a:noFill/>
                      <a:headEnd/>
                      <a:tailEnd/>
                    </a:ln>
                  </pic:spPr>
                </pic:pic>
              </a:graphicData>
            </a:graphic>
          </wp:inline>
        </w:drawing>
      </w:r>
      <w:r>
        <w:t xml:space="preserve"> </w:t>
      </w:r>
      <w:r>
        <w:rPr>
          <w:bCs/>
          <w:b/>
        </w:rPr>
        <w:t xml:space="preserve">Figure 1</w:t>
      </w:r>
      <w:r>
        <w:t xml:space="preserve">. Main correlations among psychological, cardiac autonomic and performance variables. Non-significant correlations (i.e., p &gt; 0.05) were crossed with and</w:t>
      </w:r>
      <w:r>
        <w:t xml:space="preserve"> </w:t>
      </w:r>
      <w:r>
        <w:t xml:space="preserve">“</w:t>
      </w:r>
      <w:r>
        <w:t xml:space="preserve">X</w:t>
      </w:r>
      <w:r>
        <w:t xml:space="preserve">”</w:t>
      </w:r>
      <w:r>
        <w:t xml:space="preserve">. The more intense the color the stronger the correlation, either positive or negative. GDS, Geriatric Depression Scale; BAI, Beck Anxiety Inventory; SPPB, Short Physical Performance Battery; TMST, Two-Minutes Step Test; BMI, Body Mass Index.</w:t>
      </w:r>
    </w:p>
    <w:bookmarkEnd w:id="40"/>
    <w:bookmarkStart w:id="41" w:name="body-composition-and-physical-fitness"/>
    <w:p>
      <w:pPr>
        <w:pStyle w:val="Ttulo2"/>
      </w:pPr>
      <w:r>
        <w:t xml:space="preserve">Body composition and physical fitness</w:t>
      </w:r>
    </w:p>
    <w:p>
      <w:pPr>
        <w:pStyle w:val="FirstParagraph"/>
      </w:pPr>
      <w:r>
        <w:t xml:space="preserve">In addition, greater SPPB score was observed in leaner (r = -0.273, p = 0.015) and individuals with lower BMI values (r = -0.225, p = 0.047). Similar findings were observed between total steps from the TMST and body fat percentage (r = -0.279, p = 0.013) and bodyweight (r = -0.232, p = 0.041). Not enough evidence was observed to suggest a correlation between total muscle mass with either total SPPB score (r = -0.063, p = 0.584) or total number of steps in TMST (r = -0.070, p = 0.541).</w:t>
      </w:r>
    </w:p>
    <w:bookmarkEnd w:id="41"/>
    <w:bookmarkStart w:id="42" w:name="X0dafefae5bc1478505e41d030dd2591a85ae1d3"/>
    <w:p>
      <w:pPr>
        <w:pStyle w:val="Ttulo2"/>
      </w:pPr>
      <w:r>
        <w:t xml:space="preserve">Physical fitness and cardiac autonomic response to exercise</w:t>
      </w:r>
    </w:p>
    <w:p>
      <w:pPr>
        <w:pStyle w:val="FirstParagraph"/>
      </w:pPr>
      <w:r>
        <w:t xml:space="preserve">Physical fitness, reflected through SPPB total score and total steps in TMST, was positively correlated with a greater sympathetic activity during exercise, which was reflected by SNS index (SPPB score, r = 0.313, p = 0.006; TMST steps, r = 0.265, p = 0.022), mean HR (SPPB score, r = 0.355, p = 0.002; TMST steps, r = 0.338, p = 0.003) and its inverse counterpart mean R-R (SPPB score, r = -0.35, p = 0.002; TMST steps, r = -0.311, p = 0.007). Total number of steps from TMST was also inversely correlated with parasympathetic indices during exercise like RMSSD (r = -0.285, p = 0.014) and PNS index (r = -0.344, p = 0.003).</w:t>
      </w:r>
    </w:p>
    <w:p>
      <w:pPr>
        <w:pStyle w:val="Textoindependiente"/>
      </w:pPr>
      <w:r>
        <w:t xml:space="preserve">However, this appears to be accompanied by an proportional decrease in parasympathetic drive during exercise with increasing levels of physical fitness displayed in the SPPB, which was denoted by the inverse correlation of the later with PNS index during (r = -0.375, p = 0.001) and after exercise (r = -0.229, p = 0.049), in addition to RMSSD during exercise (r = -0.294, p = 0.010)</w:t>
      </w:r>
    </w:p>
    <w:bookmarkEnd w:id="42"/>
    <w:bookmarkStart w:id="43" w:name="mediation-analysis"/>
    <w:p>
      <w:pPr>
        <w:pStyle w:val="Ttulo2"/>
      </w:pPr>
      <w:r>
        <w:t xml:space="preserve">Mediation analysis</w:t>
      </w:r>
    </w:p>
    <w:p>
      <w:pPr>
        <w:pStyle w:val="FirstParagraph"/>
      </w:pPr>
      <w:r>
        <w:t xml:space="preserve">Mediation analyses suggest many potential influential effects for the relationships for body composition and parasympathetic indices. In this context, the average direct effect (ADE) of body fat percentage on RMSSD during exercise (ADE = 0.088, CI</w:t>
      </w:r>
      <w:r>
        <w:rPr>
          <w:vertAlign w:val="subscript"/>
        </w:rPr>
        <w:t xml:space="preserve">95%</w:t>
      </w:r>
      <w:r>
        <w:t xml:space="preserve">[-0.005, 0.200], p = 0.077) was accentuated when considering the influence of SPPB score (ACME = 0.0289, CI</w:t>
      </w:r>
      <w:r>
        <w:rPr>
          <w:vertAlign w:val="subscript"/>
        </w:rPr>
        <w:t xml:space="preserve">95%</w:t>
      </w:r>
      <w:r>
        <w:t xml:space="preserve">[0.003, 0.110], p = 0.057; Total effect = 0.117, CI</w:t>
      </w:r>
      <w:r>
        <w:rPr>
          <w:vertAlign w:val="subscript"/>
        </w:rPr>
        <w:t xml:space="preserve">95%</w:t>
      </w:r>
      <w:r>
        <w:t xml:space="preserve">[0.028, 0.240], p = 0.012). Similar findings were observed when considering the mediation effect of TMST steps into account (ACME = 0.0283, CI</w:t>
      </w:r>
      <w:r>
        <w:rPr>
          <w:vertAlign w:val="subscript"/>
        </w:rPr>
        <w:t xml:space="preserve">95%</w:t>
      </w:r>
      <w:r>
        <w:t xml:space="preserve">[0, 0.07], p = 0.079; Total effect = 0.117, CI</w:t>
      </w:r>
      <w:r>
        <w:rPr>
          <w:vertAlign w:val="subscript"/>
        </w:rPr>
        <w:t xml:space="preserve">95%</w:t>
      </w:r>
      <w:r>
        <w:t xml:space="preserve">[0.028, 0.240], p = 0.012). No other parasympathetic indicators were influenced or mediated by fitness or psychological related measures.</w:t>
      </w:r>
    </w:p>
    <w:p>
      <w:pPr>
        <w:pStyle w:val="Textoindependiente"/>
      </w:pPr>
      <w:r>
        <w:t xml:space="preserve">Additionally, and in the case on sympathetic indicators, the effect of body fat on SNS index during exercise (ADE = -0.050, CI</w:t>
      </w:r>
      <w:r>
        <w:rPr>
          <w:vertAlign w:val="subscript"/>
        </w:rPr>
        <w:t xml:space="preserve">95%</w:t>
      </w:r>
      <w:r>
        <w:t xml:space="preserve">[-0.107, 0.01], p = 0.077) was influenced by SPPB score in similar way as with RMSSD, potentiating the original main observed effect (ACME = -0.016, CI</w:t>
      </w:r>
      <w:r>
        <w:rPr>
          <w:vertAlign w:val="subscript"/>
        </w:rPr>
        <w:t xml:space="preserve">95%</w:t>
      </w:r>
      <w:r>
        <w:t xml:space="preserve">[-0.049, 0], p = 0.041; Total effect = -0.066, CI</w:t>
      </w:r>
      <w:r>
        <w:rPr>
          <w:vertAlign w:val="subscript"/>
        </w:rPr>
        <w:t xml:space="preserve">95%</w:t>
      </w:r>
      <w:r>
        <w:t xml:space="preserve">[-0.125, -0.010], p = 0.016). Similar effects were observed with TMST steps in this regard (ACME = -0.015, CI</w:t>
      </w:r>
      <w:r>
        <w:rPr>
          <w:vertAlign w:val="subscript"/>
        </w:rPr>
        <w:t xml:space="preserve">95%</w:t>
      </w:r>
      <w:r>
        <w:t xml:space="preserve">[-0.042, 0], p = 0.050; Total effect = -0.066, CI</w:t>
      </w:r>
      <w:r>
        <w:rPr>
          <w:vertAlign w:val="subscript"/>
        </w:rPr>
        <w:t xml:space="preserve">95%</w:t>
      </w:r>
      <w:r>
        <w:t xml:space="preserve">[-0.125, -0.010], p = 0.016). No other sympathetic indices were notoriously modified in the presence of either SPPB score, TMST steps or psychological variables.</w:t>
      </w:r>
    </w:p>
    <w:p>
      <w:pPr>
        <w:pStyle w:val="Textoindependiente"/>
      </w:pPr>
      <w:r>
        <w:t xml:space="preserve">When assessing potential mediators for the effect of body composition on fitness related measures, we found that the effect of body fat percentage on SPPB score (ADE = -0.075, CI</w:t>
      </w:r>
      <w:r>
        <w:rPr>
          <w:vertAlign w:val="subscript"/>
        </w:rPr>
        <w:t xml:space="preserve">95%</w:t>
      </w:r>
      <w:r>
        <w:t xml:space="preserve">[-0.123, -0.020], p = 0.007) is partially diminished when considering the influence of total muscle mass (ACME = 0.011, CI</w:t>
      </w:r>
      <w:r>
        <w:rPr>
          <w:vertAlign w:val="subscript"/>
        </w:rPr>
        <w:t xml:space="preserve">95%</w:t>
      </w:r>
      <w:r>
        <w:t xml:space="preserve">[0, 0.040], p = 0.107; Total effect = -0.064, CI</w:t>
      </w:r>
      <w:r>
        <w:rPr>
          <w:vertAlign w:val="subscript"/>
        </w:rPr>
        <w:t xml:space="preserve">95%</w:t>
      </w:r>
      <w:r>
        <w:t xml:space="preserve">[-0.111, -0.010], p = 0.014).</w:t>
      </w:r>
      <w:r>
        <w:t xml:space="preserve"> </w:t>
      </w:r>
      <w:r>
        <w:t xml:space="preserve">Similar mediation effects of total muscle mass were observed (ACME = 0.118, CI</w:t>
      </w:r>
      <w:r>
        <w:rPr>
          <w:vertAlign w:val="subscript"/>
        </w:rPr>
        <w:t xml:space="preserve">95%</w:t>
      </w:r>
      <w:r>
        <w:t xml:space="preserve">[0.005, 0.350], p = 0.075) when assessing the effect of body fat percentage on TMST steps (ADE = -0.773, CI</w:t>
      </w:r>
      <w:r>
        <w:rPr>
          <w:vertAlign w:val="subscript"/>
        </w:rPr>
        <w:t xml:space="preserve">95%</w:t>
      </w:r>
      <w:r>
        <w:t xml:space="preserve">[-1.193, -0.300], p = 0.001; Total effect = -0.655, CI</w:t>
      </w:r>
      <w:r>
        <w:rPr>
          <w:vertAlign w:val="subscript"/>
        </w:rPr>
        <w:t xml:space="preserve">95%</w:t>
      </w:r>
      <w:r>
        <w:t xml:space="preserve">[-1.084, -0.210], p = 0.004). No other mediating effects were observed for any of the psychological measures for any of the relationships between body composition and physical fitness measures.</w:t>
      </w:r>
    </w:p>
    <w:bookmarkEnd w:id="43"/>
    <w:bookmarkEnd w:id="44"/>
    <w:bookmarkStart w:id="45"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correlational analyses,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correlated to physical fitness. Our results aligns with this hypothesis and with those of previous research regarding body composition and physical performance, with a proportional decrease in aging individuals</w:t>
      </w:r>
      <w:r>
        <w:t xml:space="preserve"> </w:t>
      </w:r>
      <w:r>
        <w:t xml:space="preserve">(47,48)</w:t>
      </w:r>
      <w:r>
        <w:t xml:space="preserve">.</w:t>
      </w:r>
    </w:p>
    <w:p>
      <w:pPr>
        <w:pStyle w:val="Textoindependiente"/>
      </w:pPr>
      <w:r>
        <w:t xml:space="preserve">Furthermore, greater body fat percentage was related to a reduced sympathetic drive and higher parasympathetic activity during the TMST, as hypothesized. Throughout the course of physical efforts, the ANS is expected to shift into a sympathetic state, ensuring an efficient response to greater metabolic demands</w:t>
      </w:r>
      <w:r>
        <w:t xml:space="preserve"> </w:t>
      </w:r>
      <w:r>
        <w:t xml:space="preserve">(49)</w:t>
      </w:r>
      <w:r>
        <w:t xml:space="preserve">. However, aged individuals may present an impaired ANS response to physical exercise</w:t>
      </w:r>
      <w:r>
        <w:t xml:space="preserve"> </w:t>
      </w:r>
      <w:r>
        <w:t xml:space="preserve">(27)</w:t>
      </w:r>
      <w:r>
        <w:t xml:space="preserve">. In that sense, our results support that body composition may play a pivotal role in that response, generating novel insights for potential interventions.</w:t>
      </w:r>
    </w:p>
    <w:p>
      <w:pPr>
        <w:pStyle w:val="Textoindependiente"/>
      </w:pPr>
      <w:r>
        <w:t xml:space="preserve">Nonetheless, the moderating effect of physical fitness related measures on the relationship proposed earlier, suggests that greater physical activity could potentially counteract the negative effects of a high body fat percentage on cardiac autonomic response to exercise, possibly, at the same extent as seen in leaner individuals. This result highlights the importance of promoting a physically active lifestyle and favor the maintenance of physical capacity, regardless of nutritional status</w:t>
      </w:r>
      <w:r>
        <w:t xml:space="preserve"> </w:t>
      </w:r>
      <w:r>
        <w:t xml:space="preserve">(50,51)</w:t>
      </w:r>
      <w:r>
        <w:t xml:space="preserve">.</w:t>
      </w:r>
    </w:p>
    <w:p>
      <w:pPr>
        <w:pStyle w:val="Textoindependiente"/>
      </w:pPr>
      <w:r>
        <w:t xml:space="preserve">Regarding the link between physical fitness and cardiac autonomic response to exercise, our results evidenced that individuals with a high sympathetic drive while exercising, had greater physical fitness. Additionally, previous research had demonstrated the utility of HRV and exercise-induced responses in those metrics as a potential marker of cardiorespiratory fitness in these individuals</w:t>
      </w:r>
      <w:r>
        <w:t xml:space="preserve"> </w:t>
      </w:r>
      <w:r>
        <w:t xml:space="preserve">(22)</w:t>
      </w:r>
      <w:r>
        <w:t xml:space="preserve">, supporting the current hypothesis that a greater sympathetic drive facilitates performance and its related measures during moderate intensity physical activities. Even more, it has been previously demonstrated that physically active individuals have an enhanced autonomic response to exercise, playing a pivotal role strengthening this hypothesis</w:t>
      </w:r>
      <w:r>
        <w:t xml:space="preserve"> </w:t>
      </w:r>
      <w:r>
        <w:t xml:space="preserve">(52,53)</w:t>
      </w:r>
      <w:r>
        <w:t xml:space="preserve">.</w:t>
      </w:r>
    </w:p>
    <w:p>
      <w:pPr>
        <w:pStyle w:val="Textoindependiente"/>
      </w:pPr>
      <w:r>
        <w:t xml:space="preserve">Our results provide evidence to support the interplay between physical fitness, body fat, and cardiac autonomic response to exercise in older individuals. Physical fitness is negatively affected by higher body fat percentage, while also being associated with impaired cardiac autonomic response to exercise, characterized by decreased sympathetic drive and increased parasympathetic tone. Additionally, this altered autonomic response is related to lower physical performance in older individuals, both variables being important predictors of health outcomes in this population</w:t>
      </w:r>
      <w:r>
        <w:t xml:space="preserve"> </w:t>
      </w:r>
      <w:r>
        <w:t xml:space="preserve">(54,55)</w:t>
      </w:r>
      <w:r>
        <w:t xml:space="preserve">. Overall, our findings underscore the triangular and bidirectional relationship among these variables.</w:t>
      </w:r>
    </w:p>
    <w:p>
      <w:pPr>
        <w:pStyle w:val="Textoindependiente"/>
      </w:pPr>
      <w:r>
        <w:t xml:space="preserve">However, our results did not evidence a moderating effect of either GDS-30 or BAI scores, challenging our initial hypothesis. These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moderating effects does not diminish the significance of psychological factors in aging, it highlights the complexity of their influence.</w:t>
      </w:r>
    </w:p>
    <w:p>
      <w:pPr>
        <w:pStyle w:val="Textoindependiente"/>
      </w:pPr>
      <w:r>
        <w:t xml:space="preserve">In addition to the potential strengths of this cross-sectional study, it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limiting generalizability and statistical power of the analysis. Furthermore, the sample consisted mainly of women (82.7%), limiting our ability to make sex comparisons and decreasing the representativeness of the sample. It should also be noted that the relationships between physical fitness and cardiac autonomic response to exercise were not made within the same instrument, due to the possible lack of SPPB to generate an adequate physical stress, and of TMST to inform general physical fitness of the participants. Further research could investigate the impact of cardiac autonomic response on performance during the same task, in this age group.</w:t>
      </w:r>
    </w:p>
    <w:bookmarkEnd w:id="45"/>
    <w:bookmarkStart w:id="46" w:name="conclusion"/>
    <w:p>
      <w:pPr>
        <w:pStyle w:val="Ttulo1"/>
      </w:pPr>
      <w:r>
        <w:t xml:space="preserve">Conclusion</w:t>
      </w:r>
    </w:p>
    <w:p>
      <w:pPr>
        <w:pStyle w:val="FirstParagraph"/>
      </w:pPr>
      <w:r>
        <w:t xml:space="preserve">The results highlighted a structural bidirectional relationship among variables. Body fat percentage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highlighting its pivotal role in older people’s health. However, further research is needed to elucidate moderating effects of psychological variables in this field.</w:t>
      </w:r>
    </w:p>
    <w:bookmarkEnd w:id="46"/>
    <w:bookmarkStart w:id="47"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7"/>
    <w:bookmarkStart w:id="48" w:name="funding"/>
    <w:p>
      <w:pPr>
        <w:pStyle w:val="Ttulo1"/>
      </w:pPr>
      <w:r>
        <w:t xml:space="preserve">Funding</w:t>
      </w:r>
    </w:p>
    <w:p>
      <w:pPr>
        <w:pStyle w:val="FirstParagraph"/>
      </w:pPr>
      <w:r>
        <w:t xml:space="preserve">[…].</w:t>
      </w:r>
    </w:p>
    <w:bookmarkEnd w:id="48"/>
    <w:bookmarkStart w:id="49" w:name="institutional-review-board-statement"/>
    <w:p>
      <w:pPr>
        <w:pStyle w:val="Ttulo1"/>
      </w:pPr>
      <w:r>
        <w:t xml:space="preserve">Institutional Review Board Statement</w:t>
      </w:r>
    </w:p>
    <w:p>
      <w:pPr>
        <w:pStyle w:val="FirstParagraph"/>
      </w:pPr>
      <w:r>
        <w:t xml:space="preserve">[…].</w:t>
      </w:r>
    </w:p>
    <w:bookmarkEnd w:id="49"/>
    <w:bookmarkStart w:id="50" w:name="informed-consent-statement"/>
    <w:p>
      <w:pPr>
        <w:pStyle w:val="Ttulo1"/>
      </w:pPr>
      <w:r>
        <w:t xml:space="preserve">Informed Consent Statement</w:t>
      </w:r>
    </w:p>
    <w:p>
      <w:pPr>
        <w:pStyle w:val="FirstParagraph"/>
      </w:pPr>
      <w:r>
        <w:t xml:space="preserve">[…]</w:t>
      </w:r>
    </w:p>
    <w:bookmarkEnd w:id="50"/>
    <w:bookmarkStart w:id="51"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51"/>
    <w:bookmarkStart w:id="52"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52"/>
    <w:bookmarkStart w:id="161" w:name="referencias"/>
    <w:p>
      <w:pPr>
        <w:pStyle w:val="Ttulo1"/>
      </w:pPr>
      <w:r>
        <w:t xml:space="preserve">Referencias</w:t>
      </w:r>
    </w:p>
    <w:bookmarkStart w:id="160" w:name="refs"/>
    <w:bookmarkStart w:id="54" w:name="ref-pmid:30185958"/>
    <w:p>
      <w:pPr>
        <w:pStyle w:val="Bibliografa"/>
      </w:pPr>
      <w:r>
        <w:t xml:space="preserve">1.</w:t>
      </w:r>
      <w:r>
        <w:t xml:space="preserve"> </w:t>
      </w:r>
      <w:r>
        <w:t xml:space="preserve">	</w:t>
      </w:r>
      <w:r>
        <w:t xml:space="preserve">Partridge L, Deelen J, Slagboom PE.</w:t>
      </w:r>
      <w:r>
        <w:t xml:space="preserve"> </w:t>
      </w:r>
      <w:hyperlink r:id="rId53">
        <w:r>
          <w:rPr>
            <w:rStyle w:val="Hipervnculo"/>
          </w:rPr>
          <w:t xml:space="preserve">Facing up to the global challenges of ageing</w:t>
        </w:r>
      </w:hyperlink>
      <w:r>
        <w:t xml:space="preserve">. Nature. 2018 Sep;561(7721):45–56.</w:t>
      </w:r>
      <w:r>
        <w:t xml:space="preserve"> </w:t>
      </w:r>
    </w:p>
    <w:bookmarkEnd w:id="54"/>
    <w:bookmarkStart w:id="56" w:name="ref-pmid:31154942"/>
    <w:p>
      <w:pPr>
        <w:pStyle w:val="Bibliografa"/>
      </w:pPr>
      <w:r>
        <w:t xml:space="preserve">2.</w:t>
      </w:r>
      <w:r>
        <w:t xml:space="preserve"> </w:t>
      </w:r>
      <w:r>
        <w:t xml:space="preserve">	</w:t>
      </w:r>
      <w:r>
        <w:t xml:space="preserve">Feng Z.</w:t>
      </w:r>
      <w:r>
        <w:t xml:space="preserve"> </w:t>
      </w:r>
      <w:hyperlink r:id="rId55">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56"/>
    <w:bookmarkStart w:id="58" w:name="ref-pmid:36948782"/>
    <w:p>
      <w:pPr>
        <w:pStyle w:val="Bibliografa"/>
      </w:pPr>
      <w:r>
        <w:t xml:space="preserve">3.</w:t>
      </w:r>
      <w:r>
        <w:t xml:space="preserve"> </w:t>
      </w:r>
      <w:r>
        <w:t xml:space="preserve">	</w:t>
      </w:r>
      <w:r>
        <w:t xml:space="preserve">Malandrino N, Bhat SZ, Alfaraidhy M, Grewal RS, Kalyani RR.</w:t>
      </w:r>
      <w:r>
        <w:t xml:space="preserve"> </w:t>
      </w:r>
      <w:hyperlink r:id="rId57">
        <w:r>
          <w:rPr>
            <w:rStyle w:val="Hipervnculo"/>
          </w:rPr>
          <w:t xml:space="preserve">Obesity and aging</w:t>
        </w:r>
      </w:hyperlink>
      <w:r>
        <w:t xml:space="preserve">. Endocrinology and metabolism clinics of North America. 2023 Jun;52(2):317–39.</w:t>
      </w:r>
      <w:r>
        <w:t xml:space="preserve"> </w:t>
      </w:r>
    </w:p>
    <w:bookmarkEnd w:id="58"/>
    <w:bookmarkStart w:id="60" w:name="ref-pmid:36443946"/>
    <w:p>
      <w:pPr>
        <w:pStyle w:val="Bibliografa"/>
      </w:pPr>
      <w:r>
        <w:t xml:space="preserve">4.</w:t>
      </w:r>
      <w:r>
        <w:t xml:space="preserve"> </w:t>
      </w:r>
      <w:r>
        <w:t xml:space="preserve">	</w:t>
      </w:r>
      <w:r>
        <w:t xml:space="preserve">Liu C, Wong PY, Chung YL, Chow SK-H, Cheung WH, Law SW, et al.</w:t>
      </w:r>
      <w:r>
        <w:t xml:space="preserve"> </w:t>
      </w:r>
      <w:hyperlink r:id="rId59">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60"/>
    <w:bookmarkStart w:id="62" w:name="ref-pmid:30065258"/>
    <w:p>
      <w:pPr>
        <w:pStyle w:val="Bibliografa"/>
      </w:pPr>
      <w:r>
        <w:t xml:space="preserve">5.</w:t>
      </w:r>
      <w:r>
        <w:t xml:space="preserve"> </w:t>
      </w:r>
      <w:r>
        <w:t xml:space="preserve">	</w:t>
      </w:r>
      <w:r>
        <w:t xml:space="preserve">Ferrucci L, Fabbri E.</w:t>
      </w:r>
      <w:r>
        <w:t xml:space="preserve"> </w:t>
      </w:r>
      <w:hyperlink r:id="rId61">
        <w:r>
          <w:rPr>
            <w:rStyle w:val="Hipervnculo"/>
          </w:rPr>
          <w:t xml:space="preserve">Inflammageing: Chronic inflammation in ageing, cardiovascular disease, and frailty</w:t>
        </w:r>
      </w:hyperlink>
      <w:r>
        <w:t xml:space="preserve">. Nature reviews Cardiology. 2018 Sep;15(9):505–22.</w:t>
      </w:r>
      <w:r>
        <w:t xml:space="preserve"> </w:t>
      </w:r>
    </w:p>
    <w:bookmarkEnd w:id="62"/>
    <w:bookmarkStart w:id="64" w:name="ref-pmid:36918543"/>
    <w:p>
      <w:pPr>
        <w:pStyle w:val="Bibliografa"/>
      </w:pPr>
      <w:r>
        <w:t xml:space="preserve">6.</w:t>
      </w:r>
      <w:r>
        <w:t xml:space="preserve"> </w:t>
      </w:r>
      <w:r>
        <w:t xml:space="preserve">	</w:t>
      </w:r>
      <w:r>
        <w:t xml:space="preserve">Xie S, Xu S-C, Deng W, Tang Q.</w:t>
      </w:r>
      <w:r>
        <w:t xml:space="preserve"> </w:t>
      </w:r>
      <w:hyperlink r:id="rId63">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64"/>
    <w:bookmarkStart w:id="66"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65">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66"/>
    <w:bookmarkStart w:id="68" w:name="ref-pmid:3920716"/>
    <w:p>
      <w:pPr>
        <w:pStyle w:val="Bibliografa"/>
      </w:pPr>
      <w:r>
        <w:t xml:space="preserve">8.</w:t>
      </w:r>
      <w:r>
        <w:t xml:space="preserve"> </w:t>
      </w:r>
      <w:r>
        <w:t xml:space="preserve">	</w:t>
      </w:r>
      <w:r>
        <w:t xml:space="preserve">Siscovick DS, LaPorte RE, Newman JM.</w:t>
      </w:r>
      <w:r>
        <w:t xml:space="preserve"> </w:t>
      </w:r>
      <w:hyperlink r:id="rId67">
        <w:r>
          <w:rPr>
            <w:rStyle w:val="Hipervnculo"/>
          </w:rPr>
          <w:t xml:space="preserve">The disease-specific benefits and risks of physical activity and exercise</w:t>
        </w:r>
      </w:hyperlink>
      <w:r>
        <w:t xml:space="preserve">. Public health reports (Washington, DC : 1974). 1985;100(2):180–8.</w:t>
      </w:r>
      <w:r>
        <w:t xml:space="preserve"> </w:t>
      </w:r>
    </w:p>
    <w:bookmarkEnd w:id="68"/>
    <w:bookmarkStart w:id="70" w:name="ref-pmid:3920711"/>
    <w:p>
      <w:pPr>
        <w:pStyle w:val="Bibliografa"/>
      </w:pPr>
      <w:r>
        <w:t xml:space="preserve">9.</w:t>
      </w:r>
      <w:r>
        <w:t xml:space="preserve"> </w:t>
      </w:r>
      <w:r>
        <w:t xml:space="preserve">	</w:t>
      </w:r>
      <w:r>
        <w:t xml:space="preserve">Caspersen CJ, Powell KE, Christenson GM.</w:t>
      </w:r>
      <w:r>
        <w:t xml:space="preserve"> </w:t>
      </w:r>
      <w:hyperlink r:id="rId69">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70"/>
    <w:bookmarkStart w:id="72" w:name="ref-pmid:9177581"/>
    <w:p>
      <w:pPr>
        <w:pStyle w:val="Bibliografa"/>
      </w:pPr>
      <w:r>
        <w:t xml:space="preserve">10.</w:t>
      </w:r>
      <w:r>
        <w:t xml:space="preserve"> </w:t>
      </w:r>
      <w:r>
        <w:t xml:space="preserve">	</w:t>
      </w:r>
      <w:r>
        <w:t xml:space="preserve">Lee IM, Paffenbarger RS Jr, Hennekens CH.</w:t>
      </w:r>
      <w:r>
        <w:t xml:space="preserve"> </w:t>
      </w:r>
      <w:hyperlink r:id="rId71">
        <w:r>
          <w:rPr>
            <w:rStyle w:val="Hipervnculo"/>
          </w:rPr>
          <w:t xml:space="preserve">Physical activity, physical fitness and longevity</w:t>
        </w:r>
      </w:hyperlink>
      <w:r>
        <w:t xml:space="preserve">. Aging (Milan, Italy). 1997;9(1-2):2–11.</w:t>
      </w:r>
      <w:r>
        <w:t xml:space="preserve"> </w:t>
      </w:r>
    </w:p>
    <w:bookmarkEnd w:id="72"/>
    <w:bookmarkStart w:id="74" w:name="ref-pmid:29293447"/>
    <w:p>
      <w:pPr>
        <w:pStyle w:val="Bibliografa"/>
      </w:pPr>
      <w:r>
        <w:t xml:space="preserve">11.</w:t>
      </w:r>
      <w:r>
        <w:t xml:space="preserve"> </w:t>
      </w:r>
      <w:r>
        <w:t xml:space="preserve">	</w:t>
      </w:r>
      <w:r>
        <w:t xml:space="preserve">Strasser B, Burtscher M.</w:t>
      </w:r>
      <w:r>
        <w:t xml:space="preserve"> </w:t>
      </w:r>
      <w:hyperlink r:id="rId73">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74"/>
    <w:bookmarkStart w:id="76"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75">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76"/>
    <w:bookmarkStart w:id="78"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77">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78"/>
    <w:bookmarkStart w:id="80" w:name="ref-pmid:35968789"/>
    <w:p>
      <w:pPr>
        <w:pStyle w:val="Bibliografa"/>
      </w:pPr>
      <w:r>
        <w:t xml:space="preserve">14.</w:t>
      </w:r>
      <w:r>
        <w:t xml:space="preserve"> </w:t>
      </w:r>
      <w:r>
        <w:t xml:space="preserve">	</w:t>
      </w:r>
      <w:r>
        <w:t xml:space="preserve">Palmer AK, Jensen MD.</w:t>
      </w:r>
      <w:r>
        <w:t xml:space="preserve"> </w:t>
      </w:r>
      <w:hyperlink r:id="rId79">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80"/>
    <w:bookmarkStart w:id="82" w:name="ref-pmid:33673927"/>
    <w:p>
      <w:pPr>
        <w:pStyle w:val="Bibliografa"/>
      </w:pPr>
      <w:r>
        <w:t xml:space="preserve">15.</w:t>
      </w:r>
      <w:r>
        <w:t xml:space="preserve"> </w:t>
      </w:r>
      <w:r>
        <w:t xml:space="preserve">	</w:t>
      </w:r>
      <w:r>
        <w:t xml:space="preserve">Pataky MW, Young WF, Nair KS.</w:t>
      </w:r>
      <w:r>
        <w:t xml:space="preserve"> </w:t>
      </w:r>
      <w:hyperlink r:id="rId81">
        <w:r>
          <w:rPr>
            <w:rStyle w:val="Hipervnculo"/>
          </w:rPr>
          <w:t xml:space="preserve">Hormonal and metabolic changes of aging and the influence of lifestyle modifications</w:t>
        </w:r>
      </w:hyperlink>
      <w:r>
        <w:t xml:space="preserve">. Mayo Clinic proceedings. 2021 Mar;96(3):788–814.</w:t>
      </w:r>
      <w:r>
        <w:t xml:space="preserve"> </w:t>
      </w:r>
    </w:p>
    <w:bookmarkEnd w:id="82"/>
    <w:bookmarkStart w:id="84"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83">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84"/>
    <w:bookmarkStart w:id="86"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85">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86"/>
    <w:bookmarkStart w:id="88" w:name="ref-pmid:16627049"/>
    <w:p>
      <w:pPr>
        <w:pStyle w:val="Bibliografa"/>
      </w:pPr>
      <w:r>
        <w:t xml:space="preserve">18.</w:t>
      </w:r>
      <w:r>
        <w:t xml:space="preserve"> </w:t>
      </w:r>
      <w:r>
        <w:t xml:space="preserve">	</w:t>
      </w:r>
      <w:r>
        <w:t xml:space="preserve">Freeman JV, Dewey FE, Hadley DM, Myers J, Froelicher VF.</w:t>
      </w:r>
      <w:r>
        <w:t xml:space="preserve"> </w:t>
      </w:r>
      <w:hyperlink r:id="rId87">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88"/>
    <w:bookmarkStart w:id="90" w:name="ref-pmid:37641564"/>
    <w:p>
      <w:pPr>
        <w:pStyle w:val="Bibliografa"/>
      </w:pPr>
      <w:r>
        <w:t xml:space="preserve">19.</w:t>
      </w:r>
      <w:r>
        <w:t xml:space="preserve"> </w:t>
      </w:r>
      <w:r>
        <w:t xml:space="preserve">	</w:t>
      </w:r>
      <w:r>
        <w:t xml:space="preserve">Zhao Y, Yu H, Gong A, Zhang S, Xiao B.</w:t>
      </w:r>
      <w:r>
        <w:t xml:space="preserve"> </w:t>
      </w:r>
      <w:hyperlink r:id="rId89">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90"/>
    <w:bookmarkStart w:id="92" w:name="ref-pmid:29033120"/>
    <w:p>
      <w:pPr>
        <w:pStyle w:val="Bibliografa"/>
      </w:pPr>
      <w:r>
        <w:t xml:space="preserve">20.</w:t>
      </w:r>
      <w:r>
        <w:t xml:space="preserve"> </w:t>
      </w:r>
      <w:r>
        <w:t xml:space="preserve">	</w:t>
      </w:r>
      <w:r>
        <w:t xml:space="preserve">Kubota Y, Chen LY, Whitsel EA, Folsom AR.</w:t>
      </w:r>
      <w:r>
        <w:t xml:space="preserve"> </w:t>
      </w:r>
      <w:hyperlink r:id="rId91">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92"/>
    <w:bookmarkStart w:id="94" w:name="ref-pmid:33390146"/>
    <w:p>
      <w:pPr>
        <w:pStyle w:val="Bibliografa"/>
      </w:pPr>
      <w:r>
        <w:t xml:space="preserve">21.</w:t>
      </w:r>
      <w:r>
        <w:t xml:space="preserve"> </w:t>
      </w:r>
      <w:r>
        <w:t xml:space="preserve">	</w:t>
      </w:r>
      <w:r>
        <w:t xml:space="preserve">Tiwari R, Kumar R, Malik S, Raj T, Kumar P.</w:t>
      </w:r>
      <w:r>
        <w:t xml:space="preserve"> </w:t>
      </w:r>
      <w:hyperlink r:id="rId93">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94"/>
    <w:bookmarkStart w:id="96"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95">
        <w:r>
          <w:rPr>
            <w:rStyle w:val="Hipervnculo"/>
          </w:rPr>
          <w:t xml:space="preserve">Decrease of heart rate variability during exercise: An index of cardiorespiratory fitness</w:t>
        </w:r>
      </w:hyperlink>
      <w:r>
        <w:t xml:space="preserve">. PloS one. 2022 Sep 2;17(9):e0273981.</w:t>
      </w:r>
      <w:r>
        <w:t xml:space="preserve"> </w:t>
      </w:r>
    </w:p>
    <w:bookmarkEnd w:id="96"/>
    <w:bookmarkStart w:id="98"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97">
        <w:r>
          <w:rPr>
            <w:rStyle w:val="Hipervnculo"/>
          </w:rPr>
          <w:t xml:space="preserve">Heart rate variability alterations in late life depression: A meta-analysis</w:t>
        </w:r>
      </w:hyperlink>
      <w:r>
        <w:t xml:space="preserve">. Journal of Affective Disorders. 2018 Aug;235:456–66.</w:t>
      </w:r>
      <w:r>
        <w:t xml:space="preserve"> </w:t>
      </w:r>
    </w:p>
    <w:bookmarkEnd w:id="98"/>
    <w:bookmarkStart w:id="100" w:name="ref-pmid:35340102"/>
    <w:p>
      <w:pPr>
        <w:pStyle w:val="Bibliografa"/>
      </w:pPr>
      <w:r>
        <w:t xml:space="preserve">24.</w:t>
      </w:r>
      <w:r>
        <w:t xml:space="preserve"> </w:t>
      </w:r>
      <w:r>
        <w:t xml:space="preserve">	</w:t>
      </w:r>
      <w:r>
        <w:t xml:space="preserve">Cheng Y-C, Su M-I, Liu C-W, Huang Y-C, Huang W-L.</w:t>
      </w:r>
      <w:r>
        <w:t xml:space="preserve"> </w:t>
      </w:r>
      <w:hyperlink r:id="rId99">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100"/>
    <w:bookmarkStart w:id="102" w:name="ref-pmid:38007499"/>
    <w:p>
      <w:pPr>
        <w:pStyle w:val="Bibliografa"/>
      </w:pPr>
      <w:r>
        <w:t xml:space="preserve">25.</w:t>
      </w:r>
      <w:r>
        <w:t xml:space="preserve"> </w:t>
      </w:r>
      <w:r>
        <w:t xml:space="preserve">	</w:t>
      </w:r>
      <w:r>
        <w:t xml:space="preserve">Schlechter P, Ford TJ, Neufeld SAS.</w:t>
      </w:r>
      <w:r>
        <w:t xml:space="preserve"> </w:t>
      </w:r>
      <w:hyperlink r:id="rId101">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102"/>
    <w:bookmarkStart w:id="104" w:name="ref-pmid:25980510"/>
    <w:p>
      <w:pPr>
        <w:pStyle w:val="Bibliografa"/>
      </w:pPr>
      <w:r>
        <w:t xml:space="preserve">26.</w:t>
      </w:r>
      <w:r>
        <w:t xml:space="preserve"> </w:t>
      </w:r>
      <w:r>
        <w:t xml:space="preserve">	</w:t>
      </w:r>
      <w:r>
        <w:t xml:space="preserve">Andreescu C, Varon D.</w:t>
      </w:r>
      <w:r>
        <w:t xml:space="preserve"> </w:t>
      </w:r>
      <w:hyperlink r:id="rId103">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04"/>
    <w:bookmarkStart w:id="106"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05">
        <w:r>
          <w:rPr>
            <w:rStyle w:val="Hipervnculo"/>
          </w:rPr>
          <w:t xml:space="preserve">https://www.mdpi.com/1660-4601/20/5/4456</w:t>
        </w:r>
      </w:hyperlink>
    </w:p>
    <w:bookmarkEnd w:id="106"/>
    <w:bookmarkStart w:id="108"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07">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08"/>
    <w:bookmarkStart w:id="110"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09">
        <w:r>
          <w:rPr>
            <w:rStyle w:val="Hipervnculo"/>
          </w:rPr>
          <w:t xml:space="preserve">https://api.semanticscholar.org/CorpusID:220870368</w:t>
        </w:r>
      </w:hyperlink>
    </w:p>
    <w:bookmarkEnd w:id="110"/>
    <w:bookmarkStart w:id="111"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11"/>
    <w:bookmarkStart w:id="113"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12">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13"/>
    <w:bookmarkStart w:id="115"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14">
        <w:r>
          <w:rPr>
            <w:rStyle w:val="Hipervnculo"/>
          </w:rPr>
          <w:t xml:space="preserve">Heart rate variability: Origins, methods, and interpretive caveats</w:t>
        </w:r>
      </w:hyperlink>
      <w:r>
        <w:t xml:space="preserve">. Psychophysiology. 1997 Nov;34(6):623–48.</w:t>
      </w:r>
      <w:r>
        <w:t xml:space="preserve"> </w:t>
      </w:r>
    </w:p>
    <w:bookmarkEnd w:id="115"/>
    <w:bookmarkStart w:id="116"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16"/>
    <w:bookmarkStart w:id="117"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17"/>
    <w:bookmarkStart w:id="119" w:name="ref-doi:10.1159/000513781"/>
    <w:p>
      <w:pPr>
        <w:pStyle w:val="Bibliografa"/>
      </w:pPr>
      <w:r>
        <w:t xml:space="preserve">35.</w:t>
      </w:r>
      <w:r>
        <w:t xml:space="preserve"> </w:t>
      </w:r>
      <w:r>
        <w:t xml:space="preserve">	</w:t>
      </w:r>
      <w:r>
        <w:t xml:space="preserve">Yoo HH, Yune SJ, Im SJ, Kam BS, Lee SY.</w:t>
      </w:r>
      <w:r>
        <w:t xml:space="preserve"> </w:t>
      </w:r>
      <w:hyperlink r:id="rId118">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19"/>
    <w:bookmarkStart w:id="121"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20">
        <w:r>
          <w:rPr>
            <w:rStyle w:val="Hipervnculo"/>
          </w:rPr>
          <w:t xml:space="preserve">https://api.semanticscholar.org/CorpusID:29215863</w:t>
        </w:r>
      </w:hyperlink>
    </w:p>
    <w:bookmarkEnd w:id="121"/>
    <w:bookmarkStart w:id="123"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22">
        <w:r>
          <w:rPr>
            <w:rStyle w:val="Hipervnculo"/>
          </w:rPr>
          <w:t xml:space="preserve">https://journals.humankinetics.com/view/journals/japa/7/2/article-p162.xml</w:t>
        </w:r>
      </w:hyperlink>
    </w:p>
    <w:bookmarkEnd w:id="123"/>
    <w:bookmarkStart w:id="125" w:name="ref-pmid:27633329"/>
    <w:p>
      <w:pPr>
        <w:pStyle w:val="Bibliografa"/>
      </w:pPr>
      <w:r>
        <w:t xml:space="preserve">38.</w:t>
      </w:r>
      <w:r>
        <w:t xml:space="preserve"> </w:t>
      </w:r>
      <w:r>
        <w:t xml:space="preserve">	</w:t>
      </w:r>
      <w:r>
        <w:t xml:space="preserve">Gana K, Bailly N, Broc G, Cazauvieilh C, Boudouda NE.</w:t>
      </w:r>
      <w:r>
        <w:t xml:space="preserve"> </w:t>
      </w:r>
      <w:hyperlink r:id="rId124">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25"/>
    <w:bookmarkStart w:id="127" w:name="ref-pmid:7183759"/>
    <w:p>
      <w:pPr>
        <w:pStyle w:val="Bibliografa"/>
      </w:pPr>
      <w:r>
        <w:t xml:space="preserve">39.</w:t>
      </w:r>
      <w:r>
        <w:t xml:space="preserve"> </w:t>
      </w:r>
      <w:r>
        <w:t xml:space="preserve">	</w:t>
      </w:r>
      <w:r>
        <w:t xml:space="preserve">Yesavage JA, Brink TL, Rose TL, Lum O, Huang V, Adey M, et al.</w:t>
      </w:r>
      <w:r>
        <w:t xml:space="preserve"> </w:t>
      </w:r>
      <w:hyperlink r:id="rId126">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27"/>
    <w:bookmarkStart w:id="129" w:name="ref-pmid:34922595"/>
    <w:p>
      <w:pPr>
        <w:pStyle w:val="Bibliografa"/>
      </w:pPr>
      <w:r>
        <w:t xml:space="preserve">40.</w:t>
      </w:r>
      <w:r>
        <w:t xml:space="preserve"> </w:t>
      </w:r>
      <w:r>
        <w:t xml:space="preserve">	</w:t>
      </w:r>
      <w:r>
        <w:t xml:space="preserve">Zenebe Y, Akele B, W/Selassie M, Necho M.</w:t>
      </w:r>
      <w:r>
        <w:t xml:space="preserve"> </w:t>
      </w:r>
      <w:hyperlink r:id="rId128">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29"/>
    <w:bookmarkStart w:id="131"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30">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31"/>
    <w:bookmarkStart w:id="133" w:name="ref-pmid:3204199"/>
    <w:p>
      <w:pPr>
        <w:pStyle w:val="Bibliografa"/>
      </w:pPr>
      <w:r>
        <w:t xml:space="preserve">42.</w:t>
      </w:r>
      <w:r>
        <w:t xml:space="preserve"> </w:t>
      </w:r>
      <w:r>
        <w:t xml:space="preserve">	</w:t>
      </w:r>
      <w:r>
        <w:t xml:space="preserve">Beck AT, Epstein N, Brown G, Steer RA.</w:t>
      </w:r>
      <w:r>
        <w:t xml:space="preserve"> </w:t>
      </w:r>
      <w:hyperlink r:id="rId132">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33"/>
    <w:bookmarkStart w:id="135"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34">
        <w:r>
          <w:rPr>
            <w:rStyle w:val="Hipervnculo"/>
          </w:rPr>
          <w:t xml:space="preserve">https://www.sciencedirect.com/science/article/pii/S0211139X01747555</w:t>
        </w:r>
      </w:hyperlink>
    </w:p>
    <w:bookmarkEnd w:id="135"/>
    <w:bookmarkStart w:id="137" w:name="ref-kosuke2010identification"/>
    <w:p>
      <w:pPr>
        <w:pStyle w:val="Bibliografa"/>
      </w:pPr>
      <w:r>
        <w:t xml:space="preserve">44.</w:t>
      </w:r>
      <w:r>
        <w:t xml:space="preserve"> </w:t>
      </w:r>
      <w:r>
        <w:t xml:space="preserve">	</w:t>
      </w:r>
      <w:r>
        <w:t xml:space="preserve">Imai K, Keele L, Yamamoto T. Identification, inference, and sensitivity analysis for causal mediation effects. Statistical Science [Internet]. 2010;25(1):51–71. Available from:</w:t>
      </w:r>
      <w:r>
        <w:t xml:space="preserve"> </w:t>
      </w:r>
      <w:hyperlink r:id="rId136">
        <w:r>
          <w:rPr>
            <w:rStyle w:val="Hipervnculo"/>
          </w:rPr>
          <w:t xml:space="preserve">http://imai.princeton.edu/research/mediation.html</w:t>
        </w:r>
      </w:hyperlink>
    </w:p>
    <w:bookmarkEnd w:id="137"/>
    <w:bookmarkStart w:id="139" w:name="ref-tingley2014mediation"/>
    <w:p>
      <w:pPr>
        <w:pStyle w:val="Bibliografa"/>
      </w:pPr>
      <w:r>
        <w:t xml:space="preserve">45.</w:t>
      </w:r>
      <w:r>
        <w:t xml:space="preserve"> </w:t>
      </w:r>
      <w:r>
        <w:t xml:space="preserve">	</w:t>
      </w:r>
      <w:r>
        <w:t xml:space="preserve">Tingley D, Yamamoto T, Hirose K, Keele L, Imai K.</w:t>
      </w:r>
      <w:r>
        <w:t xml:space="preserve"> </w:t>
      </w:r>
      <w:r>
        <w:t xml:space="preserve">mediation</w:t>
      </w:r>
      <w:r>
        <w:t xml:space="preserve">:</w:t>
      </w:r>
      <w:r>
        <w:t xml:space="preserve"> </w:t>
      </w:r>
      <w:r>
        <w:t xml:space="preserve">R</w:t>
      </w:r>
      <w:r>
        <w:t xml:space="preserve"> </w:t>
      </w:r>
      <w:r>
        <w:t xml:space="preserve">package for causal mediation analysis. Journal of Statistical Software [Internet]. 2014;59(5):1–38. Available from:</w:t>
      </w:r>
      <w:r>
        <w:t xml:space="preserve"> </w:t>
      </w:r>
      <w:hyperlink r:id="rId138">
        <w:r>
          <w:rPr>
            <w:rStyle w:val="Hipervnculo"/>
          </w:rPr>
          <w:t xml:space="preserve">http://www.jstatsoft.org/v59/i05/</w:t>
        </w:r>
      </w:hyperlink>
    </w:p>
    <w:bookmarkEnd w:id="139"/>
    <w:bookmarkStart w:id="141" w:name="ref-rlanguage"/>
    <w:p>
      <w:pPr>
        <w:pStyle w:val="Bibliografa"/>
      </w:pPr>
      <w:r>
        <w:t xml:space="preserve">46.</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40">
        <w:r>
          <w:rPr>
            <w:rStyle w:val="Hipervnculo"/>
          </w:rPr>
          <w:t xml:space="preserve">https://www.R-project.org/</w:t>
        </w:r>
      </w:hyperlink>
    </w:p>
    <w:bookmarkEnd w:id="141"/>
    <w:bookmarkStart w:id="143" w:name="ref-pmid:35832415"/>
    <w:p>
      <w:pPr>
        <w:pStyle w:val="Bibliografa"/>
      </w:pPr>
      <w:r>
        <w:t xml:space="preserve">47.</w:t>
      </w:r>
      <w:r>
        <w:t xml:space="preserve"> </w:t>
      </w:r>
      <w:r>
        <w:t xml:space="preserve">	</w:t>
      </w:r>
      <w:r>
        <w:t xml:space="preserve">Paranhos Amorim DN, Nascimento D da C, Stone W, Alves VP, Coelho Vilaça E Silva KH.</w:t>
      </w:r>
      <w:r>
        <w:t xml:space="preserve"> </w:t>
      </w:r>
      <w:hyperlink r:id="rId142">
        <w:r>
          <w:rPr>
            <w:rStyle w:val="Hipervnculo"/>
          </w:rPr>
          <w:t xml:space="preserve">Body composition and functional performance of older adults</w:t>
        </w:r>
      </w:hyperlink>
      <w:r>
        <w:t xml:space="preserve">. Osteoporosis and sarcopenia. 2022 Jun;8(2):86–91.</w:t>
      </w:r>
      <w:r>
        <w:t xml:space="preserve"> </w:t>
      </w:r>
    </w:p>
    <w:bookmarkEnd w:id="143"/>
    <w:bookmarkStart w:id="145" w:name="ref-pmid:36256894"/>
    <w:p>
      <w:pPr>
        <w:pStyle w:val="Bibliografa"/>
      </w:pPr>
      <w:r>
        <w:t xml:space="preserve">48.</w:t>
      </w:r>
      <w:r>
        <w:t xml:space="preserve"> </w:t>
      </w:r>
      <w:r>
        <w:t xml:space="preserve">	</w:t>
      </w:r>
      <w:r>
        <w:t xml:space="preserve">Fatyga-Kotula P, Wizner B, Fedyk-Łukasik M, Grodzicki T, Skalska A.</w:t>
      </w:r>
      <w:r>
        <w:t xml:space="preserve"> </w:t>
      </w:r>
      <w:hyperlink r:id="rId144">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45"/>
    <w:bookmarkStart w:id="147" w:name="ref-pmid:33246163"/>
    <w:p>
      <w:pPr>
        <w:pStyle w:val="Bibliografa"/>
      </w:pPr>
      <w:r>
        <w:t xml:space="preserve">49.</w:t>
      </w:r>
      <w:r>
        <w:t xml:space="preserve"> </w:t>
      </w:r>
      <w:r>
        <w:t xml:space="preserve">	</w:t>
      </w:r>
      <w:r>
        <w:t xml:space="preserve">Marasingha-Arachchige SU, Rubio-Arias JÁ, Alcaraz PE, Chung LH.</w:t>
      </w:r>
      <w:r>
        <w:t xml:space="preserve"> </w:t>
      </w:r>
      <w:hyperlink r:id="rId146">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47"/>
    <w:bookmarkStart w:id="149" w:name="ref-pmid:33402165"/>
    <w:p>
      <w:pPr>
        <w:pStyle w:val="Bibliografa"/>
      </w:pPr>
      <w:r>
        <w:t xml:space="preserve">50.</w:t>
      </w:r>
      <w:r>
        <w:t xml:space="preserve"> </w:t>
      </w:r>
      <w:r>
        <w:t xml:space="preserve">	</w:t>
      </w:r>
      <w:r>
        <w:t xml:space="preserve">Galmes-Panades AM, Konieczna J, Varela-Mato V, Abete I, Babio N, Fiol M, et al.</w:t>
      </w:r>
      <w:r>
        <w:t xml:space="preserve"> </w:t>
      </w:r>
      <w:hyperlink r:id="rId148">
        <w:r>
          <w:rPr>
            <w:rStyle w:val="Hipervnculo"/>
          </w:rPr>
          <w:t xml:space="preserve">Targeting body composition in an older population: Do changes in movement behaviours matter? Longitudinal analyses in the PREDIMED-plus trial</w:t>
        </w:r>
      </w:hyperlink>
      <w:r>
        <w:t xml:space="preserve">. BMC medicine. 2021 Jan 6;19(1):3.</w:t>
      </w:r>
      <w:r>
        <w:t xml:space="preserve"> </w:t>
      </w:r>
    </w:p>
    <w:bookmarkEnd w:id="149"/>
    <w:bookmarkStart w:id="151" w:name="ref-pmid:30002462"/>
    <w:p>
      <w:pPr>
        <w:pStyle w:val="Bibliografa"/>
      </w:pPr>
      <w:r>
        <w:t xml:space="preserve">51.</w:t>
      </w:r>
      <w:r>
        <w:t xml:space="preserve"> </w:t>
      </w:r>
      <w:r>
        <w:t xml:space="preserve">	</w:t>
      </w:r>
      <w:r>
        <w:t xml:space="preserve">Gopinath B, Kifley A, Flood VM, Mitchell P.</w:t>
      </w:r>
      <w:r>
        <w:t xml:space="preserve"> </w:t>
      </w:r>
      <w:hyperlink r:id="rId150">
        <w:r>
          <w:rPr>
            <w:rStyle w:val="Hipervnculo"/>
          </w:rPr>
          <w:t xml:space="preserve">Physical activity as a determinant of successful aging over ten years</w:t>
        </w:r>
      </w:hyperlink>
      <w:r>
        <w:t xml:space="preserve">. Scientific reports. 2018 Jul 12;8(1):10522.</w:t>
      </w:r>
      <w:r>
        <w:t xml:space="preserve"> </w:t>
      </w:r>
    </w:p>
    <w:bookmarkEnd w:id="151"/>
    <w:bookmarkStart w:id="153" w:name="ref-pmid:28721030"/>
    <w:p>
      <w:pPr>
        <w:pStyle w:val="Bibliografa"/>
      </w:pPr>
      <w:r>
        <w:t xml:space="preserve">52.</w:t>
      </w:r>
      <w:r>
        <w:t xml:space="preserve"> </w:t>
      </w:r>
      <w:r>
        <w:t xml:space="preserve">	</w:t>
      </w:r>
      <w:r>
        <w:t xml:space="preserve">Sarmento A de O, Santos A da C, Trombetta IC, Dantas MM, Oliveira Marques AC, Nascimento LS do, et al.</w:t>
      </w:r>
      <w:r>
        <w:t xml:space="preserve"> </w:t>
      </w:r>
      <w:hyperlink r:id="rId152">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53"/>
    <w:bookmarkStart w:id="155" w:name="ref-pmid:24799513"/>
    <w:p>
      <w:pPr>
        <w:pStyle w:val="Bibliografa"/>
      </w:pPr>
      <w:r>
        <w:t xml:space="preserve">53.</w:t>
      </w:r>
      <w:r>
        <w:t xml:space="preserve"> </w:t>
      </w:r>
      <w:r>
        <w:t xml:space="preserve">	</w:t>
      </w:r>
      <w:r>
        <w:t xml:space="preserve">Soares-Miranda L, Sattelmair J, Chaves P, Duncan GE, Siscovick DS, Stein PK, et al.</w:t>
      </w:r>
      <w:r>
        <w:t xml:space="preserve"> </w:t>
      </w:r>
      <w:hyperlink r:id="rId154">
        <w:r>
          <w:rPr>
            <w:rStyle w:val="Hipervnculo"/>
          </w:rPr>
          <w:t xml:space="preserve">Physical activity and heart rate variability in older adults: The cardiovascular health study</w:t>
        </w:r>
      </w:hyperlink>
      <w:r>
        <w:t xml:space="preserve">. Circulation. 2014 May 27;129(21):2100–10.</w:t>
      </w:r>
      <w:r>
        <w:t xml:space="preserve"> </w:t>
      </w:r>
    </w:p>
    <w:bookmarkEnd w:id="155"/>
    <w:bookmarkStart w:id="157" w:name="ref-pmid:30627571"/>
    <w:p>
      <w:pPr>
        <w:pStyle w:val="Bibliografa"/>
      </w:pPr>
      <w:r>
        <w:t xml:space="preserve">54.</w:t>
      </w:r>
      <w:r>
        <w:t xml:space="preserve"> </w:t>
      </w:r>
      <w:r>
        <w:t xml:space="preserve">	</w:t>
      </w:r>
      <w:r>
        <w:t xml:space="preserve">Langhammer B, Bergland A, Rydwik E.</w:t>
      </w:r>
      <w:r>
        <w:t xml:space="preserve"> </w:t>
      </w:r>
      <w:hyperlink r:id="rId156">
        <w:r>
          <w:rPr>
            <w:rStyle w:val="Hipervnculo"/>
          </w:rPr>
          <w:t xml:space="preserve">The importance of physical activity exercise among older people</w:t>
        </w:r>
      </w:hyperlink>
      <w:r>
        <w:t xml:space="preserve">. BioMed research international. 2018 Dec 5;2018:7856823.</w:t>
      </w:r>
      <w:r>
        <w:t xml:space="preserve"> </w:t>
      </w:r>
    </w:p>
    <w:bookmarkEnd w:id="157"/>
    <w:bookmarkStart w:id="159" w:name="ref-pmid:30104034"/>
    <w:p>
      <w:pPr>
        <w:pStyle w:val="Bibliografa"/>
      </w:pPr>
      <w:r>
        <w:t xml:space="preserve">55.</w:t>
      </w:r>
      <w:r>
        <w:t xml:space="preserve"> </w:t>
      </w:r>
      <w:r>
        <w:t xml:space="preserve">	</w:t>
      </w:r>
      <w:r>
        <w:t xml:space="preserve">Tan JPH, Beilharz JE, Vollmer-Conna U, Cvejic E.</w:t>
      </w:r>
      <w:r>
        <w:t xml:space="preserve"> </w:t>
      </w:r>
      <w:hyperlink r:id="rId158">
        <w:r>
          <w:rPr>
            <w:rStyle w:val="Hipervnculo"/>
          </w:rPr>
          <w:t xml:space="preserve">Heart rate variability as a marker of healthy ageing</w:t>
        </w:r>
      </w:hyperlink>
      <w:r>
        <w:t xml:space="preserve">. International journal of cardiology. 2019 Jan 15;275:101–3.</w:t>
      </w:r>
      <w:r>
        <w:t xml:space="preserve"> </w:t>
      </w:r>
    </w:p>
    <w:bookmarkEnd w:id="159"/>
    <w:bookmarkEnd w:id="160"/>
    <w:bookmarkEnd w:id="161"/>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hyperlink" Id="rId136" Target="http://imai.princeton.edu/research/mediation.html" TargetMode="External" /><Relationship Type="http://schemas.openxmlformats.org/officeDocument/2006/relationships/hyperlink" Id="rId138" Target="http://www.jstatsoft.org/v59/i05/" TargetMode="External" /><Relationship Type="http://schemas.openxmlformats.org/officeDocument/2006/relationships/hyperlink" Id="rId109" Target="https://api.semanticscholar.org/CorpusID:220870368" TargetMode="External" /><Relationship Type="http://schemas.openxmlformats.org/officeDocument/2006/relationships/hyperlink" Id="rId120" Target="https://api.semanticscholar.org/CorpusID:29215863" TargetMode="External" /><Relationship Type="http://schemas.openxmlformats.org/officeDocument/2006/relationships/hyperlink" Id="rId75" Target="https://doi.org/10.1001/jamanetworkopen.2018.8341" TargetMode="External" /><Relationship Type="http://schemas.openxmlformats.org/officeDocument/2006/relationships/hyperlink" Id="rId124" Target="https://doi.org/10.1002/gps.4582" TargetMode="External" /><Relationship Type="http://schemas.openxmlformats.org/officeDocument/2006/relationships/hyperlink" Id="rId130" Target="https://doi.org/10.1002/gps.588" TargetMode="External" /><Relationship Type="http://schemas.openxmlformats.org/officeDocument/2006/relationships/hyperlink" Id="rId71" Target="https://doi.org/10.1007/BF03340123" TargetMode="External" /><Relationship Type="http://schemas.openxmlformats.org/officeDocument/2006/relationships/hyperlink" Id="rId112" Target="https://doi.org/10.1007/s00421-009-1317-x" TargetMode="External" /><Relationship Type="http://schemas.openxmlformats.org/officeDocument/2006/relationships/hyperlink" Id="rId103" Target="https://doi.org/10.1007/s11920-015-0595-8" TargetMode="External" /><Relationship Type="http://schemas.openxmlformats.org/officeDocument/2006/relationships/hyperlink" Id="rId126" Target="https://doi.org/10.1016/0022-3956(82)90033-4" TargetMode="External" /><Relationship Type="http://schemas.openxmlformats.org/officeDocument/2006/relationships/hyperlink" Id="rId83" Target="https://doi.org/10.1016/S2213-8587(19)30084-1" TargetMode="External" /><Relationship Type="http://schemas.openxmlformats.org/officeDocument/2006/relationships/hyperlink" Id="rId142" Target="https://doi.org/10.1016/j.afos.2022.04.002" TargetMode="External" /><Relationship Type="http://schemas.openxmlformats.org/officeDocument/2006/relationships/hyperlink" Id="rId91" Target="https://doi.org/10.1016/j.annepidem.2017.08.024" TargetMode="External" /><Relationship Type="http://schemas.openxmlformats.org/officeDocument/2006/relationships/hyperlink" Id="rId77" Target="https://doi.org/10.1016/j.arr.2022.101778" TargetMode="External" /><Relationship Type="http://schemas.openxmlformats.org/officeDocument/2006/relationships/hyperlink" Id="rId57" Target="https://doi.org/10.1016/j.ecl.2022.10.001" TargetMode="External" /><Relationship Type="http://schemas.openxmlformats.org/officeDocument/2006/relationships/hyperlink" Id="rId158" Target="https://doi.org/10.1016/j.ijcard.2018.08.005" TargetMode="External" /><Relationship Type="http://schemas.openxmlformats.org/officeDocument/2006/relationships/hyperlink" Id="rId97" Target="https://doi.org/10.1016/j.jad.2018.04.071" TargetMode="External" /><Relationship Type="http://schemas.openxmlformats.org/officeDocument/2006/relationships/hyperlink" Id="rId146" Target="https://doi.org/10.1016/j.jshs.2020.11.008" TargetMode="External" /><Relationship Type="http://schemas.openxmlformats.org/officeDocument/2006/relationships/hyperlink" Id="rId81" Target="https://doi.org/10.1016/j.mayocp.2020.07.033" TargetMode="External" /><Relationship Type="http://schemas.openxmlformats.org/officeDocument/2006/relationships/hyperlink" Id="rId87" Target="https://doi.org/10.1016/j.pcad.2005.11.003" TargetMode="External" /><Relationship Type="http://schemas.openxmlformats.org/officeDocument/2006/relationships/hyperlink" Id="rId132" Target="https://doi.org/10.1037//0022-006x.56.6.893" TargetMode="External" /><Relationship Type="http://schemas.openxmlformats.org/officeDocument/2006/relationships/hyperlink" Id="rId63" Target="https://doi.org/10.1038/s41392-023-01378-8" TargetMode="External" /><Relationship Type="http://schemas.openxmlformats.org/officeDocument/2006/relationships/hyperlink" Id="rId101" Target="https://doi.org/10.1038/s41398-023-02659-0" TargetMode="External" /><Relationship Type="http://schemas.openxmlformats.org/officeDocument/2006/relationships/hyperlink" Id="rId61" Target="https://doi.org/10.1038/s41569-018-0064-2" TargetMode="External" /><Relationship Type="http://schemas.openxmlformats.org/officeDocument/2006/relationships/hyperlink" Id="rId53" Target="https://doi.org/10.1038/s41586-018-0457-8" TargetMode="External" /><Relationship Type="http://schemas.openxmlformats.org/officeDocument/2006/relationships/hyperlink" Id="rId150" Target="https://doi.org/10.1038/s41598-018-28526-3" TargetMode="External" /><Relationship Type="http://schemas.openxmlformats.org/officeDocument/2006/relationships/hyperlink" Id="rId55" Target="https://doi.org/10.1080/08959420.2019.1626205" TargetMode="External" /><Relationship Type="http://schemas.openxmlformats.org/officeDocument/2006/relationships/hyperlink" Id="rId107" Target="https://doi.org/10.1093/geronj/49.2.M85" TargetMode="External" /><Relationship Type="http://schemas.openxmlformats.org/officeDocument/2006/relationships/hyperlink" Id="rId65" Target="https://doi.org/10.1093/nutrit/nuaa011" TargetMode="External" /><Relationship Type="http://schemas.openxmlformats.org/officeDocument/2006/relationships/hyperlink" Id="rId89" Target="https://doi.org/10.1111/eci.14085" TargetMode="External" /><Relationship Type="http://schemas.openxmlformats.org/officeDocument/2006/relationships/hyperlink" Id="rId114" Target="https://doi.org/10.1111/j.1469-8986.1997.tb02140.x" TargetMode="External" /><Relationship Type="http://schemas.openxmlformats.org/officeDocument/2006/relationships/hyperlink" Id="rId59" Target="https://doi.org/10.1111/obr.13534" TargetMode="External" /><Relationship Type="http://schemas.openxmlformats.org/officeDocument/2006/relationships/hyperlink" Id="rId99" Target="https://doi.org/10.1111/pcn.13356" TargetMode="External" /><Relationship Type="http://schemas.openxmlformats.org/officeDocument/2006/relationships/hyperlink" Id="rId156" Target="https://doi.org/10.1155/2018/7856823" TargetMode="External" /><Relationship Type="http://schemas.openxmlformats.org/officeDocument/2006/relationships/hyperlink" Id="rId118" Target="https://doi.org/10.1159/000513781" TargetMode="External" /><Relationship Type="http://schemas.openxmlformats.org/officeDocument/2006/relationships/hyperlink" Id="rId85" Target="https://doi.org/10.1161/CIR.0000000000000973" TargetMode="External" /><Relationship Type="http://schemas.openxmlformats.org/officeDocument/2006/relationships/hyperlink" Id="rId154" Target="https://doi.org/10.1161/CIRCULATIONAHA.113.005361" TargetMode="External" /><Relationship Type="http://schemas.openxmlformats.org/officeDocument/2006/relationships/hyperlink" Id="rId79" Target="https://doi.org/10.1172/JCI158451" TargetMode="External" /><Relationship Type="http://schemas.openxmlformats.org/officeDocument/2006/relationships/hyperlink" Id="rId148" Target="https://doi.org/10.1186/s12916-020-01847-9" TargetMode="External" /><Relationship Type="http://schemas.openxmlformats.org/officeDocument/2006/relationships/hyperlink" Id="rId128" Target="https://doi.org/10.1186/s12991-021-00375-x" TargetMode="External" /><Relationship Type="http://schemas.openxmlformats.org/officeDocument/2006/relationships/hyperlink" Id="rId95" Target="https://doi.org/10.1371/journal.pone.0273981" TargetMode="External" /><Relationship Type="http://schemas.openxmlformats.org/officeDocument/2006/relationships/hyperlink" Id="rId152" Target="https://doi.org/10.2147/CIA.S120876" TargetMode="External" /><Relationship Type="http://schemas.openxmlformats.org/officeDocument/2006/relationships/hyperlink" Id="rId93" Target="https://doi.org/10.2174/1573403X16999201231203854" TargetMode="External" /><Relationship Type="http://schemas.openxmlformats.org/officeDocument/2006/relationships/hyperlink" Id="rId144" Target="https://doi.org/10.24425/fmc.2022.141698" TargetMode="External" /><Relationship Type="http://schemas.openxmlformats.org/officeDocument/2006/relationships/hyperlink" Id="rId73" Target="https://doi.org/10.2741/4657" TargetMode="External" /><Relationship Type="http://schemas.openxmlformats.org/officeDocument/2006/relationships/hyperlink" Id="rId122" Target="https://journals.humankinetics.com/view/journals/japa/7/2/article-p162.xml" TargetMode="External" /><Relationship Type="http://schemas.openxmlformats.org/officeDocument/2006/relationships/hyperlink" Id="rId140" Target="https://www.R-project.org/" TargetMode="External" /><Relationship Type="http://schemas.openxmlformats.org/officeDocument/2006/relationships/hyperlink" Id="rId105" Target="https://www.mdpi.com/1660-4601/20/5/4456" TargetMode="External" /><Relationship Type="http://schemas.openxmlformats.org/officeDocument/2006/relationships/hyperlink" Id="rId69" Target="https://www.ncbi.nlm.nih.gov/pmc/articles/PMC1424733" TargetMode="External" /><Relationship Type="http://schemas.openxmlformats.org/officeDocument/2006/relationships/hyperlink" Id="rId67" Target="https://www.ncbi.nlm.nih.gov/pmc/articles/PMC1424738" TargetMode="External" /><Relationship Type="http://schemas.openxmlformats.org/officeDocument/2006/relationships/hyperlink" Id="rId134"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36" Target="http://imai.princeton.edu/research/mediation.html" TargetMode="External" /><Relationship Type="http://schemas.openxmlformats.org/officeDocument/2006/relationships/hyperlink" Id="rId138" Target="http://www.jstatsoft.org/v59/i05/" TargetMode="External" /><Relationship Type="http://schemas.openxmlformats.org/officeDocument/2006/relationships/hyperlink" Id="rId109" Target="https://api.semanticscholar.org/CorpusID:220870368" TargetMode="External" /><Relationship Type="http://schemas.openxmlformats.org/officeDocument/2006/relationships/hyperlink" Id="rId120" Target="https://api.semanticscholar.org/CorpusID:29215863" TargetMode="External" /><Relationship Type="http://schemas.openxmlformats.org/officeDocument/2006/relationships/hyperlink" Id="rId75" Target="https://doi.org/10.1001/jamanetworkopen.2018.8341" TargetMode="External" /><Relationship Type="http://schemas.openxmlformats.org/officeDocument/2006/relationships/hyperlink" Id="rId124" Target="https://doi.org/10.1002/gps.4582" TargetMode="External" /><Relationship Type="http://schemas.openxmlformats.org/officeDocument/2006/relationships/hyperlink" Id="rId130" Target="https://doi.org/10.1002/gps.588" TargetMode="External" /><Relationship Type="http://schemas.openxmlformats.org/officeDocument/2006/relationships/hyperlink" Id="rId71" Target="https://doi.org/10.1007/BF03340123" TargetMode="External" /><Relationship Type="http://schemas.openxmlformats.org/officeDocument/2006/relationships/hyperlink" Id="rId112" Target="https://doi.org/10.1007/s00421-009-1317-x" TargetMode="External" /><Relationship Type="http://schemas.openxmlformats.org/officeDocument/2006/relationships/hyperlink" Id="rId103" Target="https://doi.org/10.1007/s11920-015-0595-8" TargetMode="External" /><Relationship Type="http://schemas.openxmlformats.org/officeDocument/2006/relationships/hyperlink" Id="rId126" Target="https://doi.org/10.1016/0022-3956(82)90033-4" TargetMode="External" /><Relationship Type="http://schemas.openxmlformats.org/officeDocument/2006/relationships/hyperlink" Id="rId83" Target="https://doi.org/10.1016/S2213-8587(19)30084-1" TargetMode="External" /><Relationship Type="http://schemas.openxmlformats.org/officeDocument/2006/relationships/hyperlink" Id="rId142" Target="https://doi.org/10.1016/j.afos.2022.04.002" TargetMode="External" /><Relationship Type="http://schemas.openxmlformats.org/officeDocument/2006/relationships/hyperlink" Id="rId91" Target="https://doi.org/10.1016/j.annepidem.2017.08.024" TargetMode="External" /><Relationship Type="http://schemas.openxmlformats.org/officeDocument/2006/relationships/hyperlink" Id="rId77" Target="https://doi.org/10.1016/j.arr.2022.101778" TargetMode="External" /><Relationship Type="http://schemas.openxmlformats.org/officeDocument/2006/relationships/hyperlink" Id="rId57" Target="https://doi.org/10.1016/j.ecl.2022.10.001" TargetMode="External" /><Relationship Type="http://schemas.openxmlformats.org/officeDocument/2006/relationships/hyperlink" Id="rId158" Target="https://doi.org/10.1016/j.ijcard.2018.08.005" TargetMode="External" /><Relationship Type="http://schemas.openxmlformats.org/officeDocument/2006/relationships/hyperlink" Id="rId97" Target="https://doi.org/10.1016/j.jad.2018.04.071" TargetMode="External" /><Relationship Type="http://schemas.openxmlformats.org/officeDocument/2006/relationships/hyperlink" Id="rId146" Target="https://doi.org/10.1016/j.jshs.2020.11.008" TargetMode="External" /><Relationship Type="http://schemas.openxmlformats.org/officeDocument/2006/relationships/hyperlink" Id="rId81" Target="https://doi.org/10.1016/j.mayocp.2020.07.033" TargetMode="External" /><Relationship Type="http://schemas.openxmlformats.org/officeDocument/2006/relationships/hyperlink" Id="rId87" Target="https://doi.org/10.1016/j.pcad.2005.11.003" TargetMode="External" /><Relationship Type="http://schemas.openxmlformats.org/officeDocument/2006/relationships/hyperlink" Id="rId132" Target="https://doi.org/10.1037//0022-006x.56.6.893" TargetMode="External" /><Relationship Type="http://schemas.openxmlformats.org/officeDocument/2006/relationships/hyperlink" Id="rId63" Target="https://doi.org/10.1038/s41392-023-01378-8" TargetMode="External" /><Relationship Type="http://schemas.openxmlformats.org/officeDocument/2006/relationships/hyperlink" Id="rId101" Target="https://doi.org/10.1038/s41398-023-02659-0" TargetMode="External" /><Relationship Type="http://schemas.openxmlformats.org/officeDocument/2006/relationships/hyperlink" Id="rId61" Target="https://doi.org/10.1038/s41569-018-0064-2" TargetMode="External" /><Relationship Type="http://schemas.openxmlformats.org/officeDocument/2006/relationships/hyperlink" Id="rId53" Target="https://doi.org/10.1038/s41586-018-0457-8" TargetMode="External" /><Relationship Type="http://schemas.openxmlformats.org/officeDocument/2006/relationships/hyperlink" Id="rId150" Target="https://doi.org/10.1038/s41598-018-28526-3" TargetMode="External" /><Relationship Type="http://schemas.openxmlformats.org/officeDocument/2006/relationships/hyperlink" Id="rId55" Target="https://doi.org/10.1080/08959420.2019.1626205" TargetMode="External" /><Relationship Type="http://schemas.openxmlformats.org/officeDocument/2006/relationships/hyperlink" Id="rId107" Target="https://doi.org/10.1093/geronj/49.2.M85" TargetMode="External" /><Relationship Type="http://schemas.openxmlformats.org/officeDocument/2006/relationships/hyperlink" Id="rId65" Target="https://doi.org/10.1093/nutrit/nuaa011" TargetMode="External" /><Relationship Type="http://schemas.openxmlformats.org/officeDocument/2006/relationships/hyperlink" Id="rId89" Target="https://doi.org/10.1111/eci.14085" TargetMode="External" /><Relationship Type="http://schemas.openxmlformats.org/officeDocument/2006/relationships/hyperlink" Id="rId114" Target="https://doi.org/10.1111/j.1469-8986.1997.tb02140.x" TargetMode="External" /><Relationship Type="http://schemas.openxmlformats.org/officeDocument/2006/relationships/hyperlink" Id="rId59" Target="https://doi.org/10.1111/obr.13534" TargetMode="External" /><Relationship Type="http://schemas.openxmlformats.org/officeDocument/2006/relationships/hyperlink" Id="rId99" Target="https://doi.org/10.1111/pcn.13356" TargetMode="External" /><Relationship Type="http://schemas.openxmlformats.org/officeDocument/2006/relationships/hyperlink" Id="rId156" Target="https://doi.org/10.1155/2018/7856823" TargetMode="External" /><Relationship Type="http://schemas.openxmlformats.org/officeDocument/2006/relationships/hyperlink" Id="rId118" Target="https://doi.org/10.1159/000513781" TargetMode="External" /><Relationship Type="http://schemas.openxmlformats.org/officeDocument/2006/relationships/hyperlink" Id="rId85" Target="https://doi.org/10.1161/CIR.0000000000000973" TargetMode="External" /><Relationship Type="http://schemas.openxmlformats.org/officeDocument/2006/relationships/hyperlink" Id="rId154" Target="https://doi.org/10.1161/CIRCULATIONAHA.113.005361" TargetMode="External" /><Relationship Type="http://schemas.openxmlformats.org/officeDocument/2006/relationships/hyperlink" Id="rId79" Target="https://doi.org/10.1172/JCI158451" TargetMode="External" /><Relationship Type="http://schemas.openxmlformats.org/officeDocument/2006/relationships/hyperlink" Id="rId148" Target="https://doi.org/10.1186/s12916-020-01847-9" TargetMode="External" /><Relationship Type="http://schemas.openxmlformats.org/officeDocument/2006/relationships/hyperlink" Id="rId128" Target="https://doi.org/10.1186/s12991-021-00375-x" TargetMode="External" /><Relationship Type="http://schemas.openxmlformats.org/officeDocument/2006/relationships/hyperlink" Id="rId95" Target="https://doi.org/10.1371/journal.pone.0273981" TargetMode="External" /><Relationship Type="http://schemas.openxmlformats.org/officeDocument/2006/relationships/hyperlink" Id="rId152" Target="https://doi.org/10.2147/CIA.S120876" TargetMode="External" /><Relationship Type="http://schemas.openxmlformats.org/officeDocument/2006/relationships/hyperlink" Id="rId93" Target="https://doi.org/10.2174/1573403X16999201231203854" TargetMode="External" /><Relationship Type="http://schemas.openxmlformats.org/officeDocument/2006/relationships/hyperlink" Id="rId144" Target="https://doi.org/10.24425/fmc.2022.141698" TargetMode="External" /><Relationship Type="http://schemas.openxmlformats.org/officeDocument/2006/relationships/hyperlink" Id="rId73" Target="https://doi.org/10.2741/4657" TargetMode="External" /><Relationship Type="http://schemas.openxmlformats.org/officeDocument/2006/relationships/hyperlink" Id="rId122" Target="https://journals.humankinetics.com/view/journals/japa/7/2/article-p162.xml" TargetMode="External" /><Relationship Type="http://schemas.openxmlformats.org/officeDocument/2006/relationships/hyperlink" Id="rId140" Target="https://www.R-project.org/" TargetMode="External" /><Relationship Type="http://schemas.openxmlformats.org/officeDocument/2006/relationships/hyperlink" Id="rId105" Target="https://www.mdpi.com/1660-4601/20/5/4456" TargetMode="External" /><Relationship Type="http://schemas.openxmlformats.org/officeDocument/2006/relationships/hyperlink" Id="rId69" Target="https://www.ncbi.nlm.nih.gov/pmc/articles/PMC1424733" TargetMode="External" /><Relationship Type="http://schemas.openxmlformats.org/officeDocument/2006/relationships/hyperlink" Id="rId67" Target="https://www.ncbi.nlm.nih.gov/pmc/articles/PMC1424738" TargetMode="External" /><Relationship Type="http://schemas.openxmlformats.org/officeDocument/2006/relationships/hyperlink" Id="rId134"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2024-03-04T04:04:25Z</dcterms:created>
  <dcterms:modified xsi:type="dcterms:W3CDTF">2024-03-04T04:04:25Z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