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this study explore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44"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5600700"/>
            <wp:effectExtent b="0" l="0" r="0" t="0"/>
            <wp:docPr descr="" title="" id="38" name="Picture"/>
            <a:graphic>
              <a:graphicData uri="http://schemas.openxmlformats.org/drawingml/2006/picture">
                <pic:pic>
                  <pic:nvPicPr>
                    <pic:cNvPr descr="figures/fig-1.jpeg" id="39" name="Picture"/>
                    <pic:cNvPicPr>
                      <a:picLocks noChangeArrowheads="1" noChangeAspect="1"/>
                    </pic:cNvPicPr>
                  </pic:nvPicPr>
                  <pic:blipFill>
                    <a:blip r:embed="rId37"/>
                    <a:stretch>
                      <a:fillRect/>
                    </a:stretch>
                  </pic:blipFill>
                  <pic:spPr bwMode="auto">
                    <a:xfrm>
                      <a:off x="0" y="0"/>
                      <a:ext cx="5600700" cy="5600700"/>
                    </a:xfrm>
                    <a:prstGeom prst="rect">
                      <a:avLst/>
                    </a:prstGeom>
                    <a:noFill/>
                    <a:ln w="9525">
                      <a:noFill/>
                      <a:headEnd/>
                      <a:tailEnd/>
                    </a:ln>
                  </pic:spPr>
                </pic:pic>
              </a:graphicData>
            </a:graphic>
          </wp:inline>
        </w:drawing>
      </w:r>
      <w:r>
        <w:t xml:space="preserve"> </w:t>
      </w:r>
      <w:r>
        <w:rPr>
          <w:bCs/>
          <w:b/>
        </w:rPr>
        <w:t xml:space="preserve">Figure 1</w:t>
      </w:r>
      <w:r>
        <w:t xml:space="preserve">. Main correlations among psychological, cardiac autonomic and performance variables. Non-significant correlations (i.e., p &gt; 0.05) were crossed with and</w:t>
      </w:r>
      <w:r>
        <w:t xml:space="preserve"> </w:t>
      </w:r>
      <w:r>
        <w:t xml:space="preserve">“</w:t>
      </w:r>
      <w:r>
        <w:t xml:space="preserve">X</w:t>
      </w:r>
      <w:r>
        <w:t xml:space="preserve">”</w:t>
      </w:r>
      <w:r>
        <w:t xml:space="preserve">. The more intense the color the stronger the correlation, either positive or negative. GDS, Geriatric Depression Scale; BAI, Beck Anxiety Inventory; SPPB, Short Physical Performance Battery; TMST, Two-Minutes Step Test; BMI, Body Mass Index.</w:t>
      </w:r>
    </w:p>
    <w:bookmarkEnd w:id="40"/>
    <w:bookmarkStart w:id="41"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bookmarkEnd w:id="41"/>
    <w:bookmarkStart w:id="42"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bookmarkEnd w:id="42"/>
    <w:bookmarkStart w:id="43"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potentiating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bookmarkEnd w:id="43"/>
    <w:bookmarkEnd w:id="44"/>
    <w:bookmarkStart w:id="45"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Furthermore, greater body fat percentage was related to a reduced sympathetic drive and higher parasympathetic activity during the TMST, as hypothesized. Throughout the course of physical efforts, the ANS is expected to shift into a sympathetic state, ensuring an efficient response to greater metabolic demands</w:t>
      </w:r>
      <w:r>
        <w:t xml:space="preserve"> </w:t>
      </w:r>
      <w:r>
        <w:t xml:space="preserve">(49)</w:t>
      </w:r>
      <w:r>
        <w:t xml:space="preserve">. However, aged individuals may present an impaired ANS response to physical exercise</w:t>
      </w:r>
      <w:r>
        <w:t xml:space="preserve"> </w:t>
      </w:r>
      <w:r>
        <w:t xml:space="preserve">(27)</w:t>
      </w:r>
      <w:r>
        <w:t xml:space="preserve">. In that sense, our results support that body composition may play a pivotal role in that response, generating novel insights for potential interventions.</w:t>
      </w:r>
    </w:p>
    <w:p>
      <w:pPr>
        <w:pStyle w:val="Textoindependiente"/>
      </w:pPr>
      <w:r>
        <w:t xml:space="preserve">Nonetheless, the moderating effect of physical fitness related measures on the relationship proposed earlier, suggests that greater physical activity could potentially counteract the negative effects of a high body fat percentage on cardiac autonomic response to exercise, possibly, at the same extent as seen in leaner individuals. This result highlights the importance of promoting a physically active lifestyle and favor the maintenance of physical capacity, regardless of nutritional status</w:t>
      </w:r>
      <w:r>
        <w:t xml:space="preserve"> </w:t>
      </w:r>
      <w:r>
        <w:t xml:space="preserve">(50,51)</w:t>
      </w:r>
      <w:r>
        <w:t xml:space="preserve">.</w:t>
      </w:r>
    </w:p>
    <w:p>
      <w:pPr>
        <w:pStyle w:val="Textoindependiente"/>
      </w:pPr>
      <w:r>
        <w:t xml:space="preserve">Regarding the link between physical fitness and cardiac autonomic response to exercise, our results evidenced that individuals with a high sympathetic drive while exercising, had greater physical fitness. Additionally,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performance and its related measures during moderate intensity physical activities. Even more, it has been previously demonstrated that physically active individuals have an enhanced autonomic response to exercise, playing a pivotal role strengthening this hypothesis</w:t>
      </w:r>
      <w:r>
        <w:t xml:space="preserve"> </w:t>
      </w:r>
      <w:r>
        <w:t xml:space="preserve">(52,53)</w:t>
      </w:r>
      <w:r>
        <w:t xml:space="preserve">.</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(54,55)</w:t>
      </w:r>
      <w:r>
        <w:t xml:space="preserve">. Overall, our findings underscore the triangular and bidirectional relationship among these variables.</w:t>
      </w:r>
    </w:p>
    <w:p>
      <w:pPr>
        <w:pStyle w:val="Textoindependiente"/>
      </w:pPr>
      <w:r>
        <w:t xml:space="preserve">However, our results did not evidence a moderating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moderating effects does not diminish the significance of psychological factors in aging, it highlights the complexity of their influence.</w:t>
      </w:r>
    </w:p>
    <w:p>
      <w:pPr>
        <w:pStyle w:val="Textoindependiente"/>
      </w:pPr>
      <w:r>
        <w:t xml:space="preserve">In addition to the potential strengths of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Further research could investigate the impact of cardiac autonomic response on performance during the same task, in this age group.</w:t>
      </w:r>
    </w:p>
    <w:bookmarkEnd w:id="45"/>
    <w:bookmarkStart w:id="46"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highlighting its pivotal role in older people’s health. However, further research is needed to elucidate moderating effects of psychological variables in this field.</w:t>
      </w:r>
    </w:p>
    <w:bookmarkEnd w:id="46"/>
    <w:bookmarkStart w:id="47"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7"/>
    <w:bookmarkStart w:id="48" w:name="funding"/>
    <w:p>
      <w:pPr>
        <w:pStyle w:val="Ttulo1"/>
      </w:pPr>
      <w:r>
        <w:t xml:space="preserve">Funding</w:t>
      </w:r>
    </w:p>
    <w:p>
      <w:pPr>
        <w:pStyle w:val="FirstParagraph"/>
      </w:pPr>
      <w:r>
        <w:t xml:space="preserve">[…].</w:t>
      </w:r>
    </w:p>
    <w:bookmarkEnd w:id="48"/>
    <w:bookmarkStart w:id="49" w:name="institutional-review-board-statement"/>
    <w:p>
      <w:pPr>
        <w:pStyle w:val="Ttulo1"/>
      </w:pPr>
      <w:r>
        <w:t xml:space="preserve">Institutional Review Board Statement</w:t>
      </w:r>
    </w:p>
    <w:p>
      <w:pPr>
        <w:pStyle w:val="FirstParagraph"/>
      </w:pPr>
      <w:r>
        <w:t xml:space="preserve">[…].</w:t>
      </w:r>
    </w:p>
    <w:bookmarkEnd w:id="49"/>
    <w:bookmarkStart w:id="50" w:name="informed-consent-statement"/>
    <w:p>
      <w:pPr>
        <w:pStyle w:val="Ttulo1"/>
      </w:pPr>
      <w:r>
        <w:t xml:space="preserve">Informed Consent Statement</w:t>
      </w:r>
    </w:p>
    <w:p>
      <w:pPr>
        <w:pStyle w:val="FirstParagraph"/>
      </w:pPr>
      <w:r>
        <w:t xml:space="preserve">[…]</w:t>
      </w:r>
    </w:p>
    <w:bookmarkEnd w:id="50"/>
    <w:bookmarkStart w:id="51"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51"/>
    <w:bookmarkStart w:id="52"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52"/>
    <w:bookmarkStart w:id="161" w:name="referencias"/>
    <w:p>
      <w:pPr>
        <w:pStyle w:val="Ttulo1"/>
      </w:pPr>
      <w:r>
        <w:t xml:space="preserve">Referencias</w:t>
      </w:r>
    </w:p>
    <w:bookmarkStart w:id="160" w:name="refs"/>
    <w:bookmarkStart w:id="54" w:name="ref-pmid:30185958"/>
    <w:p>
      <w:pPr>
        <w:pStyle w:val="Bibliografa"/>
      </w:pPr>
      <w:r>
        <w:t xml:space="preserve">1.</w:t>
      </w:r>
      <w:r>
        <w:t xml:space="preserve"> </w:t>
      </w:r>
      <w:r>
        <w:t xml:space="preserve">	</w:t>
      </w:r>
      <w:r>
        <w:t xml:space="preserve">Partridge L, Deelen J, Slagboom PE.</w:t>
      </w:r>
      <w:r>
        <w:t xml:space="preserve"> </w:t>
      </w:r>
      <w:hyperlink r:id="rId53">
        <w:r>
          <w:rPr>
            <w:rStyle w:val="Hipervnculo"/>
          </w:rPr>
          <w:t xml:space="preserve">Facing up to the global challenges of ageing</w:t>
        </w:r>
      </w:hyperlink>
      <w:r>
        <w:t xml:space="preserve">. Nature. 2018 Sep;561(7721):45–56.</w:t>
      </w:r>
      <w:r>
        <w:t xml:space="preserve"> </w:t>
      </w:r>
    </w:p>
    <w:bookmarkEnd w:id="54"/>
    <w:bookmarkStart w:id="56" w:name="ref-pmid:31154942"/>
    <w:p>
      <w:pPr>
        <w:pStyle w:val="Bibliografa"/>
      </w:pPr>
      <w:r>
        <w:t xml:space="preserve">2.</w:t>
      </w:r>
      <w:r>
        <w:t xml:space="preserve"> </w:t>
      </w:r>
      <w:r>
        <w:t xml:space="preserve">	</w:t>
      </w:r>
      <w:r>
        <w:t xml:space="preserve">Feng Z.</w:t>
      </w:r>
      <w:r>
        <w:t xml:space="preserve"> </w:t>
      </w:r>
      <w:hyperlink r:id="rId55">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6"/>
    <w:bookmarkStart w:id="58" w:name="ref-pmid:36948782"/>
    <w:p>
      <w:pPr>
        <w:pStyle w:val="Bibliografa"/>
      </w:pPr>
      <w:r>
        <w:t xml:space="preserve">3.</w:t>
      </w:r>
      <w:r>
        <w:t xml:space="preserve"> </w:t>
      </w:r>
      <w:r>
        <w:t xml:space="preserve">	</w:t>
      </w:r>
      <w:r>
        <w:t xml:space="preserve">Malandrino N, Bhat SZ, Alfaraidhy M, Grewal RS, Kalyani RR.</w:t>
      </w:r>
      <w:r>
        <w:t xml:space="preserve"> </w:t>
      </w:r>
      <w:hyperlink r:id="rId57">
        <w:r>
          <w:rPr>
            <w:rStyle w:val="Hipervnculo"/>
          </w:rPr>
          <w:t xml:space="preserve">Obesity and aging</w:t>
        </w:r>
      </w:hyperlink>
      <w:r>
        <w:t xml:space="preserve">. Endocrinology and metabolism clinics of North America. 2023 Jun;52(2):317–39.</w:t>
      </w:r>
      <w:r>
        <w:t xml:space="preserve"> </w:t>
      </w:r>
    </w:p>
    <w:bookmarkEnd w:id="58"/>
    <w:bookmarkStart w:id="60" w:name="ref-pmid:36443946"/>
    <w:p>
      <w:pPr>
        <w:pStyle w:val="Bibliografa"/>
      </w:pPr>
      <w:r>
        <w:t xml:space="preserve">4.</w:t>
      </w:r>
      <w:r>
        <w:t xml:space="preserve"> </w:t>
      </w:r>
      <w:r>
        <w:t xml:space="preserve">	</w:t>
      </w:r>
      <w:r>
        <w:t xml:space="preserve">Liu C, Wong PY, Chung YL, Chow SK-H, Cheung WH, Law SW, et al.</w:t>
      </w:r>
      <w:r>
        <w:t xml:space="preserve"> </w:t>
      </w:r>
      <w:hyperlink r:id="rId59">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0"/>
    <w:bookmarkStart w:id="62" w:name="ref-pmid:30065258"/>
    <w:p>
      <w:pPr>
        <w:pStyle w:val="Bibliografa"/>
      </w:pPr>
      <w:r>
        <w:t xml:space="preserve">5.</w:t>
      </w:r>
      <w:r>
        <w:t xml:space="preserve"> </w:t>
      </w:r>
      <w:r>
        <w:t xml:space="preserve">	</w:t>
      </w:r>
      <w:r>
        <w:t xml:space="preserve">Ferrucci L, Fabbri E.</w:t>
      </w:r>
      <w:r>
        <w:t xml:space="preserve"> </w:t>
      </w:r>
      <w:hyperlink r:id="rId61">
        <w:r>
          <w:rPr>
            <w:rStyle w:val="Hipervnculo"/>
          </w:rPr>
          <w:t xml:space="preserve">Inflammageing: Chronic inflammation in ageing, cardiovascular disease, and frailty</w:t>
        </w:r>
      </w:hyperlink>
      <w:r>
        <w:t xml:space="preserve">. Nature reviews Cardiology. 2018 Sep;15(9):505–22.</w:t>
      </w:r>
      <w:r>
        <w:t xml:space="preserve"> </w:t>
      </w:r>
    </w:p>
    <w:bookmarkEnd w:id="62"/>
    <w:bookmarkStart w:id="64" w:name="ref-pmid:36918543"/>
    <w:p>
      <w:pPr>
        <w:pStyle w:val="Bibliografa"/>
      </w:pPr>
      <w:r>
        <w:t xml:space="preserve">6.</w:t>
      </w:r>
      <w:r>
        <w:t xml:space="preserve"> </w:t>
      </w:r>
      <w:r>
        <w:t xml:space="preserve">	</w:t>
      </w:r>
      <w:r>
        <w:t xml:space="preserve">Xie S, Xu S-C, Deng W, Tang Q.</w:t>
      </w:r>
      <w:r>
        <w:t xml:space="preserve"> </w:t>
      </w:r>
      <w:hyperlink r:id="rId63">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64"/>
    <w:bookmarkStart w:id="66"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5">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6"/>
    <w:bookmarkStart w:id="68" w:name="ref-pmid:3920716"/>
    <w:p>
      <w:pPr>
        <w:pStyle w:val="Bibliografa"/>
      </w:pPr>
      <w:r>
        <w:t xml:space="preserve">8.</w:t>
      </w:r>
      <w:r>
        <w:t xml:space="preserve"> </w:t>
      </w:r>
      <w:r>
        <w:t xml:space="preserve">	</w:t>
      </w:r>
      <w:r>
        <w:t xml:space="preserve">Siscovick DS, LaPorte RE, Newman JM.</w:t>
      </w:r>
      <w:r>
        <w:t xml:space="preserve"> </w:t>
      </w:r>
      <w:hyperlink r:id="rId67">
        <w:r>
          <w:rPr>
            <w:rStyle w:val="Hipervnculo"/>
          </w:rPr>
          <w:t xml:space="preserve">The disease-specific benefits and risks of physical activity and exercise</w:t>
        </w:r>
      </w:hyperlink>
      <w:r>
        <w:t xml:space="preserve">. Public health reports (Washington, DC : 1974). 1985;100(2):180–8.</w:t>
      </w:r>
      <w:r>
        <w:t xml:space="preserve"> </w:t>
      </w:r>
    </w:p>
    <w:bookmarkEnd w:id="68"/>
    <w:bookmarkStart w:id="70" w:name="ref-pmid:3920711"/>
    <w:p>
      <w:pPr>
        <w:pStyle w:val="Bibliografa"/>
      </w:pPr>
      <w:r>
        <w:t xml:space="preserve">9.</w:t>
      </w:r>
      <w:r>
        <w:t xml:space="preserve"> </w:t>
      </w:r>
      <w:r>
        <w:t xml:space="preserve">	</w:t>
      </w:r>
      <w:r>
        <w:t xml:space="preserve">Caspersen CJ, Powell KE, Christenson GM.</w:t>
      </w:r>
      <w:r>
        <w:t xml:space="preserve"> </w:t>
      </w:r>
      <w:hyperlink r:id="rId69">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0"/>
    <w:bookmarkStart w:id="72" w:name="ref-pmid:9177581"/>
    <w:p>
      <w:pPr>
        <w:pStyle w:val="Bibliografa"/>
      </w:pPr>
      <w:r>
        <w:t xml:space="preserve">10.</w:t>
      </w:r>
      <w:r>
        <w:t xml:space="preserve"> </w:t>
      </w:r>
      <w:r>
        <w:t xml:space="preserve">	</w:t>
      </w:r>
      <w:r>
        <w:t xml:space="preserve">Lee IM, Paffenbarger RS Jr, Hennekens CH.</w:t>
      </w:r>
      <w:r>
        <w:t xml:space="preserve"> </w:t>
      </w:r>
      <w:hyperlink r:id="rId71">
        <w:r>
          <w:rPr>
            <w:rStyle w:val="Hipervnculo"/>
          </w:rPr>
          <w:t xml:space="preserve">Physical activity, physical fitness and longevity</w:t>
        </w:r>
      </w:hyperlink>
      <w:r>
        <w:t xml:space="preserve">. Aging (Milan, Italy). 1997;9(1-2):2–11.</w:t>
      </w:r>
      <w:r>
        <w:t xml:space="preserve"> </w:t>
      </w:r>
    </w:p>
    <w:bookmarkEnd w:id="72"/>
    <w:bookmarkStart w:id="74" w:name="ref-pmid:29293447"/>
    <w:p>
      <w:pPr>
        <w:pStyle w:val="Bibliografa"/>
      </w:pPr>
      <w:r>
        <w:t xml:space="preserve">11.</w:t>
      </w:r>
      <w:r>
        <w:t xml:space="preserve"> </w:t>
      </w:r>
      <w:r>
        <w:t xml:space="preserve">	</w:t>
      </w:r>
      <w:r>
        <w:t xml:space="preserve">Strasser B, Burtscher M.</w:t>
      </w:r>
      <w:r>
        <w:t xml:space="preserve"> </w:t>
      </w:r>
      <w:hyperlink r:id="rId73">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74"/>
    <w:bookmarkStart w:id="76"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5">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6"/>
    <w:bookmarkStart w:id="78"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7">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8"/>
    <w:bookmarkStart w:id="80" w:name="ref-pmid:35968789"/>
    <w:p>
      <w:pPr>
        <w:pStyle w:val="Bibliografa"/>
      </w:pPr>
      <w:r>
        <w:t xml:space="preserve">14.</w:t>
      </w:r>
      <w:r>
        <w:t xml:space="preserve"> </w:t>
      </w:r>
      <w:r>
        <w:t xml:space="preserve">	</w:t>
      </w:r>
      <w:r>
        <w:t xml:space="preserve">Palmer AK, Jensen MD.</w:t>
      </w:r>
      <w:r>
        <w:t xml:space="preserve"> </w:t>
      </w:r>
      <w:hyperlink r:id="rId79">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0"/>
    <w:bookmarkStart w:id="82" w:name="ref-pmid:33673927"/>
    <w:p>
      <w:pPr>
        <w:pStyle w:val="Bibliografa"/>
      </w:pPr>
      <w:r>
        <w:t xml:space="preserve">15.</w:t>
      </w:r>
      <w:r>
        <w:t xml:space="preserve"> </w:t>
      </w:r>
      <w:r>
        <w:t xml:space="preserve">	</w:t>
      </w:r>
      <w:r>
        <w:t xml:space="preserve">Pataky MW, Young WF, Nair KS.</w:t>
      </w:r>
      <w:r>
        <w:t xml:space="preserve"> </w:t>
      </w:r>
      <w:hyperlink r:id="rId81">
        <w:r>
          <w:rPr>
            <w:rStyle w:val="Hipervnculo"/>
          </w:rPr>
          <w:t xml:space="preserve">Hormonal and metabolic changes of aging and the influence of lifestyle modifications</w:t>
        </w:r>
      </w:hyperlink>
      <w:r>
        <w:t xml:space="preserve">. Mayo Clinic proceedings. 2021 Mar;96(3):788–814.</w:t>
      </w:r>
      <w:r>
        <w:t xml:space="preserve"> </w:t>
      </w:r>
    </w:p>
    <w:bookmarkEnd w:id="82"/>
    <w:bookmarkStart w:id="84"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83">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84"/>
    <w:bookmarkStart w:id="86"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5">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6"/>
    <w:bookmarkStart w:id="88" w:name="ref-pmid:16627049"/>
    <w:p>
      <w:pPr>
        <w:pStyle w:val="Bibliografa"/>
      </w:pPr>
      <w:r>
        <w:t xml:space="preserve">18.</w:t>
      </w:r>
      <w:r>
        <w:t xml:space="preserve"> </w:t>
      </w:r>
      <w:r>
        <w:t xml:space="preserve">	</w:t>
      </w:r>
      <w:r>
        <w:t xml:space="preserve">Freeman JV, Dewey FE, Hadley DM, Myers J, Froelicher VF.</w:t>
      </w:r>
      <w:r>
        <w:t xml:space="preserve"> </w:t>
      </w:r>
      <w:hyperlink r:id="rId87">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8"/>
    <w:bookmarkStart w:id="90" w:name="ref-pmid:37641564"/>
    <w:p>
      <w:pPr>
        <w:pStyle w:val="Bibliografa"/>
      </w:pPr>
      <w:r>
        <w:t xml:space="preserve">19.</w:t>
      </w:r>
      <w:r>
        <w:t xml:space="preserve"> </w:t>
      </w:r>
      <w:r>
        <w:t xml:space="preserve">	</w:t>
      </w:r>
      <w:r>
        <w:t xml:space="preserve">Zhao Y, Yu H, Gong A, Zhang S, Xiao B.</w:t>
      </w:r>
      <w:r>
        <w:t xml:space="preserve"> </w:t>
      </w:r>
      <w:hyperlink r:id="rId89">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0"/>
    <w:bookmarkStart w:id="92" w:name="ref-pmid:29033120"/>
    <w:p>
      <w:pPr>
        <w:pStyle w:val="Bibliografa"/>
      </w:pPr>
      <w:r>
        <w:t xml:space="preserve">20.</w:t>
      </w:r>
      <w:r>
        <w:t xml:space="preserve"> </w:t>
      </w:r>
      <w:r>
        <w:t xml:space="preserve">	</w:t>
      </w:r>
      <w:r>
        <w:t xml:space="preserve">Kubota Y, Chen LY, Whitsel EA, Folsom AR.</w:t>
      </w:r>
      <w:r>
        <w:t xml:space="preserve"> </w:t>
      </w:r>
      <w:hyperlink r:id="rId91">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92"/>
    <w:bookmarkStart w:id="94" w:name="ref-pmid:33390146"/>
    <w:p>
      <w:pPr>
        <w:pStyle w:val="Bibliografa"/>
      </w:pPr>
      <w:r>
        <w:t xml:space="preserve">21.</w:t>
      </w:r>
      <w:r>
        <w:t xml:space="preserve"> </w:t>
      </w:r>
      <w:r>
        <w:t xml:space="preserve">	</w:t>
      </w:r>
      <w:r>
        <w:t xml:space="preserve">Tiwari R, Kumar R, Malik S, Raj T, Kumar P.</w:t>
      </w:r>
      <w:r>
        <w:t xml:space="preserve"> </w:t>
      </w:r>
      <w:hyperlink r:id="rId93">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94"/>
    <w:bookmarkStart w:id="96"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5">
        <w:r>
          <w:rPr>
            <w:rStyle w:val="Hipervnculo"/>
          </w:rPr>
          <w:t xml:space="preserve">Decrease of heart rate variability during exercise: An index of cardiorespiratory fitness</w:t>
        </w:r>
      </w:hyperlink>
      <w:r>
        <w:t xml:space="preserve">. PloS one. 2022 Sep 2;17(9):e0273981.</w:t>
      </w:r>
      <w:r>
        <w:t xml:space="preserve"> </w:t>
      </w:r>
    </w:p>
    <w:bookmarkEnd w:id="96"/>
    <w:bookmarkStart w:id="98"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7">
        <w:r>
          <w:rPr>
            <w:rStyle w:val="Hipervnculo"/>
          </w:rPr>
          <w:t xml:space="preserve">Heart rate variability alterations in late life depression: A meta-analysis</w:t>
        </w:r>
      </w:hyperlink>
      <w:r>
        <w:t xml:space="preserve">. Journal of Affective Disorders. 2018 Aug;235:456–66.</w:t>
      </w:r>
      <w:r>
        <w:t xml:space="preserve"> </w:t>
      </w:r>
    </w:p>
    <w:bookmarkEnd w:id="98"/>
    <w:bookmarkStart w:id="100" w:name="ref-pmid:35340102"/>
    <w:p>
      <w:pPr>
        <w:pStyle w:val="Bibliografa"/>
      </w:pPr>
      <w:r>
        <w:t xml:space="preserve">24.</w:t>
      </w:r>
      <w:r>
        <w:t xml:space="preserve"> </w:t>
      </w:r>
      <w:r>
        <w:t xml:space="preserve">	</w:t>
      </w:r>
      <w:r>
        <w:t xml:space="preserve">Cheng Y-C, Su M-I, Liu C-W, Huang Y-C, Huang W-L.</w:t>
      </w:r>
      <w:r>
        <w:t xml:space="preserve"> </w:t>
      </w:r>
      <w:hyperlink r:id="rId99">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0"/>
    <w:bookmarkStart w:id="102" w:name="ref-pmid:38007499"/>
    <w:p>
      <w:pPr>
        <w:pStyle w:val="Bibliografa"/>
      </w:pPr>
      <w:r>
        <w:t xml:space="preserve">25.</w:t>
      </w:r>
      <w:r>
        <w:t xml:space="preserve"> </w:t>
      </w:r>
      <w:r>
        <w:t xml:space="preserve">	</w:t>
      </w:r>
      <w:r>
        <w:t xml:space="preserve">Schlechter P, Ford TJ, Neufeld SAS.</w:t>
      </w:r>
      <w:r>
        <w:t xml:space="preserve"> </w:t>
      </w:r>
      <w:hyperlink r:id="rId101">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02"/>
    <w:bookmarkStart w:id="104" w:name="ref-pmid:25980510"/>
    <w:p>
      <w:pPr>
        <w:pStyle w:val="Bibliografa"/>
      </w:pPr>
      <w:r>
        <w:t xml:space="preserve">26.</w:t>
      </w:r>
      <w:r>
        <w:t xml:space="preserve"> </w:t>
      </w:r>
      <w:r>
        <w:t xml:space="preserve">	</w:t>
      </w:r>
      <w:r>
        <w:t xml:space="preserve">Andreescu C, Varon D.</w:t>
      </w:r>
      <w:r>
        <w:t xml:space="preserve"> </w:t>
      </w:r>
      <w:hyperlink r:id="rId103">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04"/>
    <w:bookmarkStart w:id="106"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5">
        <w:r>
          <w:rPr>
            <w:rStyle w:val="Hipervnculo"/>
          </w:rPr>
          <w:t xml:space="preserve">https://www.mdpi.com/1660-4601/20/5/4456</w:t>
        </w:r>
      </w:hyperlink>
    </w:p>
    <w:bookmarkEnd w:id="106"/>
    <w:bookmarkStart w:id="108"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7">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8"/>
    <w:bookmarkStart w:id="110"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9">
        <w:r>
          <w:rPr>
            <w:rStyle w:val="Hipervnculo"/>
          </w:rPr>
          <w:t xml:space="preserve">https://api.semanticscholar.org/CorpusID:220870368</w:t>
        </w:r>
      </w:hyperlink>
    </w:p>
    <w:bookmarkEnd w:id="110"/>
    <w:bookmarkStart w:id="111"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11"/>
    <w:bookmarkStart w:id="113"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12">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13"/>
    <w:bookmarkStart w:id="115"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14">
        <w:r>
          <w:rPr>
            <w:rStyle w:val="Hipervnculo"/>
          </w:rPr>
          <w:t xml:space="preserve">Heart rate variability: Origins, methods, and interpretive caveats</w:t>
        </w:r>
      </w:hyperlink>
      <w:r>
        <w:t xml:space="preserve">. Psychophysiology. 1997 Nov;34(6):623–48.</w:t>
      </w:r>
      <w:r>
        <w:t xml:space="preserve"> </w:t>
      </w:r>
    </w:p>
    <w:bookmarkEnd w:id="115"/>
    <w:bookmarkStart w:id="116"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6"/>
    <w:bookmarkStart w:id="117"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7"/>
    <w:bookmarkStart w:id="119" w:name="ref-doi:10.1159/000513781"/>
    <w:p>
      <w:pPr>
        <w:pStyle w:val="Bibliografa"/>
      </w:pPr>
      <w:r>
        <w:t xml:space="preserve">35.</w:t>
      </w:r>
      <w:r>
        <w:t xml:space="preserve"> </w:t>
      </w:r>
      <w:r>
        <w:t xml:space="preserve">	</w:t>
      </w:r>
      <w:r>
        <w:t xml:space="preserve">Yoo HH, Yune SJ, Im SJ, Kam BS, Lee SY.</w:t>
      </w:r>
      <w:r>
        <w:t xml:space="preserve"> </w:t>
      </w:r>
      <w:hyperlink r:id="rId118">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9"/>
    <w:bookmarkStart w:id="121"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0">
        <w:r>
          <w:rPr>
            <w:rStyle w:val="Hipervnculo"/>
          </w:rPr>
          <w:t xml:space="preserve">https://api.semanticscholar.org/CorpusID:29215863</w:t>
        </w:r>
      </w:hyperlink>
    </w:p>
    <w:bookmarkEnd w:id="121"/>
    <w:bookmarkStart w:id="123"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22">
        <w:r>
          <w:rPr>
            <w:rStyle w:val="Hipervnculo"/>
          </w:rPr>
          <w:t xml:space="preserve">https://journals.humankinetics.com/view/journals/japa/7/2/article-p162.xml</w:t>
        </w:r>
      </w:hyperlink>
    </w:p>
    <w:bookmarkEnd w:id="123"/>
    <w:bookmarkStart w:id="125" w:name="ref-pmid:27633329"/>
    <w:p>
      <w:pPr>
        <w:pStyle w:val="Bibliografa"/>
      </w:pPr>
      <w:r>
        <w:t xml:space="preserve">38.</w:t>
      </w:r>
      <w:r>
        <w:t xml:space="preserve"> </w:t>
      </w:r>
      <w:r>
        <w:t xml:space="preserve">	</w:t>
      </w:r>
      <w:r>
        <w:t xml:space="preserve">Gana K, Bailly N, Broc G, Cazauvieilh C, Boudouda NE.</w:t>
      </w:r>
      <w:r>
        <w:t xml:space="preserve"> </w:t>
      </w:r>
      <w:hyperlink r:id="rId124">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5"/>
    <w:bookmarkStart w:id="127" w:name="ref-pmid:7183759"/>
    <w:p>
      <w:pPr>
        <w:pStyle w:val="Bibliografa"/>
      </w:pPr>
      <w:r>
        <w:t xml:space="preserve">39.</w:t>
      </w:r>
      <w:r>
        <w:t xml:space="preserve"> </w:t>
      </w:r>
      <w:r>
        <w:t xml:space="preserve">	</w:t>
      </w:r>
      <w:r>
        <w:t xml:space="preserve">Yesavage JA, Brink TL, Rose TL, Lum O, Huang V, Adey M, et al.</w:t>
      </w:r>
      <w:r>
        <w:t xml:space="preserve"> </w:t>
      </w:r>
      <w:hyperlink r:id="rId126">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7"/>
    <w:bookmarkStart w:id="129" w:name="ref-pmid:34922595"/>
    <w:p>
      <w:pPr>
        <w:pStyle w:val="Bibliografa"/>
      </w:pPr>
      <w:r>
        <w:t xml:space="preserve">40.</w:t>
      </w:r>
      <w:r>
        <w:t xml:space="preserve"> </w:t>
      </w:r>
      <w:r>
        <w:t xml:space="preserve">	</w:t>
      </w:r>
      <w:r>
        <w:t xml:space="preserve">Zenebe Y, Akele B, W/Selassie M, Necho M.</w:t>
      </w:r>
      <w:r>
        <w:t xml:space="preserve"> </w:t>
      </w:r>
      <w:hyperlink r:id="rId128">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9"/>
    <w:bookmarkStart w:id="131"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0">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31"/>
    <w:bookmarkStart w:id="133" w:name="ref-pmid:3204199"/>
    <w:p>
      <w:pPr>
        <w:pStyle w:val="Bibliografa"/>
      </w:pPr>
      <w:r>
        <w:t xml:space="preserve">42.</w:t>
      </w:r>
      <w:r>
        <w:t xml:space="preserve"> </w:t>
      </w:r>
      <w:r>
        <w:t xml:space="preserve">	</w:t>
      </w:r>
      <w:r>
        <w:t xml:space="preserve">Beck AT, Epstein N, Brown G, Steer RA.</w:t>
      </w:r>
      <w:r>
        <w:t xml:space="preserve"> </w:t>
      </w:r>
      <w:hyperlink r:id="rId132">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33"/>
    <w:bookmarkStart w:id="135"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34">
        <w:r>
          <w:rPr>
            <w:rStyle w:val="Hipervnculo"/>
          </w:rPr>
          <w:t xml:space="preserve">https://www.sciencedirect.com/science/article/pii/S0211139X01747555</w:t>
        </w:r>
      </w:hyperlink>
    </w:p>
    <w:bookmarkEnd w:id="135"/>
    <w:bookmarkStart w:id="137"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36">
        <w:r>
          <w:rPr>
            <w:rStyle w:val="Hipervnculo"/>
          </w:rPr>
          <w:t xml:space="preserve">http://imai.princeton.edu/research/mediation.html</w:t>
        </w:r>
      </w:hyperlink>
    </w:p>
    <w:bookmarkEnd w:id="137"/>
    <w:bookmarkStart w:id="139"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38">
        <w:r>
          <w:rPr>
            <w:rStyle w:val="Hipervnculo"/>
          </w:rPr>
          <w:t xml:space="preserve">http://www.jstatsoft.org/v59/i05/</w:t>
        </w:r>
      </w:hyperlink>
    </w:p>
    <w:bookmarkEnd w:id="139"/>
    <w:bookmarkStart w:id="141"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0">
        <w:r>
          <w:rPr>
            <w:rStyle w:val="Hipervnculo"/>
          </w:rPr>
          <w:t xml:space="preserve">https://www.R-project.org/</w:t>
        </w:r>
      </w:hyperlink>
    </w:p>
    <w:bookmarkEnd w:id="141"/>
    <w:bookmarkStart w:id="143"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42">
        <w:r>
          <w:rPr>
            <w:rStyle w:val="Hipervnculo"/>
          </w:rPr>
          <w:t xml:space="preserve">Body composition and functional performance of older adults</w:t>
        </w:r>
      </w:hyperlink>
      <w:r>
        <w:t xml:space="preserve">. Osteoporosis and sarcopenia. 2022 Jun;8(2):86–91.</w:t>
      </w:r>
      <w:r>
        <w:t xml:space="preserve"> </w:t>
      </w:r>
    </w:p>
    <w:bookmarkEnd w:id="143"/>
    <w:bookmarkStart w:id="145"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44">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45"/>
    <w:bookmarkStart w:id="147" w:name="ref-pmid:33246163"/>
    <w:p>
      <w:pPr>
        <w:pStyle w:val="Bibliografa"/>
      </w:pPr>
      <w:r>
        <w:t xml:space="preserve">49.</w:t>
      </w:r>
      <w:r>
        <w:t xml:space="preserve"> </w:t>
      </w:r>
      <w:r>
        <w:t xml:space="preserve">	</w:t>
      </w:r>
      <w:r>
        <w:t xml:space="preserve">Marasingha-Arachchige SU, Rubio-Arias JÁ, Alcaraz PE, Chung LH.</w:t>
      </w:r>
      <w:r>
        <w:t xml:space="preserve"> </w:t>
      </w:r>
      <w:hyperlink r:id="rId146">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47"/>
    <w:bookmarkStart w:id="149" w:name="ref-pmid:33402165"/>
    <w:p>
      <w:pPr>
        <w:pStyle w:val="Bibliografa"/>
      </w:pPr>
      <w:r>
        <w:t xml:space="preserve">50.</w:t>
      </w:r>
      <w:r>
        <w:t xml:space="preserve"> </w:t>
      </w:r>
      <w:r>
        <w:t xml:space="preserve">	</w:t>
      </w:r>
      <w:r>
        <w:t xml:space="preserve">Galmes-Panades AM, Konieczna J, Varela-Mato V, Abete I, Babio N, Fiol M, et al.</w:t>
      </w:r>
      <w:r>
        <w:t xml:space="preserve"> </w:t>
      </w:r>
      <w:hyperlink r:id="rId148">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9"/>
    <w:bookmarkStart w:id="151" w:name="ref-pmid:30002462"/>
    <w:p>
      <w:pPr>
        <w:pStyle w:val="Bibliografa"/>
      </w:pPr>
      <w:r>
        <w:t xml:space="preserve">51.</w:t>
      </w:r>
      <w:r>
        <w:t xml:space="preserve"> </w:t>
      </w:r>
      <w:r>
        <w:t xml:space="preserve">	</w:t>
      </w:r>
      <w:r>
        <w:t xml:space="preserve">Gopinath B, Kifley A, Flood VM, Mitchell P.</w:t>
      </w:r>
      <w:r>
        <w:t xml:space="preserve"> </w:t>
      </w:r>
      <w:hyperlink r:id="rId150">
        <w:r>
          <w:rPr>
            <w:rStyle w:val="Hipervnculo"/>
          </w:rPr>
          <w:t xml:space="preserve">Physical activity as a determinant of successful aging over ten years</w:t>
        </w:r>
      </w:hyperlink>
      <w:r>
        <w:t xml:space="preserve">. Scientific reports. 2018 Jul 12;8(1):10522.</w:t>
      </w:r>
      <w:r>
        <w:t xml:space="preserve"> </w:t>
      </w:r>
    </w:p>
    <w:bookmarkEnd w:id="151"/>
    <w:bookmarkStart w:id="153" w:name="ref-pmid:28721030"/>
    <w:p>
      <w:pPr>
        <w:pStyle w:val="Bibliografa"/>
      </w:pPr>
      <w:r>
        <w:t xml:space="preserve">52.</w:t>
      </w:r>
      <w:r>
        <w:t xml:space="preserve"> </w:t>
      </w:r>
      <w:r>
        <w:t xml:space="preserve">	</w:t>
      </w:r>
      <w:r>
        <w:t xml:space="preserve">Sarmento A de O, Santos A da C, Trombetta IC, Dantas MM, Oliveira Marques AC, Nascimento LS do, et al.</w:t>
      </w:r>
      <w:r>
        <w:t xml:space="preserve"> </w:t>
      </w:r>
      <w:hyperlink r:id="rId152">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3"/>
    <w:bookmarkStart w:id="155" w:name="ref-pmid:24799513"/>
    <w:p>
      <w:pPr>
        <w:pStyle w:val="Bibliografa"/>
      </w:pPr>
      <w:r>
        <w:t xml:space="preserve">53.</w:t>
      </w:r>
      <w:r>
        <w:t xml:space="preserve"> </w:t>
      </w:r>
      <w:r>
        <w:t xml:space="preserve">	</w:t>
      </w:r>
      <w:r>
        <w:t xml:space="preserve">Soares-Miranda L, Sattelmair J, Chaves P, Duncan GE, Siscovick DS, Stein PK, et al.</w:t>
      </w:r>
      <w:r>
        <w:t xml:space="preserve"> </w:t>
      </w:r>
      <w:hyperlink r:id="rId154">
        <w:r>
          <w:rPr>
            <w:rStyle w:val="Hipervnculo"/>
          </w:rPr>
          <w:t xml:space="preserve">Physical activity and heart rate variability in older adults: The cardiovascular health study</w:t>
        </w:r>
      </w:hyperlink>
      <w:r>
        <w:t xml:space="preserve">. Circulation. 2014 May 27;129(21):2100–10.</w:t>
      </w:r>
      <w:r>
        <w:t xml:space="preserve"> </w:t>
      </w:r>
    </w:p>
    <w:bookmarkEnd w:id="155"/>
    <w:bookmarkStart w:id="157" w:name="ref-pmid:30627571"/>
    <w:p>
      <w:pPr>
        <w:pStyle w:val="Bibliografa"/>
      </w:pPr>
      <w:r>
        <w:t xml:space="preserve">54.</w:t>
      </w:r>
      <w:r>
        <w:t xml:space="preserve"> </w:t>
      </w:r>
      <w:r>
        <w:t xml:space="preserve">	</w:t>
      </w:r>
      <w:r>
        <w:t xml:space="preserve">Langhammer B, Bergland A, Rydwik E.</w:t>
      </w:r>
      <w:r>
        <w:t xml:space="preserve"> </w:t>
      </w:r>
      <w:hyperlink r:id="rId156">
        <w:r>
          <w:rPr>
            <w:rStyle w:val="Hipervnculo"/>
          </w:rPr>
          <w:t xml:space="preserve">The importance of physical activity exercise among older people</w:t>
        </w:r>
      </w:hyperlink>
      <w:r>
        <w:t xml:space="preserve">. BioMed research international. 2018 Dec 5;2018:7856823.</w:t>
      </w:r>
      <w:r>
        <w:t xml:space="preserve"> </w:t>
      </w:r>
    </w:p>
    <w:bookmarkEnd w:id="157"/>
    <w:bookmarkStart w:id="159" w:name="ref-pmid:30104034"/>
    <w:p>
      <w:pPr>
        <w:pStyle w:val="Bibliografa"/>
      </w:pPr>
      <w:r>
        <w:t xml:space="preserve">55.</w:t>
      </w:r>
      <w:r>
        <w:t xml:space="preserve"> </w:t>
      </w:r>
      <w:r>
        <w:t xml:space="preserve">	</w:t>
      </w:r>
      <w:r>
        <w:t xml:space="preserve">Tan JPH, Beilharz JE, Vollmer-Conna U, Cvejic E.</w:t>
      </w:r>
      <w:r>
        <w:t xml:space="preserve"> </w:t>
      </w:r>
      <w:hyperlink r:id="rId158">
        <w:r>
          <w:rPr>
            <w:rStyle w:val="Hipervnculo"/>
          </w:rPr>
          <w:t xml:space="preserve">Heart rate variability as a marker of healthy ageing</w:t>
        </w:r>
      </w:hyperlink>
      <w:r>
        <w:t xml:space="preserve">. International journal of cardiology. 2019 Jan 15;275:101–3.</w:t>
      </w:r>
      <w:r>
        <w:t xml:space="preserve"> </w:t>
      </w:r>
    </w:p>
    <w:bookmarkEnd w:id="159"/>
    <w:bookmarkEnd w:id="160"/>
    <w:bookmarkEnd w:id="161"/>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2024-03-04T14:32:36Z</dcterms:created>
  <dcterms:modified xsi:type="dcterms:W3CDTF">2024-03-04T14:32:36Z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