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Título</w:t>
      </w:r>
      <w:r>
        <w:t xml:space="preserve">: La Aptitud Física se Relaciona con la Grasa Corporal y la Respuesta Autonómica Cardíaca al Ejercicio Físico en Personas Mayores</w:t>
      </w:r>
    </w:p>
    <w:p>
      <w:pPr>
        <w:pStyle w:val="Textoindependiente"/>
      </w:pPr>
      <w:r>
        <w:rPr>
          <w:bCs/>
          <w:b/>
        </w:rPr>
        <w:t xml:space="preserve">Title</w:t>
      </w:r>
      <w:r>
        <w:t xml:space="preserve">: Physical Fitness is Related to Body Fat and Cardiac Autonomic Response to Exercise in Older People</w:t>
      </w:r>
    </w:p>
    <w:p>
      <w:pPr>
        <w:pStyle w:val="Textoindependiente"/>
      </w:pPr>
      <w:r>
        <w:rPr>
          <w:bCs/>
          <w:b/>
        </w:rPr>
        <w:t xml:space="preserve">Autores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autor-de-correspondencia"/>
    <w:p>
      <w:pPr>
        <w:pStyle w:val="Ttulo3"/>
      </w:pPr>
      <w:r>
        <w:t xml:space="preserve">*Autor de correspondencia</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(1)</w:t>
      </w:r>
      <w:r>
        <w:t xml:space="preserve">,</w:t>
      </w:r>
      <w:r>
        <w:t xml:space="preserve"> </w:t>
      </w:r>
      <w:r>
        <w:t xml:space="preserve">(2)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is defined as the ability to perform daily tasks with vigor and without undue fatigue. It is a crucial component of healthy aging. The term encompasses a multitude of aspects, including cardiovascular endurance, muscular strength, flexibility, and balance. Numerous studies have demonstrated the positive impact of physical fitness on overall health and longevity, highlighting its role in reducing the risk of chronic diseases, improving quality of life, and improving functional independence in older adults.</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 Excessive body fat accumulation, particularly visceral adiposity, has been associated with a higher risk of cardiovascular disease, metabolic disorders, and functional limitations in older individuals.</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 The measurement of heart rate variability (HRV), serves as a non-invasive indicator of ANS activity and cardiovascular health. A reduction in HRV has been linked to various adverse outcomes, including cardiovascular events, mortality, and impaired exercise tolerance.</w:t>
      </w:r>
    </w:p>
    <w:p>
      <w:pPr>
        <w:pStyle w:val="Textoindependiente"/>
      </w:pPr>
      <w:r>
        <w:t xml:space="preserve">However, despite extensive research into physical fitness, body composition, and cardiovascular health in older adults, gaps persist in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few have examined their collective influence on cardiovascular function during exercise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our objective is to gain valuable insights into the physiological mechanisms that underlie age-related modifications in cardiovascular function and identify potential interventions to enhance health outcomes in older adults.</w:t>
      </w:r>
    </w:p>
    <w:p>
      <w:pPr>
        <w:pStyle w:val="Textoindependiente"/>
      </w:pPr>
      <w:r>
        <w:t xml:space="preserve">We hypothesize that physical fitness will be inversely related to body fat percentage and positively associated with cardiac autonomic response to exercise in older individuals, based on existing literature and theoretical frameworks. In our opinion, it will be essential for this population to have an optimal cardiac autonomic response, characterized by balanced sympathetic and parasympathetic modulation.</w:t>
      </w:r>
    </w:p>
    <w:p>
      <w:pPr>
        <w:pStyle w:val="Textoindependiente"/>
      </w:pPr>
      <w:r>
        <w:t xml:space="preserve">The primary objective of this study is to investigate the relationship between physical fitness, body fat percentage, and cardiac autonomic response to exercise in older people. We aimed to assess how variations in physical fitness and body composition influence autonomic cardiovascular regulation during low to moderate-intensity exercise, with implications for cardiovascular health and functional capacity in aging.</w:t>
      </w:r>
    </w:p>
    <w:bookmarkEnd w:id="22"/>
    <w:bookmarkStart w:id="32" w:name="material-and-methods"/>
    <w:p>
      <w:pPr>
        <w:pStyle w:val="Ttulo1"/>
      </w:pPr>
      <w:r>
        <w:t xml:space="preserve">Material and methods</w:t>
      </w:r>
    </w:p>
    <w:bookmarkStart w:id="23" w:name="study-design"/>
    <w:p>
      <w:pPr>
        <w:pStyle w:val="Ttulo2"/>
      </w:pPr>
      <w:r>
        <w:t xml:space="preserve">Study design</w:t>
      </w:r>
    </w:p>
    <w:p>
      <w:pPr>
        <w:pStyle w:val="FirstParagraph"/>
      </w:pPr>
      <w:r>
        <w:t xml:space="preserve">A prospective, cross-sectional and correlational study was conducted on older people in one data collection session, to determine the associations between physical fitness, body composition and cardiac autonomic response to moderate-intensity exercise.</w:t>
      </w:r>
    </w:p>
    <w:bookmarkEnd w:id="23"/>
    <w:bookmarkStart w:id="24" w:name="participants"/>
    <w:p>
      <w:pPr>
        <w:pStyle w:val="Ttulo2"/>
      </w:pPr>
      <w:r>
        <w:t xml:space="preserve">Participants</w:t>
      </w:r>
    </w:p>
    <w:p>
      <w:pPr>
        <w:pStyle w:val="FirstParagraph"/>
      </w:pPr>
      <w:r>
        <w:t xml:space="preserve">XX older adults community-dwelling older adults were recruited and selected by non-probabilistic sampling. They were included if: 60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4"/>
    <w:bookmarkStart w:id="25" w:name="procedures"/>
    <w:p>
      <w:pPr>
        <w:pStyle w:val="Ttulo2"/>
      </w:pPr>
      <w:r>
        <w:t xml:space="preserve">Procedures</w:t>
      </w:r>
    </w:p>
    <w:p>
      <w:pPr>
        <w:pStyle w:val="FirstParagraph"/>
      </w:pPr>
      <w:r>
        <w:t xml:space="preserve">During recruitment,the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w:t>
      </w:r>
    </w:p>
    <w:p>
      <w:pPr>
        <w:pStyle w:val="Textoindependiente"/>
      </w:pPr>
      <w:r>
        <w:t xml:space="preserve">Cardiac autonomic response to physical exercise was measured as previously validated for this age group</w:t>
      </w:r>
      <w:r>
        <w:t xml:space="preserve"> </w:t>
      </w:r>
      <w:r>
        <w:t xml:space="preserve">(8)</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All the assessments were made between 09:00 and 11:00 hours of the morning. Measurements and tests were carried out by professional physiotherapists, ensuring the privacy and comfort of the subjects. The room temperature was set at 20°C and a white artificial lighting was used.</w:t>
      </w:r>
    </w:p>
    <w:bookmarkEnd w:id="25"/>
    <w:bookmarkStart w:id="30" w:name="instruments"/>
    <w:p>
      <w:pPr>
        <w:pStyle w:val="Ttulo2"/>
      </w:pPr>
      <w:r>
        <w:t xml:space="preserve">Instruments</w:t>
      </w:r>
    </w:p>
    <w:bookmarkStart w:id="26"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(9)</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6"/>
    <w:bookmarkStart w:id="27"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(10)</w:t>
      </w:r>
      <w:r>
        <w:t xml:space="preserve">.</w:t>
      </w:r>
    </w:p>
    <w:bookmarkEnd w:id="27"/>
    <w:bookmarkStart w:id="28" w:name="cardiac-autonomic-activity"/>
    <w:p>
      <w:pPr>
        <w:pStyle w:val="Ttulo3"/>
      </w:pPr>
      <w:r>
        <w:t xml:space="preserve">Cardiac Autonomic Activity</w:t>
      </w:r>
    </w:p>
    <w:p>
      <w:pPr>
        <w:pStyle w:val="FirstParagraph"/>
      </w:pPr>
      <w:r>
        <w:t xml:space="preserve">Cardiac autonomic activity was assessed using RR interval recordings obtained through the Polar Team2 system (Polar®) application. Artifacts and ectopic heartbeats, which did not exceed 3% of the recorded data, were excluded [32]. Time-domain parameters considered for analysis included the square root of the mean squared differences of successive RR intervals (RMSSD, expressed in ms) as an index of parasympathetic activity [33], and the standard deviation of RR intervals (SDNN), reflecting total variability encompassing both sympathetic and parasympathetic contributions to cardiac autonomic function [34,35].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 [34,39].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 [34,39]. The SI serves as an indicator representing the ANS control system’s workload [40], normalized by the square root of Baevsky’s SI [41]. All analyses were conducted using Kubios HRV® software (Kuopio, Finland).</w:t>
      </w:r>
    </w:p>
    <w:bookmarkEnd w:id="28"/>
    <w:bookmarkStart w:id="29"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(8,11)</w:t>
      </w:r>
      <w:r>
        <w:t xml:space="preserve">.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29"/>
    <w:bookmarkEnd w:id="30"/>
    <w:bookmarkStart w:id="31" w:name="statistical-analysis"/>
    <w:p>
      <w:pPr>
        <w:pStyle w:val="Ttulo2"/>
      </w:pPr>
      <w:r>
        <w:t xml:space="preserve">Statistical analysis</w:t>
      </w:r>
    </w:p>
    <w:p>
      <w:pPr>
        <w:pStyle w:val="FirstParagraph"/>
      </w:pPr>
      <w:r>
        <w:t xml:space="preserve">[…], using the</w:t>
      </w:r>
      <w:r>
        <w:t xml:space="preserve"> </w:t>
      </w:r>
      <w:r>
        <w:rPr>
          <w:iCs/>
          <w:i/>
        </w:rPr>
        <w:t xml:space="preserve">R</w:t>
      </w:r>
      <w:r>
        <w:t xml:space="preserve"> </w:t>
      </w:r>
      <w:r>
        <w:t xml:space="preserve">programming language for statistical computing,</w:t>
      </w:r>
      <w:r>
        <w:t xml:space="preserve"> </w:t>
      </w:r>
      <w:r>
        <w:t xml:space="preserve">(12)</w:t>
      </w:r>
      <w:r>
        <w:t xml:space="preserve">.</w:t>
      </w:r>
    </w:p>
    <w:bookmarkEnd w:id="31"/>
    <w:bookmarkEnd w:id="32"/>
    <w:bookmarkStart w:id="37" w:name="results"/>
    <w:p>
      <w:pPr>
        <w:pStyle w:val="Ttulo1"/>
      </w:pPr>
      <w:r>
        <w:t xml:space="preserve">Results</w:t>
      </w:r>
    </w:p>
    <w:bookmarkStart w:id="33"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bookmarkEnd w:id="33"/>
    <w:bookmarkStart w:id="34"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intervention. However, body fat percentage was positively correlated with time domain HRV during exercise, more specifically RMSSD (r = 0.253, p = 0.029) and SDNN (r = 0.269, p = 0.020).</w:t>
      </w:r>
    </w:p>
    <w:bookmarkEnd w:id="34"/>
    <w:bookmarkStart w:id="35" w:name="body-composition-and-physical-fitness"/>
    <w:p>
      <w:pPr>
        <w:pStyle w:val="Ttulo2"/>
      </w:pPr>
      <w:r>
        <w:t xml:space="preserve">Body composition and physical fitness</w:t>
      </w:r>
    </w:p>
    <w:p>
      <w:pPr>
        <w:pStyle w:val="FirstParagraph"/>
      </w:pPr>
      <w:r>
        <w:t xml:space="preserve">In addition, a greater body fat percentage was negatively correlated with physical fitness (r = -0.273, p = 0.015).</w:t>
      </w:r>
    </w:p>
    <w:bookmarkEnd w:id="35"/>
    <w:bookmarkStart w:id="36" w:name="X0dafefae5bc1478505e41d030dd2591a85ae1d3"/>
    <w:p>
      <w:pPr>
        <w:pStyle w:val="Ttulo2"/>
      </w:pPr>
      <w:r>
        <w:t xml:space="preserve">Physical fitness and cardiac autonomic response to exercise</w:t>
      </w:r>
    </w:p>
    <w:p>
      <w:pPr>
        <w:pStyle w:val="FirstParagraph"/>
      </w:pPr>
      <w:r>
        <w:t xml:space="preserve">Physical fitness was positively correlated with a greater simpathetic activity during exercise, which was reflected by SNS index (r = 0.313, p = 0.006), mean HR (r = 0.355, p = 0.002) and its inverse counterpart mean R-R (r = -0.35, p = 0.002).</w:t>
      </w:r>
    </w:p>
    <w:p>
      <w:pPr>
        <w:pStyle w:val="Textoindependiente"/>
      </w:pPr>
      <w:r>
        <w:t xml:space="preserve">However, this appears to be accompanied by an proportional decrease in parasympathetic drive during exercise with increasing levels of physical fitness, which was denoted by the inverse correlation of the later with PNS index during (r = -0.375, p = 0.001) and after exercise (r = -0.229, p = 0.049), in addition to RMSSD during exercise (r = -0.294, p = 0.010)</w:t>
      </w:r>
    </w:p>
    <w:bookmarkEnd w:id="36"/>
    <w:bookmarkEnd w:id="37"/>
    <w:bookmarkStart w:id="38"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8"/>
    <w:bookmarkStart w:id="39" w:name="conclusion"/>
    <w:p>
      <w:pPr>
        <w:pStyle w:val="Ttulo1"/>
      </w:pPr>
      <w:r>
        <w:t xml:space="preserve">Conclusion</w:t>
      </w:r>
    </w:p>
    <w:p>
      <w:pPr>
        <w:pStyle w:val="FirstParagraph"/>
      </w:pPr>
      <w:r>
        <w:t xml:space="preserve">[…].</w:t>
      </w:r>
    </w:p>
    <w:bookmarkEnd w:id="39"/>
    <w:bookmarkStart w:id="40"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0"/>
    <w:bookmarkStart w:id="41" w:name="funding"/>
    <w:p>
      <w:pPr>
        <w:pStyle w:val="Ttulo1"/>
      </w:pPr>
      <w:r>
        <w:t xml:space="preserve">Funding</w:t>
      </w:r>
    </w:p>
    <w:p>
      <w:pPr>
        <w:pStyle w:val="FirstParagraph"/>
      </w:pPr>
      <w:r>
        <w:t xml:space="preserve">[…].</w:t>
      </w:r>
    </w:p>
    <w:bookmarkEnd w:id="41"/>
    <w:bookmarkStart w:id="42" w:name="institutional-review-board-statement"/>
    <w:p>
      <w:pPr>
        <w:pStyle w:val="Ttulo1"/>
      </w:pPr>
      <w:r>
        <w:t xml:space="preserve">Institutional Review Board Statement</w:t>
      </w:r>
    </w:p>
    <w:p>
      <w:pPr>
        <w:pStyle w:val="FirstParagraph"/>
      </w:pPr>
      <w:r>
        <w:t xml:space="preserve">[…].</w:t>
      </w:r>
    </w:p>
    <w:bookmarkEnd w:id="42"/>
    <w:bookmarkStart w:id="43" w:name="informed-consent-statement"/>
    <w:p>
      <w:pPr>
        <w:pStyle w:val="Ttulo1"/>
      </w:pPr>
      <w:r>
        <w:t xml:space="preserve">Informed Consent Statement</w:t>
      </w:r>
    </w:p>
    <w:p>
      <w:pPr>
        <w:pStyle w:val="FirstParagraph"/>
      </w:pPr>
      <w:r>
        <w:t xml:space="preserve">[…]</w:t>
      </w:r>
    </w:p>
    <w:bookmarkEnd w:id="43"/>
    <w:bookmarkStart w:id="44"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4"/>
    <w:bookmarkStart w:id="45"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5"/>
    <w:bookmarkStart w:id="71" w:name="referencias"/>
    <w:p>
      <w:pPr>
        <w:pStyle w:val="Ttulo1"/>
      </w:pPr>
      <w:r>
        <w:t xml:space="preserve">Referencias</w:t>
      </w:r>
    </w:p>
    <w:bookmarkStart w:id="70" w:name="refs"/>
    <w:bookmarkStart w:id="47" w:name="ref-pmid:30185958"/>
    <w:p>
      <w:pPr>
        <w:pStyle w:val="Bibliografa"/>
      </w:pPr>
      <w:r>
        <w:t xml:space="preserve">1.</w:t>
      </w:r>
      <w:r>
        <w:t xml:space="preserve"> </w:t>
      </w:r>
      <w:r>
        <w:t xml:space="preserve">	</w:t>
      </w:r>
      <w:r>
        <w:t xml:space="preserve">Partridge L, Deelen J, Slagboom PE.</w:t>
      </w:r>
      <w:r>
        <w:t xml:space="preserve"> </w:t>
      </w:r>
      <w:hyperlink r:id="rId46">
        <w:r>
          <w:rPr>
            <w:rStyle w:val="Hipervnculo"/>
          </w:rPr>
          <w:t xml:space="preserve">Facing up to the global challenges of ageing</w:t>
        </w:r>
      </w:hyperlink>
      <w:r>
        <w:t xml:space="preserve">. Nature. 2018 Sep;561(7721):45–56.</w:t>
      </w:r>
      <w:r>
        <w:t xml:space="preserve"> </w:t>
      </w:r>
    </w:p>
    <w:bookmarkEnd w:id="47"/>
    <w:bookmarkStart w:id="49" w:name="ref-pmid:31154942"/>
    <w:p>
      <w:pPr>
        <w:pStyle w:val="Bibliografa"/>
      </w:pPr>
      <w:r>
        <w:t xml:space="preserve">2.</w:t>
      </w:r>
      <w:r>
        <w:t xml:space="preserve"> </w:t>
      </w:r>
      <w:r>
        <w:t xml:space="preserve">	</w:t>
      </w:r>
      <w:r>
        <w:t xml:space="preserve">Feng Z.</w:t>
      </w:r>
      <w:r>
        <w:t xml:space="preserve"> </w:t>
      </w:r>
      <w:hyperlink r:id="rId48">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49"/>
    <w:bookmarkStart w:id="51" w:name="ref-pmid:36948782"/>
    <w:p>
      <w:pPr>
        <w:pStyle w:val="Bibliografa"/>
      </w:pPr>
      <w:r>
        <w:t xml:space="preserve">3.</w:t>
      </w:r>
      <w:r>
        <w:t xml:space="preserve"> </w:t>
      </w:r>
      <w:r>
        <w:t xml:space="preserve">	</w:t>
      </w:r>
      <w:r>
        <w:t xml:space="preserve">Malandrino N, Bhat SZ, Alfaraidhy M, Grewal RS, Kalyani RR.</w:t>
      </w:r>
      <w:r>
        <w:t xml:space="preserve"> </w:t>
      </w:r>
      <w:hyperlink r:id="rId50">
        <w:r>
          <w:rPr>
            <w:rStyle w:val="Hipervnculo"/>
          </w:rPr>
          <w:t xml:space="preserve">Obesity and aging</w:t>
        </w:r>
      </w:hyperlink>
      <w:r>
        <w:t xml:space="preserve">. Endocrinology and metabolism clinics of North America. 2023 Jun;52(2):317–39.</w:t>
      </w:r>
      <w:r>
        <w:t xml:space="preserve"> </w:t>
      </w:r>
    </w:p>
    <w:bookmarkEnd w:id="51"/>
    <w:bookmarkStart w:id="53" w:name="ref-pmid:36443946"/>
    <w:p>
      <w:pPr>
        <w:pStyle w:val="Bibliografa"/>
      </w:pPr>
      <w:r>
        <w:t xml:space="preserve">4.</w:t>
      </w:r>
      <w:r>
        <w:t xml:space="preserve"> </w:t>
      </w:r>
      <w:r>
        <w:t xml:space="preserve">	</w:t>
      </w:r>
      <w:r>
        <w:t xml:space="preserve">Liu C, Wong PY, Chung YL, Chow SK-H, Cheung WH, Law SW, et al.</w:t>
      </w:r>
      <w:r>
        <w:t xml:space="preserve"> </w:t>
      </w:r>
      <w:hyperlink r:id="rId52">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53"/>
    <w:bookmarkStart w:id="55" w:name="ref-pmid:30065258"/>
    <w:p>
      <w:pPr>
        <w:pStyle w:val="Bibliografa"/>
      </w:pPr>
      <w:r>
        <w:t xml:space="preserve">5.</w:t>
      </w:r>
      <w:r>
        <w:t xml:space="preserve"> </w:t>
      </w:r>
      <w:r>
        <w:t xml:space="preserve">	</w:t>
      </w:r>
      <w:r>
        <w:t xml:space="preserve">Ferrucci L, Fabbri E.</w:t>
      </w:r>
      <w:r>
        <w:t xml:space="preserve"> </w:t>
      </w:r>
      <w:hyperlink r:id="rId54">
        <w:r>
          <w:rPr>
            <w:rStyle w:val="Hipervnculo"/>
          </w:rPr>
          <w:t xml:space="preserve">Inflammageing: Chronic inflammation in ageing, cardiovascular disease, and frailty</w:t>
        </w:r>
      </w:hyperlink>
      <w:r>
        <w:t xml:space="preserve">. Nature reviews Cardiology. 2018 Sep;15(9):505–22.</w:t>
      </w:r>
      <w:r>
        <w:t xml:space="preserve"> </w:t>
      </w:r>
    </w:p>
    <w:bookmarkEnd w:id="55"/>
    <w:bookmarkStart w:id="57" w:name="ref-pmid:36918543"/>
    <w:p>
      <w:pPr>
        <w:pStyle w:val="Bibliografa"/>
      </w:pPr>
      <w:r>
        <w:t xml:space="preserve">6.</w:t>
      </w:r>
      <w:r>
        <w:t xml:space="preserve"> </w:t>
      </w:r>
      <w:r>
        <w:t xml:space="preserve">	</w:t>
      </w:r>
      <w:r>
        <w:t xml:space="preserve">Xie S, Xu S-C, Deng W, Tang Q.</w:t>
      </w:r>
      <w:r>
        <w:t xml:space="preserve"> </w:t>
      </w:r>
      <w:hyperlink r:id="rId56">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57"/>
    <w:bookmarkStart w:id="59"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58">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59"/>
    <w:bookmarkStart w:id="61" w:name="ref-ijerph20054456"/>
    <w:p>
      <w:pPr>
        <w:pStyle w:val="Bibliografa"/>
      </w:pPr>
      <w:r>
        <w:t xml:space="preserve">8.</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60">
        <w:r>
          <w:rPr>
            <w:rStyle w:val="Hipervnculo"/>
          </w:rPr>
          <w:t xml:space="preserve">https://www.mdpi.com/1660-4601/20/5/4456</w:t>
        </w:r>
      </w:hyperlink>
    </w:p>
    <w:bookmarkEnd w:id="61"/>
    <w:bookmarkStart w:id="63" w:name="ref-Guralnik1994"/>
    <w:p>
      <w:pPr>
        <w:pStyle w:val="Bibliografa"/>
      </w:pPr>
      <w:r>
        <w:t xml:space="preserve">9.</w:t>
      </w:r>
      <w:r>
        <w:t xml:space="preserve"> </w:t>
      </w:r>
      <w:r>
        <w:t xml:space="preserve">	</w:t>
      </w:r>
      <w:r>
        <w:t xml:space="preserve">Guralnik JM, Simonsick EM, Ferrucci L, Glynn RJ, Berkman LF, Blazer DG, et al.</w:t>
      </w:r>
      <w:r>
        <w:t xml:space="preserve"> </w:t>
      </w:r>
      <w:hyperlink r:id="rId62">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63"/>
    <w:bookmarkStart w:id="65" w:name="ref-Mialich2011"/>
    <w:p>
      <w:pPr>
        <w:pStyle w:val="Bibliografa"/>
      </w:pPr>
      <w:r>
        <w:t xml:space="preserve">10.</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64">
        <w:r>
          <w:rPr>
            <w:rStyle w:val="Hipervnculo"/>
          </w:rPr>
          <w:t xml:space="preserve">https://api.semanticscholar.org/CorpusID:220870368</w:t>
        </w:r>
      </w:hyperlink>
    </w:p>
    <w:bookmarkEnd w:id="65"/>
    <w:bookmarkStart w:id="67" w:name="ref-Rikli1999"/>
    <w:p>
      <w:pPr>
        <w:pStyle w:val="Bibliografa"/>
      </w:pPr>
      <w:r>
        <w:t xml:space="preserve">11.</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66">
        <w:r>
          <w:rPr>
            <w:rStyle w:val="Hipervnculo"/>
          </w:rPr>
          <w:t xml:space="preserve">https://journals.humankinetics.com/view/journals/japa/7/2/article-p162.xml</w:t>
        </w:r>
      </w:hyperlink>
    </w:p>
    <w:bookmarkEnd w:id="67"/>
    <w:bookmarkStart w:id="69" w:name="ref-rlanguage"/>
    <w:p>
      <w:pPr>
        <w:pStyle w:val="Bibliografa"/>
      </w:pPr>
      <w:r>
        <w:t xml:space="preserve">12.</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68">
        <w:r>
          <w:rPr>
            <w:rStyle w:val="Hipervnculo"/>
          </w:rPr>
          <w:t xml:space="preserve">https://www.R-project.org/</w:t>
        </w:r>
      </w:hyperlink>
    </w:p>
    <w:bookmarkEnd w:id="69"/>
    <w:bookmarkEnd w:id="70"/>
    <w:bookmarkEnd w:id="71"/>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api.semanticscholar.org/CorpusID:220870368" TargetMode="External" /><Relationship Type="http://schemas.openxmlformats.org/officeDocument/2006/relationships/hyperlink" Id="rId50" Target="https://doi.org/10.1016/j.ecl.2022.10.001" TargetMode="External" /><Relationship Type="http://schemas.openxmlformats.org/officeDocument/2006/relationships/hyperlink" Id="rId56" Target="https://doi.org/10.1038/s41392-023-01378-8" TargetMode="External" /><Relationship Type="http://schemas.openxmlformats.org/officeDocument/2006/relationships/hyperlink" Id="rId54" Target="https://doi.org/10.1038/s41569-018-0064-2" TargetMode="External" /><Relationship Type="http://schemas.openxmlformats.org/officeDocument/2006/relationships/hyperlink" Id="rId46" Target="https://doi.org/10.1038/s41586-018-0457-8" TargetMode="External" /><Relationship Type="http://schemas.openxmlformats.org/officeDocument/2006/relationships/hyperlink" Id="rId48" Target="https://doi.org/10.1080/08959420.2019.1626205" TargetMode="External" /><Relationship Type="http://schemas.openxmlformats.org/officeDocument/2006/relationships/hyperlink" Id="rId62" Target="https://doi.org/10.1093/geronj/49.2.M85" TargetMode="External" /><Relationship Type="http://schemas.openxmlformats.org/officeDocument/2006/relationships/hyperlink" Id="rId58" Target="https://doi.org/10.1093/nutrit/nuaa011" TargetMode="External" /><Relationship Type="http://schemas.openxmlformats.org/officeDocument/2006/relationships/hyperlink" Id="rId52" Target="https://doi.org/10.1111/obr.13534" TargetMode="External" /><Relationship Type="http://schemas.openxmlformats.org/officeDocument/2006/relationships/hyperlink" Id="rId66" Target="https://journals.humankinetics.com/view/journals/japa/7/2/article-p162.xml" TargetMode="External" /><Relationship Type="http://schemas.openxmlformats.org/officeDocument/2006/relationships/hyperlink" Id="rId68" Target="https://www.R-project.org/" TargetMode="External" /><Relationship Type="http://schemas.openxmlformats.org/officeDocument/2006/relationships/hyperlink" Id="rId60" Target="https://www.mdpi.com/1660-4601/20/5/4456" TargetMode="External" /></Relationships>
</file>

<file path=word/_rels/footnotes.xml.rels><?xml version="1.0" encoding="UTF-8"?><Relationships xmlns="http://schemas.openxmlformats.org/package/2006/relationships"><Relationship Type="http://schemas.openxmlformats.org/officeDocument/2006/relationships/hyperlink" Id="rId64" Target="https://api.semanticscholar.org/CorpusID:220870368" TargetMode="External" /><Relationship Type="http://schemas.openxmlformats.org/officeDocument/2006/relationships/hyperlink" Id="rId50" Target="https://doi.org/10.1016/j.ecl.2022.10.001" TargetMode="External" /><Relationship Type="http://schemas.openxmlformats.org/officeDocument/2006/relationships/hyperlink" Id="rId56" Target="https://doi.org/10.1038/s41392-023-01378-8" TargetMode="External" /><Relationship Type="http://schemas.openxmlformats.org/officeDocument/2006/relationships/hyperlink" Id="rId54" Target="https://doi.org/10.1038/s41569-018-0064-2" TargetMode="External" /><Relationship Type="http://schemas.openxmlformats.org/officeDocument/2006/relationships/hyperlink" Id="rId46" Target="https://doi.org/10.1038/s41586-018-0457-8" TargetMode="External" /><Relationship Type="http://schemas.openxmlformats.org/officeDocument/2006/relationships/hyperlink" Id="rId48" Target="https://doi.org/10.1080/08959420.2019.1626205" TargetMode="External" /><Relationship Type="http://schemas.openxmlformats.org/officeDocument/2006/relationships/hyperlink" Id="rId62" Target="https://doi.org/10.1093/geronj/49.2.M85" TargetMode="External" /><Relationship Type="http://schemas.openxmlformats.org/officeDocument/2006/relationships/hyperlink" Id="rId58" Target="https://doi.org/10.1093/nutrit/nuaa011" TargetMode="External" /><Relationship Type="http://schemas.openxmlformats.org/officeDocument/2006/relationships/hyperlink" Id="rId52" Target="https://doi.org/10.1111/obr.13534" TargetMode="External" /><Relationship Type="http://schemas.openxmlformats.org/officeDocument/2006/relationships/hyperlink" Id="rId66" Target="https://journals.humankinetics.com/view/journals/japa/7/2/article-p162.xml" TargetMode="External" /><Relationship Type="http://schemas.openxmlformats.org/officeDocument/2006/relationships/hyperlink" Id="rId68" Target="https://www.R-project.org/" TargetMode="External" /><Relationship Type="http://schemas.openxmlformats.org/officeDocument/2006/relationships/hyperlink" Id="rId60" Target="https://www.mdpi.com/1660-4601/20/5/4456"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2024-02-17T01:41:21Z</dcterms:created>
  <dcterms:modified xsi:type="dcterms:W3CDTF">2024-02-17T01:41:21Z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