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23A0" w:rsidRDefault="00000000">
      <w:pPr>
        <w:pStyle w:val="FirstParagraph"/>
      </w:pPr>
      <w:r>
        <w:rPr>
          <w:b/>
          <w:bCs/>
        </w:rPr>
        <w:t>Title</w:t>
      </w:r>
      <w:r>
        <w:t>: Enhancing Cardiovascular Monitoring: A Non-Linear Approach to RR Interval Dynamics in Exercise and Recovery.</w:t>
      </w:r>
    </w:p>
    <w:p w:rsidR="007C23A0" w:rsidRPr="009A1E56" w:rsidRDefault="00000000">
      <w:pPr>
        <w:pStyle w:val="Textoindependiente"/>
        <w:rPr>
          <w:lang w:val="es-CL"/>
        </w:rPr>
      </w:pPr>
      <w:r w:rsidRPr="009A1E56">
        <w:rPr>
          <w:b/>
          <w:bCs/>
          <w:lang w:val="es-CL"/>
        </w:rPr>
        <w:t>Authors</w:t>
      </w:r>
      <w:r w:rsidRPr="009A1E56">
        <w:rPr>
          <w:lang w:val="es-CL"/>
        </w:rPr>
        <w:t>: : Matías Castillo-Aguilar</w:t>
      </w:r>
      <w:r w:rsidRPr="009A1E56">
        <w:rPr>
          <w:vertAlign w:val="superscript"/>
          <w:lang w:val="es-CL"/>
        </w:rPr>
        <w:t>1,2</w:t>
      </w:r>
      <w:r w:rsidRPr="009A1E56">
        <w:rPr>
          <w:lang w:val="es-CL"/>
        </w:rPr>
        <w:t>, Diego Mabe-Castro</w:t>
      </w:r>
      <w:r w:rsidRPr="009A1E56">
        <w:rPr>
          <w:vertAlign w:val="superscript"/>
          <w:lang w:val="es-CL"/>
        </w:rPr>
        <w:t>1,2</w:t>
      </w:r>
      <w:r w:rsidRPr="009A1E56">
        <w:rPr>
          <w:lang w:val="es-CL"/>
        </w:rPr>
        <w:t>, David Medina</w:t>
      </w:r>
      <w:r w:rsidRPr="009A1E56">
        <w:rPr>
          <w:vertAlign w:val="superscript"/>
          <w:lang w:val="es-CL"/>
        </w:rPr>
        <w:t>1</w:t>
      </w:r>
      <w:r w:rsidRPr="009A1E56">
        <w:rPr>
          <w:lang w:val="es-CL"/>
        </w:rPr>
        <w:t>, Cristian Núñez-Espinosa</w:t>
      </w:r>
      <w:r w:rsidRPr="009A1E56">
        <w:rPr>
          <w:vertAlign w:val="superscript"/>
          <w:lang w:val="es-CL"/>
        </w:rPr>
        <w:t>1,3</w:t>
      </w:r>
      <w:r w:rsidRPr="009A1E56">
        <w:rPr>
          <w:lang w:val="es-CL"/>
        </w:rPr>
        <w:t>*.</w:t>
      </w:r>
    </w:p>
    <w:p w:rsidR="007C23A0" w:rsidRDefault="00000000">
      <w:pPr>
        <w:pStyle w:val="Afiliation"/>
      </w:pPr>
      <w:r>
        <w:rPr>
          <w:vertAlign w:val="superscript"/>
        </w:rPr>
        <w:t>1</w:t>
      </w:r>
      <w:r>
        <w:t> Centro Asistencial Docente e Investigación (CADI-UMAG), University of Magallanes, Punta Arenas, Chile.</w:t>
      </w:r>
    </w:p>
    <w:p w:rsidR="007C23A0" w:rsidRPr="009A1E56" w:rsidRDefault="00000000">
      <w:pPr>
        <w:pStyle w:val="Afiliation"/>
        <w:rPr>
          <w:lang w:val="en-US"/>
        </w:rPr>
      </w:pPr>
      <w:r w:rsidRPr="009A1E56">
        <w:rPr>
          <w:vertAlign w:val="superscript"/>
          <w:lang w:val="en-US"/>
        </w:rPr>
        <w:t>2</w:t>
      </w:r>
      <w:r w:rsidRPr="009A1E56">
        <w:rPr>
          <w:lang w:val="en-US"/>
        </w:rPr>
        <w:t> Kinesiology Department, University of Magallanes, Punta Arenas, Chile.</w:t>
      </w:r>
    </w:p>
    <w:p w:rsidR="007C23A0" w:rsidRPr="009A1E56" w:rsidRDefault="00000000">
      <w:pPr>
        <w:pStyle w:val="Afiliation"/>
        <w:rPr>
          <w:lang w:val="en-US"/>
        </w:rPr>
      </w:pPr>
      <w:r w:rsidRPr="009A1E56">
        <w:rPr>
          <w:vertAlign w:val="superscript"/>
          <w:lang w:val="en-US"/>
        </w:rPr>
        <w:t>3</w:t>
      </w:r>
      <w:r w:rsidRPr="009A1E56">
        <w:rPr>
          <w:lang w:val="en-US"/>
        </w:rPr>
        <w:t> School of Medicine, University of Magallanes, Punta Arenas, Chile.</w:t>
      </w:r>
    </w:p>
    <w:p w:rsidR="007C23A0" w:rsidRDefault="00000000">
      <w:pPr>
        <w:pStyle w:val="Ttulo3"/>
      </w:pPr>
      <w:bookmarkStart w:id="0" w:name="correspondence"/>
      <w:r>
        <w:t>*Correspondence:</w:t>
      </w:r>
    </w:p>
    <w:p w:rsidR="007C23A0" w:rsidRDefault="00000000">
      <w:pPr>
        <w:pStyle w:val="FirstParagraph"/>
      </w:pPr>
      <w:r>
        <w:t xml:space="preserve">Cristian Núñez-Espinosa, School of Medicine, University of Magallanes, Punta Arenas, Chile. </w:t>
      </w:r>
      <w:r w:rsidRPr="009A1E56">
        <w:rPr>
          <w:lang w:val="es-CL"/>
        </w:rPr>
        <w:t xml:space="preserve">Centro Asistencial de Docencia e Investigación CADI-UMAG, Chile. e-mail: </w:t>
      </w:r>
      <w:hyperlink r:id="rId5">
        <w:r w:rsidRPr="009A1E56">
          <w:rPr>
            <w:rStyle w:val="Hipervnculo"/>
            <w:lang w:val="es-CL"/>
          </w:rPr>
          <w:t>cristian.nunez@umag.cl</w:t>
        </w:r>
      </w:hyperlink>
      <w:r w:rsidRPr="009A1E56">
        <w:rPr>
          <w:lang w:val="es-CL"/>
        </w:rPr>
        <w:t xml:space="preserve">. </w:t>
      </w:r>
      <w:r>
        <w:t>Address: Avenida Bulnes 01855, Box 113-D. Phone: +56 61 2201411.</w:t>
      </w:r>
    </w:p>
    <w:p w:rsidR="007C23A0" w:rsidRDefault="00000000">
      <w:r>
        <w:br w:type="page"/>
      </w:r>
    </w:p>
    <w:p w:rsidR="007C23A0" w:rsidRDefault="00000000">
      <w:pPr>
        <w:pStyle w:val="Ttulo2"/>
      </w:pPr>
      <w:bookmarkStart w:id="1" w:name="abstract"/>
      <w:bookmarkEnd w:id="0"/>
      <w:r>
        <w:lastRenderedPageBreak/>
        <w:t>Abstract</w:t>
      </w:r>
    </w:p>
    <w:p w:rsidR="007C23A0" w:rsidRDefault="00000000">
      <w:pPr>
        <w:pStyle w:val="FirstParagraph"/>
      </w:pPr>
      <w:r>
        <w:rPr>
          <w:b/>
          <w:bCs/>
        </w:rPr>
        <w:t>Objective</w:t>
      </w:r>
      <w:r>
        <w:t xml:space="preserve">: This study aims to develop and validate a novel non-linear model for characterizing RR interval (RRi) dynamics during exercise and recovery, enhancing the understanding of the cardiac autonomic function and its implications for both clinical practice and athletic training. </w:t>
      </w:r>
      <w:r>
        <w:rPr>
          <w:b/>
          <w:bCs/>
        </w:rPr>
        <w:t>Methods</w:t>
      </w:r>
      <w:r>
        <w:t xml:space="preserve">: A cohort of 272 participants underwent a validated exercise protocol, during which continuous heart rate data, including RR intervals, were collected. A non-linear logistic approach was employed to model the fluctuations in RRi. Sobol sensitivity analysis was conducted to assess the influence of model parameters on RR dynamics. </w:t>
      </w:r>
      <w:r>
        <w:rPr>
          <w:b/>
          <w:bCs/>
        </w:rPr>
        <w:t>Results</w:t>
      </w:r>
      <w:r>
        <w:t xml:space="preserve">: The proposed model successfully captured the complex fluctuations in RRi, demonstrating significant sensitivity to baseline RRi and recovery proportions, which were identified as key drivers of model output variance. Validation against physiological benchmarks confirmed the model’s robustness and accuracy in real-time assessments, indicating its effectiveness in reflecting autonomic recovery post-exercise. </w:t>
      </w:r>
      <w:r>
        <w:rPr>
          <w:b/>
          <w:bCs/>
        </w:rPr>
        <w:t>Conclusion</w:t>
      </w:r>
      <w:r>
        <w:t>: This study presents a novel non-linear model of RR interval dynamics that provides valuable insights into cardiac autonomic responses during exercise and recovery. By enhancing the precision of cardiovascular assessments, the model holds significant promise for supporting personalized health interventions and optimizing performance in both clinical and athletic settings.</w:t>
      </w:r>
    </w:p>
    <w:p w:rsidR="007C23A0" w:rsidRDefault="00000000">
      <w:pPr>
        <w:pStyle w:val="Textoindependiente"/>
      </w:pPr>
      <w:r>
        <w:rPr>
          <w:b/>
          <w:bCs/>
        </w:rPr>
        <w:t>Keywords</w:t>
      </w:r>
      <w:r>
        <w:t>: Heart Rate Variability, Exercise Physiology, Autonomic Nervous System, Cardiovascular System, Models, Theoretical, Logistic Models.</w:t>
      </w:r>
    </w:p>
    <w:p w:rsidR="007C23A0" w:rsidRDefault="00000000">
      <w:r>
        <w:br w:type="page"/>
      </w:r>
    </w:p>
    <w:p w:rsidR="007C23A0" w:rsidRDefault="00000000">
      <w:pPr>
        <w:pStyle w:val="Ttulo1"/>
      </w:pPr>
      <w:bookmarkStart w:id="2" w:name="introduction"/>
      <w:bookmarkEnd w:id="1"/>
      <w:r>
        <w:lastRenderedPageBreak/>
        <w:t>Introduction</w:t>
      </w:r>
    </w:p>
    <w:p w:rsidR="007C23A0" w:rsidRDefault="00000000">
      <w:pPr>
        <w:pStyle w:val="FirstParagraph"/>
      </w:pPr>
      <w:r>
        <w:t>Current research has extensively examined the mechanisms underlying cardiac autonomic dynamics in response to exercise and their links to health-related quality of life and cardiovascular disease risk. Understanding these autonomic processes offers valuable insights into optimizing exercise-induced adaptations, with implications for younger and older individuals.</w:t>
      </w:r>
    </w:p>
    <w:p w:rsidR="007C23A0" w:rsidRDefault="00000000">
      <w:pPr>
        <w:pStyle w:val="Textoindependiente"/>
      </w:pPr>
      <w:r>
        <w:t>In this context, the study of R-R intervals (RRi) in response to exercise has emerged as an important research area, given its relevance to cardiovascular health, athletic performance, and physiological adaptation (Kristal-Boneh et al., 1995; Thayer et al., 2010; Dong, 2016; Lundstrom et al., 2023). Unlike heart rate variability (HRV), which aggregates autonomic responses over time, RRi analysis provides a more granular, direct view of cardiac electrical activity during or immediately following exercise, particularly in older adults (Mongin et al., 2022; Castillo-Aguilar et al., 2023; Mabe-Castro et al., 2024). Analyzing the temporal dynamics of RRi (i.e., the time between successive heartbeats) provides invaluable insights into how the cardiovascular system behaves to and recovers from physical stressors such as exercise-induced fatigue and competition-related strain (Castillo-Aguilar et al., 2021; Eser et al., 2022a).</w:t>
      </w:r>
    </w:p>
    <w:p w:rsidR="007C23A0" w:rsidRDefault="00000000">
      <w:pPr>
        <w:pStyle w:val="Textoindependiente"/>
      </w:pPr>
      <w:r>
        <w:t>Understanding these fluctuations is particularly relevant during dynamic exercise periods, where the autonomic nervous system (ANS) shifts between parasympathetic withdrawal and sympathetic activation (Boettger et al., 2010). Modeling RRi dynamics, rather than relying on broader HRV metrics, allows for a direct assessment of physiological markers of autonomic adaptation to stress (Hautala et al., 2003). This approach is valuable for identifying recovery patterns and understanding cardiovascular reactivity across individuals with various fitness levels (Mongin et al., 2022).</w:t>
      </w:r>
    </w:p>
    <w:p w:rsidR="007C23A0" w:rsidRDefault="00000000">
      <w:pPr>
        <w:pStyle w:val="Textoindependiente"/>
      </w:pPr>
      <w:r>
        <w:t xml:space="preserve">Despite its importance, modeling RRi behavior during and after exercise in a continuous measurement poses significant challenges. Traditional approaches, such as linear regression and time-series analysis, often fail to capture the intricate transitions in RRi, especially under intense exertion and recovery phases. This difficulty arises due to the inherently non-linear and non-stationary nature of HRV (Gronwald et al., 2019a). While linear models </w:t>
      </w:r>
      <w:r>
        <w:lastRenderedPageBreak/>
        <w:t>oversimplify these dynamics, advanced non-linear approaches have been developed to address the limitations of linear analysis. However, many focus on HRV summaries rather than direct RRi modeling (Gronwald et al., 2019b).</w:t>
      </w:r>
    </w:p>
    <w:p w:rsidR="007C23A0" w:rsidRDefault="00000000">
      <w:pPr>
        <w:pStyle w:val="Textoindependiente"/>
      </w:pPr>
      <w:r>
        <w:t>Recent studies have begun exploring non-linear models for RRi dynamics, recognizing their potential to capture the complexity of cardiovascular response to exercise. Exponential decay models, for example, have been proposed to describe RRi recovery, while logistic functions have been used to model the gradual return to baseline after high-intensity exercise (Gronwald et al., 2019b; Molkkari et al., 2020). These models offer advantages over traditional HRV metrics by providing a more detailed understanding of the cardiovascular system’s response to exercise (Wu and Poon, 2003). However, despite these advancements, few models are specifically designed to capture real-time RRi fluctuations, and even fewer consider individual variability factors such as fitness level, autonomic balance, and exercise intensity (Kanniainen et al., 2023).</w:t>
      </w:r>
    </w:p>
    <w:p w:rsidR="007C23A0" w:rsidRDefault="00000000">
      <w:pPr>
        <w:pStyle w:val="Textoindependiente"/>
      </w:pPr>
      <w:r>
        <w:t>Given RRi’s unique characteristics, direct relationship with cardiac electrical activity, and responsiveness to autonomic changes, a model that accurately represents RRi’s non-linear fluctuations during exercise and recovery is compelling. Such a model would offer a more physiologically relevant representation of the heart’s behavior compared to the broader HRV indices commonly used in research (Bacopoulou et al., 2021).</w:t>
      </w:r>
    </w:p>
    <w:p w:rsidR="007C23A0" w:rsidRDefault="00000000">
      <w:pPr>
        <w:pStyle w:val="Textoindependiente"/>
      </w:pPr>
      <w:r>
        <w:t>Hence, the primary objective of this paper is to present a novel non-linear model that characterizes RRi fluctuations during exercise and recovery. This model is designed to capture the complex, real-time changes in RRi, providing meaningful parameters that can enhance our understanding of the physiological processes underlying cardiovascular adaptation to exercise. By focusing exclusively on RRi, the model can deliver insights directly applicable to athletic training regimens, recovery protocols, and clinical practices to improve cardiovascular health. The proposed model seeks to bridge the gap between existing modeling frameworks and the physiological reality of RRi dynamics during exercise.</w:t>
      </w:r>
    </w:p>
    <w:p w:rsidR="007C23A0" w:rsidRDefault="00000000">
      <w:pPr>
        <w:pStyle w:val="Ttulo1"/>
      </w:pPr>
      <w:bookmarkStart w:id="3" w:name="methods"/>
      <w:bookmarkEnd w:id="2"/>
      <w:r>
        <w:lastRenderedPageBreak/>
        <w:t>Methods</w:t>
      </w:r>
    </w:p>
    <w:p w:rsidR="007C23A0" w:rsidRDefault="00000000">
      <w:pPr>
        <w:pStyle w:val="Ttulo2"/>
      </w:pPr>
      <w:bookmarkStart w:id="4" w:name="model-specification"/>
      <w:r>
        <w:t>Model Specification</w:t>
      </w:r>
    </w:p>
    <w:p w:rsidR="007C23A0" w:rsidRDefault="00000000">
      <w:pPr>
        <w:pStyle w:val="FirstParagraph"/>
      </w:pPr>
      <w:r>
        <w:t xml:space="preserve">The mathematical model proposed to characterize the RRi response to exercise and recovery is defined by </w:t>
      </w:r>
      <w:hyperlink w:anchor="eq-main-model">
        <w:r>
          <w:rPr>
            <w:rStyle w:val="Hipervnculo"/>
          </w:rPr>
          <w:t>Equation 1</w:t>
        </w:r>
      </w:hyperlink>
      <w:r>
        <w:t>.</w:t>
      </w:r>
    </w:p>
    <w:bookmarkStart w:id="5" w:name="eq-main-model"/>
    <w:p w:rsidR="007C23A0" w:rsidRDefault="00000000">
      <w:pPr>
        <w:pStyle w:val="Textoindependiente"/>
      </w:pPr>
      <m:oMathPara>
        <m:oMathParaPr>
          <m:jc m:val="center"/>
        </m:oMathParaPr>
        <m:oMath>
          <m:m>
            <m:mPr>
              <m:plcHide m:val="1"/>
              <m:mcs>
                <m:mc>
                  <m:mcPr>
                    <m:count m:val="1"/>
                    <m:mcJc m:val="right"/>
                  </m:mcPr>
                </m:mc>
              </m:mcs>
              <m:ctrlPr>
                <w:rPr>
                  <w:rFonts w:ascii="Cambria Math" w:hAnsi="Cambria Math"/>
                </w:rPr>
              </m:ctrlPr>
            </m:mPr>
            <m:mr>
              <m:e>
                <m:r>
                  <m:rPr>
                    <m:nor/>
                  </m:rPr>
                  <m:t>RRi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λ</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ϕ</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e>
                        </m:d>
                      </m:sup>
                    </m:sSup>
                  </m:den>
                </m:f>
              </m:e>
            </m:mr>
          </m:m>
          <m:r>
            <w:rPr>
              <w:rFonts w:ascii="Cambria Math" w:hAnsi="Cambria Math"/>
            </w:rPr>
            <m:t>  </m:t>
          </m:r>
          <m:d>
            <m:dPr>
              <m:ctrlPr>
                <w:rPr>
                  <w:rFonts w:ascii="Cambria Math" w:hAnsi="Cambria Math"/>
                </w:rPr>
              </m:ctrlPr>
            </m:dPr>
            <m:e>
              <m:r>
                <w:rPr>
                  <w:rFonts w:ascii="Cambria Math" w:hAnsi="Cambria Math"/>
                </w:rPr>
                <m:t>1</m:t>
              </m:r>
            </m:e>
          </m:d>
        </m:oMath>
      </m:oMathPara>
      <w:bookmarkEnd w:id="5"/>
    </w:p>
    <w:p w:rsidR="007C23A0" w:rsidRDefault="00000000">
      <w:pPr>
        <w:pStyle w:val="FirstParagraph"/>
      </w:pPr>
      <w:r>
        <w:t xml:space="preserve">This model includes two logistic functions representing the RRi dynamics across exercise and recovery phases. The first logistic term models the decrease in RRi during exercise, where the parameter </w:t>
      </w:r>
      <m:oMath>
        <m:r>
          <w:rPr>
            <w:rFonts w:ascii="Cambria Math" w:hAnsi="Cambria Math"/>
          </w:rPr>
          <m:t>β</m:t>
        </m:r>
      </m:oMath>
      <w:r>
        <w:t xml:space="preserve"> denotes the magnitude of this decline. The rate of decrease is governed by </w:t>
      </w:r>
      <m:oMath>
        <m:r>
          <w:rPr>
            <w:rFonts w:ascii="Cambria Math" w:hAnsi="Cambria Math"/>
          </w:rPr>
          <m:t>λ</m:t>
        </m:r>
      </m:oMath>
      <w:r>
        <w:t xml:space="preserve">, while </w:t>
      </w:r>
      <m:oMath>
        <m:r>
          <w:rPr>
            <w:rFonts w:ascii="Cambria Math" w:hAnsi="Cambria Math"/>
          </w:rPr>
          <m:t>τ</m:t>
        </m:r>
      </m:oMath>
      <w:r>
        <w:t xml:space="preserve"> represents the onset of the RRi decrease or the time the physiological shift begins.</w:t>
      </w:r>
    </w:p>
    <w:p w:rsidR="007C23A0" w:rsidRDefault="00000000">
      <w:pPr>
        <w:pStyle w:val="Textoindependiente"/>
      </w:pPr>
      <w:r>
        <w:t xml:space="preserve">The second logistic term accounts for RRi recovery post-exercise. Here, </w:t>
      </w:r>
      <m:oMath>
        <m:r>
          <w:rPr>
            <w:rFonts w:ascii="Cambria Math" w:hAnsi="Cambria Math"/>
          </w:rPr>
          <m:t>c</m:t>
        </m:r>
      </m:oMath>
      <w:r>
        <w:t xml:space="preserve"> scales the magnitude of recovery relative to the initial decline represented by </w:t>
      </w:r>
      <m:oMath>
        <m:r>
          <w:rPr>
            <w:rFonts w:ascii="Cambria Math" w:hAnsi="Cambria Math"/>
          </w:rPr>
          <m:t>β</m:t>
        </m:r>
      </m:oMath>
      <w:r>
        <w:t xml:space="preserve">, effectively capturing the proportion of the decline regained during recovery. The rate at which RRi returns to baseline is controlled by </w:t>
      </w:r>
      <m:oMath>
        <m:r>
          <w:rPr>
            <w:rFonts w:ascii="Cambria Math" w:hAnsi="Cambria Math"/>
          </w:rPr>
          <m:t>ϕ</m:t>
        </m:r>
      </m:oMath>
      <w:r>
        <w:t xml:space="preserve">, and </w:t>
      </w:r>
      <m:oMath>
        <m:r>
          <w:rPr>
            <w:rFonts w:ascii="Cambria Math" w:hAnsi="Cambria Math"/>
          </w:rPr>
          <m:t>δ</m:t>
        </m:r>
      </m:oMath>
      <w:r>
        <w:t xml:space="preserve"> indicates the lag following the cessation of exercise, marking the beginning of recovery.</w:t>
      </w:r>
    </w:p>
    <w:p w:rsidR="007C23A0" w:rsidRDefault="00000000">
      <w:pPr>
        <w:pStyle w:val="Textoindependiente"/>
      </w:pPr>
      <w:r>
        <w:t>This logistic structure is well-suited to modeling the RRi dynamics, providing a smooth, continuous transition for the decline and recovery phases. Logistic growth functions are particularly effective in physiological modeling contexts, where transitions (e.g., rest to exercise or exercise to recovery) occur gradually and non-linearly. Compared to conditional models, which may introduce abrupt transitions, this model is designed to minimize discontinuities, thus offering a realistic representation of RRi responses without artifacts.</w:t>
      </w:r>
    </w:p>
    <w:p w:rsidR="007C23A0" w:rsidRDefault="00000000">
      <w:pPr>
        <w:pStyle w:val="Ttulo2"/>
      </w:pPr>
      <w:bookmarkStart w:id="6" w:name="sensitivity-to-model-parameters"/>
      <w:bookmarkEnd w:id="4"/>
      <w:r>
        <w:t>Sensitivity to model parameters</w:t>
      </w:r>
    </w:p>
    <w:p w:rsidR="007C23A0" w:rsidRDefault="00000000">
      <w:pPr>
        <w:pStyle w:val="FirstParagraph"/>
      </w:pPr>
      <w:r>
        <w:t xml:space="preserve">To assess the sensitivity of model parameters in influencing RRi over time, we implemented a Sobol sensitivity analysis using Monte Carlo simulations. Sobol analysis was selected for its robustness in handling non-linear and non-monotonic relationships, which are intrinsic to RRi dynamics in response to exercise. To compute Sobol indices, </w:t>
      </w:r>
      <w:r>
        <w:lastRenderedPageBreak/>
        <w:t xml:space="preserve">1000 Monte Carlo simulations were conducted, each involving 1000 randomly sampled parameter sets (1,000,000 model runs in total). For each set of parameters, RRi were calculated at each time point </w:t>
      </w:r>
      <m:oMath>
        <m:r>
          <w:rPr>
            <w:rFonts w:ascii="Cambria Math" w:hAnsi="Cambria Math"/>
          </w:rPr>
          <m:t>t</m:t>
        </m:r>
      </m:oMath>
      <w:r>
        <w:t xml:space="preserve"> across a range from 0 to 20 minutes at intervals of 0.1 minutes (i.e., 6 seconds). The resulting Sobol indices provided a measure of the contribution of each parameter to the variance in RRi at each time point.</w:t>
      </w:r>
    </w:p>
    <w:p w:rsidR="007C23A0" w:rsidRDefault="00000000">
      <w:pPr>
        <w:pStyle w:val="Textoindependiente"/>
      </w:pPr>
      <w:r>
        <w:t xml:space="preserve">The first-order Sobol index for each parameter was computed by isolating the variance attributable to each parameter while averaging over the others. To achieve this, we perturbed each parameter individually while holding all other parameters at their average values across the samples. The proportion of variance explained by each parameter at each time point was calculated by dividing the variance of the estimated RRi of the perturbed parameter by the total variance, which accounts for the variation in all model parameters simultaneously, yielding time-dependent Sobol indices. The selected parameter ranges, provided in </w:t>
      </w:r>
      <w:hyperlink w:anchor="tbl-sens-params">
        <w:r>
          <w:rPr>
            <w:rStyle w:val="Hipervnculo"/>
          </w:rPr>
          <w:t>Table 1</w:t>
        </w:r>
      </w:hyperlink>
      <w:r>
        <w:t>, reflect a 50% variation in both directions from a reference value for each parameter.</w:t>
      </w:r>
    </w:p>
    <w:tbl>
      <w:tblPr>
        <w:tblStyle w:val="Table"/>
        <w:tblW w:w="0" w:type="auto"/>
        <w:tblLook w:val="0020" w:firstRow="1" w:lastRow="0" w:firstColumn="0" w:lastColumn="0" w:noHBand="0" w:noVBand="0"/>
      </w:tblPr>
      <w:tblGrid>
        <w:gridCol w:w="1189"/>
        <w:gridCol w:w="696"/>
        <w:gridCol w:w="656"/>
        <w:gridCol w:w="516"/>
        <w:gridCol w:w="836"/>
        <w:gridCol w:w="836"/>
        <w:gridCol w:w="516"/>
        <w:gridCol w:w="355"/>
      </w:tblGrid>
      <w:tr w:rsidR="007C23A0" w:rsidTr="007C23A0">
        <w:trPr>
          <w:cnfStyle w:val="100000000000" w:firstRow="1" w:lastRow="0" w:firstColumn="0" w:lastColumn="0" w:oddVBand="0" w:evenVBand="0" w:oddHBand="0" w:evenHBand="0" w:firstRowFirstColumn="0" w:firstRowLastColumn="0" w:lastRowFirstColumn="0" w:lastRowLastColumn="0"/>
          <w:tblHeader/>
        </w:trPr>
        <w:tc>
          <w:tcPr>
            <w:tcW w:w="0" w:type="auto"/>
          </w:tcPr>
          <w:p w:rsidR="007C23A0" w:rsidRDefault="007C23A0" w:rsidP="009A1E56">
            <w:pPr>
              <w:pStyle w:val="Compact"/>
              <w:spacing w:line="240" w:lineRule="auto"/>
            </w:pPr>
          </w:p>
        </w:tc>
        <w:tc>
          <w:tcPr>
            <w:tcW w:w="0" w:type="auto"/>
          </w:tcPr>
          <w:p w:rsidR="007C23A0" w:rsidRDefault="00000000" w:rsidP="009A1E56">
            <w:pPr>
              <w:pStyle w:val="Compact"/>
              <w:spacing w:line="240" w:lineRule="auto"/>
              <w:jc w:val="right"/>
            </w:pPr>
            <m:oMathPara>
              <m:oMath>
                <m:r>
                  <w:rPr>
                    <w:rFonts w:ascii="Cambria Math" w:hAnsi="Cambria Math"/>
                  </w:rPr>
                  <m:t>α</m:t>
                </m:r>
              </m:oMath>
            </m:oMathPara>
          </w:p>
        </w:tc>
        <w:tc>
          <w:tcPr>
            <w:tcW w:w="0" w:type="auto"/>
          </w:tcPr>
          <w:p w:rsidR="007C23A0" w:rsidRDefault="00000000" w:rsidP="009A1E56">
            <w:pPr>
              <w:pStyle w:val="Compact"/>
              <w:spacing w:line="240" w:lineRule="auto"/>
              <w:jc w:val="right"/>
            </w:pPr>
            <m:oMathPara>
              <m:oMath>
                <m:r>
                  <w:rPr>
                    <w:rFonts w:ascii="Cambria Math" w:hAnsi="Cambria Math"/>
                  </w:rPr>
                  <m:t>β</m:t>
                </m:r>
              </m:oMath>
            </m:oMathPara>
          </w:p>
        </w:tc>
        <w:tc>
          <w:tcPr>
            <w:tcW w:w="0" w:type="auto"/>
          </w:tcPr>
          <w:p w:rsidR="007C23A0" w:rsidRDefault="00000000" w:rsidP="009A1E56">
            <w:pPr>
              <w:pStyle w:val="Compact"/>
              <w:spacing w:line="240" w:lineRule="auto"/>
              <w:jc w:val="right"/>
            </w:pPr>
            <m:oMathPara>
              <m:oMath>
                <m:r>
                  <w:rPr>
                    <w:rFonts w:ascii="Cambria Math" w:hAnsi="Cambria Math"/>
                  </w:rPr>
                  <m:t>c</m:t>
                </m:r>
              </m:oMath>
            </m:oMathPara>
          </w:p>
        </w:tc>
        <w:tc>
          <w:tcPr>
            <w:tcW w:w="0" w:type="auto"/>
          </w:tcPr>
          <w:p w:rsidR="007C23A0" w:rsidRDefault="00000000" w:rsidP="009A1E56">
            <w:pPr>
              <w:pStyle w:val="Compact"/>
              <w:spacing w:line="240" w:lineRule="auto"/>
              <w:jc w:val="right"/>
            </w:pPr>
            <m:oMathPara>
              <m:oMath>
                <m:r>
                  <w:rPr>
                    <w:rFonts w:ascii="Cambria Math" w:hAnsi="Cambria Math"/>
                  </w:rPr>
                  <m:t>λ</m:t>
                </m:r>
              </m:oMath>
            </m:oMathPara>
          </w:p>
        </w:tc>
        <w:tc>
          <w:tcPr>
            <w:tcW w:w="0" w:type="auto"/>
          </w:tcPr>
          <w:p w:rsidR="007C23A0" w:rsidRDefault="00000000" w:rsidP="009A1E56">
            <w:pPr>
              <w:pStyle w:val="Compact"/>
              <w:spacing w:line="240" w:lineRule="auto"/>
              <w:jc w:val="right"/>
            </w:pPr>
            <m:oMathPara>
              <m:oMath>
                <m:r>
                  <w:rPr>
                    <w:rFonts w:ascii="Cambria Math" w:hAnsi="Cambria Math"/>
                  </w:rPr>
                  <m:t>ϕ</m:t>
                </m:r>
              </m:oMath>
            </m:oMathPara>
          </w:p>
        </w:tc>
        <w:tc>
          <w:tcPr>
            <w:tcW w:w="0" w:type="auto"/>
          </w:tcPr>
          <w:p w:rsidR="007C23A0" w:rsidRDefault="00000000" w:rsidP="009A1E56">
            <w:pPr>
              <w:pStyle w:val="Compact"/>
              <w:spacing w:line="240" w:lineRule="auto"/>
              <w:jc w:val="right"/>
            </w:pPr>
            <m:oMathPara>
              <m:oMath>
                <m:r>
                  <w:rPr>
                    <w:rFonts w:ascii="Cambria Math" w:hAnsi="Cambria Math"/>
                  </w:rPr>
                  <m:t>τ</m:t>
                </m:r>
              </m:oMath>
            </m:oMathPara>
          </w:p>
        </w:tc>
        <w:tc>
          <w:tcPr>
            <w:tcW w:w="0" w:type="auto"/>
          </w:tcPr>
          <w:p w:rsidR="007C23A0" w:rsidRDefault="00000000" w:rsidP="009A1E56">
            <w:pPr>
              <w:pStyle w:val="Compact"/>
              <w:spacing w:line="240" w:lineRule="auto"/>
              <w:jc w:val="right"/>
            </w:pPr>
            <m:oMathPara>
              <m:oMath>
                <m:r>
                  <w:rPr>
                    <w:rFonts w:ascii="Cambria Math" w:hAnsi="Cambria Math"/>
                  </w:rPr>
                  <m:t>δ</m:t>
                </m:r>
              </m:oMath>
            </m:oMathPara>
          </w:p>
        </w:tc>
      </w:tr>
      <w:tr w:rsidR="007C23A0">
        <w:trPr>
          <w:cnfStyle w:val="000000100000" w:firstRow="0" w:lastRow="0" w:firstColumn="0" w:lastColumn="0" w:oddVBand="0" w:evenVBand="0" w:oddHBand="1" w:evenHBand="0" w:firstRowFirstColumn="0" w:firstRowLastColumn="0" w:lastRowFirstColumn="0" w:lastRowLastColumn="0"/>
        </w:trPr>
        <w:tc>
          <w:tcPr>
            <w:tcW w:w="0" w:type="auto"/>
          </w:tcPr>
          <w:p w:rsidR="007C23A0" w:rsidRDefault="00000000" w:rsidP="009A1E56">
            <w:pPr>
              <w:pStyle w:val="Compact"/>
              <w:spacing w:line="240" w:lineRule="auto"/>
              <w:jc w:val="left"/>
            </w:pPr>
            <w:r>
              <w:t>x 0.5</w:t>
            </w:r>
          </w:p>
        </w:tc>
        <w:tc>
          <w:tcPr>
            <w:tcW w:w="0" w:type="auto"/>
          </w:tcPr>
          <w:p w:rsidR="007C23A0" w:rsidRDefault="00000000" w:rsidP="009A1E56">
            <w:pPr>
              <w:pStyle w:val="Compact"/>
              <w:spacing w:line="240" w:lineRule="auto"/>
              <w:jc w:val="right"/>
            </w:pPr>
            <w:r>
              <w:t>400</w:t>
            </w:r>
          </w:p>
        </w:tc>
        <w:tc>
          <w:tcPr>
            <w:tcW w:w="0" w:type="auto"/>
          </w:tcPr>
          <w:p w:rsidR="007C23A0" w:rsidRDefault="00000000" w:rsidP="009A1E56">
            <w:pPr>
              <w:pStyle w:val="Compact"/>
              <w:spacing w:line="240" w:lineRule="auto"/>
              <w:jc w:val="right"/>
            </w:pPr>
            <w:r>
              <w:t>-200</w:t>
            </w:r>
          </w:p>
        </w:tc>
        <w:tc>
          <w:tcPr>
            <w:tcW w:w="0" w:type="auto"/>
          </w:tcPr>
          <w:p w:rsidR="007C23A0" w:rsidRDefault="00000000" w:rsidP="009A1E56">
            <w:pPr>
              <w:pStyle w:val="Compact"/>
              <w:spacing w:line="240" w:lineRule="auto"/>
              <w:jc w:val="right"/>
            </w:pPr>
            <w:r>
              <w:t>0.5</w:t>
            </w:r>
          </w:p>
        </w:tc>
        <w:tc>
          <w:tcPr>
            <w:tcW w:w="0" w:type="auto"/>
          </w:tcPr>
          <w:p w:rsidR="007C23A0" w:rsidRDefault="00000000" w:rsidP="009A1E56">
            <w:pPr>
              <w:pStyle w:val="Compact"/>
              <w:spacing w:line="240" w:lineRule="auto"/>
              <w:jc w:val="right"/>
            </w:pPr>
            <w:r>
              <w:t>-1.151</w:t>
            </w:r>
          </w:p>
        </w:tc>
        <w:tc>
          <w:tcPr>
            <w:tcW w:w="0" w:type="auto"/>
          </w:tcPr>
          <w:p w:rsidR="007C23A0" w:rsidRDefault="00000000" w:rsidP="009A1E56">
            <w:pPr>
              <w:pStyle w:val="Compact"/>
              <w:spacing w:line="240" w:lineRule="auto"/>
              <w:jc w:val="right"/>
            </w:pPr>
            <w:r>
              <w:t>-0.602</w:t>
            </w:r>
          </w:p>
        </w:tc>
        <w:tc>
          <w:tcPr>
            <w:tcW w:w="0" w:type="auto"/>
          </w:tcPr>
          <w:p w:rsidR="007C23A0" w:rsidRDefault="00000000" w:rsidP="009A1E56">
            <w:pPr>
              <w:pStyle w:val="Compact"/>
              <w:spacing w:line="240" w:lineRule="auto"/>
              <w:jc w:val="right"/>
            </w:pPr>
            <w:r>
              <w:t>2.5</w:t>
            </w:r>
          </w:p>
        </w:tc>
        <w:tc>
          <w:tcPr>
            <w:tcW w:w="0" w:type="auto"/>
          </w:tcPr>
          <w:p w:rsidR="007C23A0" w:rsidRDefault="00000000" w:rsidP="009A1E56">
            <w:pPr>
              <w:pStyle w:val="Compact"/>
              <w:spacing w:line="240" w:lineRule="auto"/>
              <w:jc w:val="right"/>
            </w:pPr>
            <w:r>
              <w:t>1</w:t>
            </w:r>
          </w:p>
        </w:tc>
      </w:tr>
      <w:tr w:rsidR="007C23A0" w:rsidTr="009A1E56">
        <w:tc>
          <w:tcPr>
            <w:tcW w:w="0" w:type="auto"/>
            <w:tcBorders>
              <w:bottom w:val="single" w:sz="4" w:space="0" w:color="F2F2F2" w:themeColor="background1" w:themeShade="F2"/>
            </w:tcBorders>
          </w:tcPr>
          <w:p w:rsidR="007C23A0" w:rsidRDefault="00000000" w:rsidP="009A1E56">
            <w:pPr>
              <w:pStyle w:val="Compact"/>
              <w:spacing w:line="240" w:lineRule="auto"/>
              <w:jc w:val="left"/>
            </w:pPr>
            <w:r>
              <w:t>Reference</w:t>
            </w:r>
          </w:p>
        </w:tc>
        <w:tc>
          <w:tcPr>
            <w:tcW w:w="0" w:type="auto"/>
            <w:tcBorders>
              <w:bottom w:val="single" w:sz="4" w:space="0" w:color="F2F2F2" w:themeColor="background1" w:themeShade="F2"/>
            </w:tcBorders>
          </w:tcPr>
          <w:p w:rsidR="007C23A0" w:rsidRDefault="00000000" w:rsidP="009A1E56">
            <w:pPr>
              <w:pStyle w:val="Compact"/>
              <w:spacing w:line="240" w:lineRule="auto"/>
              <w:jc w:val="right"/>
            </w:pPr>
            <w:r>
              <w:t>800</w:t>
            </w:r>
          </w:p>
        </w:tc>
        <w:tc>
          <w:tcPr>
            <w:tcW w:w="0" w:type="auto"/>
            <w:tcBorders>
              <w:bottom w:val="single" w:sz="4" w:space="0" w:color="F2F2F2" w:themeColor="background1" w:themeShade="F2"/>
            </w:tcBorders>
          </w:tcPr>
          <w:p w:rsidR="007C23A0" w:rsidRDefault="00000000" w:rsidP="009A1E56">
            <w:pPr>
              <w:pStyle w:val="Compact"/>
              <w:spacing w:line="240" w:lineRule="auto"/>
              <w:jc w:val="right"/>
            </w:pPr>
            <w:r>
              <w:t>-400</w:t>
            </w:r>
          </w:p>
        </w:tc>
        <w:tc>
          <w:tcPr>
            <w:tcW w:w="0" w:type="auto"/>
            <w:tcBorders>
              <w:bottom w:val="single" w:sz="4" w:space="0" w:color="F2F2F2" w:themeColor="background1" w:themeShade="F2"/>
            </w:tcBorders>
          </w:tcPr>
          <w:p w:rsidR="007C23A0" w:rsidRDefault="00000000" w:rsidP="009A1E56">
            <w:pPr>
              <w:pStyle w:val="Compact"/>
              <w:spacing w:line="240" w:lineRule="auto"/>
              <w:jc w:val="right"/>
            </w:pPr>
            <w:r>
              <w:t>1.0</w:t>
            </w:r>
          </w:p>
        </w:tc>
        <w:tc>
          <w:tcPr>
            <w:tcW w:w="0" w:type="auto"/>
            <w:tcBorders>
              <w:bottom w:val="single" w:sz="4" w:space="0" w:color="F2F2F2" w:themeColor="background1" w:themeShade="F2"/>
            </w:tcBorders>
          </w:tcPr>
          <w:p w:rsidR="007C23A0" w:rsidRDefault="00000000" w:rsidP="009A1E56">
            <w:pPr>
              <w:pStyle w:val="Compact"/>
              <w:spacing w:line="240" w:lineRule="auto"/>
              <w:jc w:val="right"/>
            </w:pPr>
            <w:r>
              <w:t>-2.303</w:t>
            </w:r>
          </w:p>
        </w:tc>
        <w:tc>
          <w:tcPr>
            <w:tcW w:w="0" w:type="auto"/>
            <w:tcBorders>
              <w:bottom w:val="single" w:sz="4" w:space="0" w:color="F2F2F2" w:themeColor="background1" w:themeShade="F2"/>
            </w:tcBorders>
          </w:tcPr>
          <w:p w:rsidR="007C23A0" w:rsidRDefault="00000000" w:rsidP="009A1E56">
            <w:pPr>
              <w:pStyle w:val="Compact"/>
              <w:spacing w:line="240" w:lineRule="auto"/>
              <w:jc w:val="right"/>
            </w:pPr>
            <w:r>
              <w:t>-1.203</w:t>
            </w:r>
          </w:p>
        </w:tc>
        <w:tc>
          <w:tcPr>
            <w:tcW w:w="0" w:type="auto"/>
            <w:tcBorders>
              <w:bottom w:val="single" w:sz="4" w:space="0" w:color="F2F2F2" w:themeColor="background1" w:themeShade="F2"/>
            </w:tcBorders>
          </w:tcPr>
          <w:p w:rsidR="007C23A0" w:rsidRDefault="00000000" w:rsidP="009A1E56">
            <w:pPr>
              <w:pStyle w:val="Compact"/>
              <w:spacing w:line="240" w:lineRule="auto"/>
              <w:jc w:val="right"/>
            </w:pPr>
            <w:r>
              <w:t>5</w:t>
            </w:r>
          </w:p>
        </w:tc>
        <w:tc>
          <w:tcPr>
            <w:tcW w:w="0" w:type="auto"/>
            <w:tcBorders>
              <w:bottom w:val="single" w:sz="4" w:space="0" w:color="F2F2F2" w:themeColor="background1" w:themeShade="F2"/>
            </w:tcBorders>
          </w:tcPr>
          <w:p w:rsidR="007C23A0" w:rsidRDefault="00000000" w:rsidP="009A1E56">
            <w:pPr>
              <w:pStyle w:val="Compact"/>
              <w:spacing w:line="240" w:lineRule="auto"/>
              <w:jc w:val="right"/>
            </w:pPr>
            <w:r>
              <w:t>2</w:t>
            </w:r>
          </w:p>
        </w:tc>
      </w:tr>
      <w:tr w:rsidR="007C23A0" w:rsidTr="009A1E56">
        <w:trPr>
          <w:cnfStyle w:val="000000100000" w:firstRow="0" w:lastRow="0" w:firstColumn="0" w:lastColumn="0" w:oddVBand="0" w:evenVBand="0" w:oddHBand="1" w:evenHBand="0" w:firstRowFirstColumn="0" w:firstRowLastColumn="0" w:lastRowFirstColumn="0" w:lastRowLastColumn="0"/>
        </w:trPr>
        <w:tc>
          <w:tcPr>
            <w:tcW w:w="0" w:type="auto"/>
            <w:tcBorders>
              <w:bottom w:val="single" w:sz="4" w:space="0" w:color="auto"/>
            </w:tcBorders>
          </w:tcPr>
          <w:p w:rsidR="007C23A0" w:rsidRDefault="00000000" w:rsidP="009A1E56">
            <w:pPr>
              <w:pStyle w:val="Compact"/>
              <w:spacing w:line="240" w:lineRule="auto"/>
              <w:jc w:val="left"/>
            </w:pPr>
            <w:r>
              <w:t>x 1.5</w:t>
            </w:r>
          </w:p>
        </w:tc>
        <w:tc>
          <w:tcPr>
            <w:tcW w:w="0" w:type="auto"/>
            <w:tcBorders>
              <w:bottom w:val="single" w:sz="4" w:space="0" w:color="auto"/>
            </w:tcBorders>
          </w:tcPr>
          <w:p w:rsidR="007C23A0" w:rsidRDefault="00000000" w:rsidP="009A1E56">
            <w:pPr>
              <w:pStyle w:val="Compact"/>
              <w:spacing w:line="240" w:lineRule="auto"/>
              <w:jc w:val="right"/>
            </w:pPr>
            <w:r>
              <w:t>1200</w:t>
            </w:r>
          </w:p>
        </w:tc>
        <w:tc>
          <w:tcPr>
            <w:tcW w:w="0" w:type="auto"/>
            <w:tcBorders>
              <w:bottom w:val="single" w:sz="4" w:space="0" w:color="auto"/>
            </w:tcBorders>
          </w:tcPr>
          <w:p w:rsidR="007C23A0" w:rsidRDefault="00000000" w:rsidP="009A1E56">
            <w:pPr>
              <w:pStyle w:val="Compact"/>
              <w:spacing w:line="240" w:lineRule="auto"/>
              <w:jc w:val="right"/>
            </w:pPr>
            <w:r>
              <w:t>-600</w:t>
            </w:r>
          </w:p>
        </w:tc>
        <w:tc>
          <w:tcPr>
            <w:tcW w:w="0" w:type="auto"/>
            <w:tcBorders>
              <w:bottom w:val="single" w:sz="4" w:space="0" w:color="auto"/>
            </w:tcBorders>
          </w:tcPr>
          <w:p w:rsidR="007C23A0" w:rsidRDefault="00000000" w:rsidP="009A1E56">
            <w:pPr>
              <w:pStyle w:val="Compact"/>
              <w:spacing w:line="240" w:lineRule="auto"/>
              <w:jc w:val="right"/>
            </w:pPr>
            <w:r>
              <w:t>1.5</w:t>
            </w:r>
          </w:p>
        </w:tc>
        <w:tc>
          <w:tcPr>
            <w:tcW w:w="0" w:type="auto"/>
            <w:tcBorders>
              <w:bottom w:val="single" w:sz="4" w:space="0" w:color="auto"/>
            </w:tcBorders>
          </w:tcPr>
          <w:p w:rsidR="007C23A0" w:rsidRDefault="00000000" w:rsidP="009A1E56">
            <w:pPr>
              <w:pStyle w:val="Compact"/>
              <w:spacing w:line="240" w:lineRule="auto"/>
              <w:jc w:val="right"/>
            </w:pPr>
            <w:r>
              <w:t>-3.454</w:t>
            </w:r>
          </w:p>
        </w:tc>
        <w:tc>
          <w:tcPr>
            <w:tcW w:w="0" w:type="auto"/>
            <w:tcBorders>
              <w:bottom w:val="single" w:sz="4" w:space="0" w:color="auto"/>
            </w:tcBorders>
          </w:tcPr>
          <w:p w:rsidR="007C23A0" w:rsidRDefault="00000000" w:rsidP="009A1E56">
            <w:pPr>
              <w:pStyle w:val="Compact"/>
              <w:spacing w:line="240" w:lineRule="auto"/>
              <w:jc w:val="right"/>
            </w:pPr>
            <w:r>
              <w:t>-1.806</w:t>
            </w:r>
          </w:p>
        </w:tc>
        <w:tc>
          <w:tcPr>
            <w:tcW w:w="0" w:type="auto"/>
            <w:tcBorders>
              <w:bottom w:val="single" w:sz="4" w:space="0" w:color="auto"/>
            </w:tcBorders>
          </w:tcPr>
          <w:p w:rsidR="007C23A0" w:rsidRDefault="00000000" w:rsidP="009A1E56">
            <w:pPr>
              <w:pStyle w:val="Compact"/>
              <w:spacing w:line="240" w:lineRule="auto"/>
              <w:jc w:val="right"/>
            </w:pPr>
            <w:r>
              <w:t>7.5</w:t>
            </w:r>
          </w:p>
        </w:tc>
        <w:tc>
          <w:tcPr>
            <w:tcW w:w="0" w:type="auto"/>
            <w:tcBorders>
              <w:bottom w:val="single" w:sz="4" w:space="0" w:color="auto"/>
            </w:tcBorders>
          </w:tcPr>
          <w:p w:rsidR="007C23A0" w:rsidRDefault="00000000" w:rsidP="009A1E56">
            <w:pPr>
              <w:pStyle w:val="Compact"/>
              <w:spacing w:line="240" w:lineRule="auto"/>
              <w:jc w:val="right"/>
            </w:pPr>
            <w:r>
              <w:t>3</w:t>
            </w:r>
          </w:p>
        </w:tc>
      </w:tr>
    </w:tbl>
    <w:p w:rsidR="007C23A0" w:rsidRDefault="00000000">
      <w:pPr>
        <w:pStyle w:val="Textoindependiente"/>
      </w:pPr>
      <w:bookmarkStart w:id="7" w:name="tbl-sens-params"/>
      <w:r>
        <w:rPr>
          <w:b/>
          <w:bCs/>
        </w:rPr>
        <w:t>Table 1</w:t>
      </w:r>
      <w:bookmarkEnd w:id="7"/>
      <w:r>
        <w:t xml:space="preserve">. Parameter ranges for sensitivity analysis to be used as the limits to sample from uniform distribution and designed to evaluate model response to variability. Each parameter’s range reflects a ±50% variation from its reference value. It is worth noting that reference values for </w:t>
      </w:r>
      <m:oMath>
        <m:r>
          <w:rPr>
            <w:rFonts w:ascii="Cambria Math" w:hAnsi="Cambria Math"/>
          </w:rPr>
          <m:t>λ</m:t>
        </m:r>
      </m:oMath>
      <w:r>
        <w:t xml:space="preserve"> and </w:t>
      </w:r>
      <m:oMath>
        <m:r>
          <w:rPr>
            <w:rFonts w:ascii="Cambria Math" w:hAnsi="Cambria Math"/>
          </w:rPr>
          <m:t>ϕ</m:t>
        </m:r>
      </m:oMath>
      <w:r>
        <w:t xml:space="preserve"> parameters were set considering a reference rate of 90% and 70% change per minute in the original scale of these parameters.</w:t>
      </w:r>
    </w:p>
    <w:p w:rsidR="007C23A0" w:rsidRDefault="00000000">
      <w:pPr>
        <w:pStyle w:val="Textoindependiente"/>
      </w:pPr>
      <w:r>
        <w:t>Sobol sensitivity analysis was selected due to its robustness in decomposing the variance attributed to each parameter in complex, non-linear, and non-monotonic models, such as the present logistic model of RRi. While methods like the Morris screening technique offer computational efficiency, Sobol’s approach provides a more comprehensive assessment of parameter interactions, making it particularly suitable for physiological models where interaction effects may be critical to interpret.</w:t>
      </w:r>
    </w:p>
    <w:p w:rsidR="007C23A0" w:rsidRDefault="00000000">
      <w:pPr>
        <w:pStyle w:val="Ttulo2"/>
      </w:pPr>
      <w:bookmarkStart w:id="8" w:name="usage-of-real-world-rri-data"/>
      <w:bookmarkEnd w:id="6"/>
      <w:r>
        <w:lastRenderedPageBreak/>
        <w:t>Usage of real-world RRi data</w:t>
      </w:r>
    </w:p>
    <w:p w:rsidR="007C23A0" w:rsidRDefault="00000000">
      <w:pPr>
        <w:pStyle w:val="FirstParagraph"/>
      </w:pPr>
      <w:r>
        <w:t>To further assess the performance and applicability of the proposed model, real-world RRi data were analyzed in addition to the synthetic data generated through simulation.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rsidR="007C23A0" w:rsidRDefault="00000000">
      <w:pPr>
        <w:pStyle w:val="Textoindependiente"/>
      </w:pPr>
      <w:r>
        <w:t>The dataset consisted of 272 participants who underwent a validated exercise protocol encompassing rest, exercise, and recovery phases within a single, continuous measurement session (Castillo-Aguilar et al., 2023). Continuous heart rate data, including RRi, were collected using the Polar Team2 system (Polar®) application, capable of capturing dynamic fluctuations associated with varying exercise intensities and recovery.</w:t>
      </w:r>
    </w:p>
    <w:p w:rsidR="007C23A0" w:rsidRDefault="00000000">
      <w:pPr>
        <w:pStyle w:val="Textoindependiente"/>
      </w:pPr>
      <w:r>
        <w:t>Preprocessing steps were conducted to remove artifacts and ectopic heartbeats, with less than 3% of data excluded following established guidelines (Malik, 1996). The preprocessed RRi data were then aggregated into time intervals to facilitate analysis, allowing the examination of acute exercise responses and post-exercise recovery patterns.</w:t>
      </w:r>
    </w:p>
    <w:p w:rsidR="007C23A0" w:rsidRDefault="00000000">
      <w:pPr>
        <w:pStyle w:val="Textoindependiente"/>
      </w:pPr>
      <w:r>
        <w:t>This real-world dataset provided a critical context for validating the model’s predictive capability against observed physiological responses, offering a robust foundation for understanding RRi dynamics under physical activity conditions.</w:t>
      </w:r>
    </w:p>
    <w:p w:rsidR="007C23A0" w:rsidRDefault="00000000">
      <w:pPr>
        <w:pStyle w:val="Ttulo2"/>
      </w:pPr>
      <w:bookmarkStart w:id="9" w:name="parameter-estimation"/>
      <w:bookmarkEnd w:id="8"/>
      <w:r>
        <w:t>Parameter Estimation</w:t>
      </w:r>
    </w:p>
    <w:p w:rsidR="007C23A0" w:rsidRDefault="00000000">
      <w:pPr>
        <w:pStyle w:val="FirstParagraph"/>
      </w:pPr>
      <w:r>
        <w:t xml:space="preserve">Parameter estimation was performed using Hamiltonian Monte Carlo (HMC) with the No-U-Turn Sampler (NUTS) to explore the parameter space. This method suits high-dimensional spaces and utilizes gradient information for efficient sampling. The parameters </w:t>
      </w:r>
      <m:oMath>
        <m:r>
          <w:rPr>
            <w:rFonts w:ascii="Cambria Math" w:hAnsi="Cambria Math"/>
          </w:rPr>
          <m:t>α</m:t>
        </m:r>
      </m:oMath>
      <w:r>
        <w:t xml:space="preserve">, </w:t>
      </w:r>
      <m:oMath>
        <m:r>
          <w:rPr>
            <w:rFonts w:ascii="Cambria Math" w:hAnsi="Cambria Math"/>
          </w:rPr>
          <m:t>β</m:t>
        </m:r>
      </m:oMath>
      <w:r>
        <w:t xml:space="preserve">, </w:t>
      </w:r>
      <m:oMath>
        <m:r>
          <w:rPr>
            <w:rFonts w:ascii="Cambria Math" w:hAnsi="Cambria Math"/>
          </w:rPr>
          <m:t>c</m:t>
        </m:r>
      </m:oMath>
      <w:r>
        <w:t xml:space="preserve">, </w:t>
      </w:r>
      <m:oMath>
        <m:r>
          <w:rPr>
            <w:rFonts w:ascii="Cambria Math" w:hAnsi="Cambria Math"/>
          </w:rPr>
          <m:t>λ</m:t>
        </m:r>
      </m:oMath>
      <w:r>
        <w:t xml:space="preserve">, </w:t>
      </w:r>
      <m:oMath>
        <m:r>
          <w:rPr>
            <w:rFonts w:ascii="Cambria Math" w:hAnsi="Cambria Math"/>
          </w:rPr>
          <m:t>ϕ</m:t>
        </m:r>
      </m:oMath>
      <w:r>
        <w:t xml:space="preserve">, </w:t>
      </w:r>
      <m:oMath>
        <m:r>
          <w:rPr>
            <w:rFonts w:ascii="Cambria Math" w:hAnsi="Cambria Math"/>
          </w:rPr>
          <m:t>τ</m:t>
        </m:r>
      </m:oMath>
      <w:r>
        <w:t xml:space="preserve">, and </w:t>
      </w:r>
      <m:oMath>
        <m:r>
          <w:rPr>
            <w:rFonts w:ascii="Cambria Math" w:hAnsi="Cambria Math"/>
          </w:rPr>
          <m:t>δ</m:t>
        </m:r>
      </m:oMath>
      <w:r>
        <w:t xml:space="preserve"> were estimated by sampling from the posterior distribution, which was constructed from observed RRi data and model predictions. The Bayesian framework allows the incorporation of prior distributions for parameters, enhancing the reliability of the estimates.</w:t>
      </w:r>
    </w:p>
    <w:p w:rsidR="007C23A0" w:rsidRDefault="00000000">
      <w:pPr>
        <w:pStyle w:val="Textoindependiente"/>
      </w:pPr>
      <w:r>
        <w:lastRenderedPageBreak/>
        <w:t>The gradient of the log-likelihood function for each parameter was computed during estimation using the brms R package, which employs the Stan probabilistic programming language. Convergence of the HMC chains was assessed using standard diagnostics, including R-hat values, which were kept below 1.01 for all parameters, and effective sample sizes, which were targeted at a minimum of 1,000 for each parameter. Trace plots were inspected to confirm stable mixing, and potential issues with autocorrelation were addressed by increasing the warm-up period to ensure chain independence. These diagnostics collectively confirmed reliable posterior estimates for each parameter.</w:t>
      </w:r>
    </w:p>
    <w:p w:rsidR="007C23A0" w:rsidRDefault="00000000">
      <w:pPr>
        <w:pStyle w:val="Textoindependiente"/>
      </w:pPr>
      <w:r>
        <w:t>The fitting process utilized five Markov Chain Monte Carlo (MCMC) chains, each consisting of 10,000 iterations with a burn-in period of 5,000 iterations, resulting in 25,000 post-warmup samples.</w:t>
      </w:r>
    </w:p>
    <w:p w:rsidR="007C23A0" w:rsidRDefault="00000000">
      <w:pPr>
        <w:pStyle w:val="Textoindependiente"/>
      </w:pPr>
      <w:r>
        <w:t>To enhance the exploration of parameter space, we performed a two-stage analysis: individual-level and group-level estimates.</w:t>
      </w:r>
    </w:p>
    <w:p w:rsidR="007C23A0" w:rsidRDefault="00000000">
      <w:pPr>
        <w:pStyle w:val="Ttulo3"/>
      </w:pPr>
      <w:bookmarkStart w:id="10" w:name="individual-level-analysis"/>
      <w:r>
        <w:t>Individual-level analysis</w:t>
      </w:r>
    </w:p>
    <w:p w:rsidR="007C23A0" w:rsidRDefault="00000000">
      <w:pPr>
        <w:pStyle w:val="FirstParagraph"/>
      </w:pPr>
      <w:r>
        <w:t xml:space="preserve">Firstly, each subject’s RRi data </w:t>
      </w:r>
      <m:oMath>
        <m:sSub>
          <m:sSubPr>
            <m:ctrlPr>
              <w:rPr>
                <w:rFonts w:ascii="Cambria Math" w:hAnsi="Cambria Math"/>
              </w:rPr>
            </m:ctrlPr>
          </m:sSubPr>
          <m:e>
            <m:r>
              <m:rPr>
                <m:nor/>
              </m:rPr>
              <m:t>RRi</m:t>
            </m:r>
          </m:e>
          <m:sub>
            <m:r>
              <w:rPr>
                <w:rFonts w:ascii="Cambria Math" w:hAnsi="Cambria Math"/>
              </w:rPr>
              <m:t>i</m:t>
            </m:r>
            <m:r>
              <m:rPr>
                <m:sty m:val="p"/>
              </m:rPr>
              <w:rPr>
                <w:rFonts w:ascii="Cambria Math" w:hAnsi="Cambria Math"/>
              </w:rPr>
              <m:t>,</m:t>
            </m:r>
            <m:r>
              <w:rPr>
                <w:rFonts w:ascii="Cambria Math" w:hAnsi="Cambria Math"/>
              </w:rPr>
              <m:t>t</m:t>
            </m:r>
          </m:sub>
        </m:sSub>
      </m:oMath>
      <w:r>
        <w:t xml:space="preserve"> was standardized against his mean </w:t>
      </w:r>
      <m:oMath>
        <m:acc>
          <m:accPr>
            <m:chr m:val="‾"/>
            <m:ctrlPr>
              <w:rPr>
                <w:rFonts w:ascii="Cambria Math" w:hAnsi="Cambria Math"/>
              </w:rPr>
            </m:ctrlPr>
          </m:accPr>
          <m:e>
            <m:sSub>
              <m:sSubPr>
                <m:ctrlPr>
                  <w:rPr>
                    <w:rFonts w:ascii="Cambria Math" w:hAnsi="Cambria Math"/>
                  </w:rPr>
                </m:ctrlPr>
              </m:sSubPr>
              <m:e>
                <m:r>
                  <m:rPr>
                    <m:nor/>
                  </m:rPr>
                  <m:t>RRi</m:t>
                </m:r>
              </m:e>
              <m:sub>
                <m:r>
                  <w:rPr>
                    <w:rFonts w:ascii="Cambria Math" w:hAnsi="Cambria Math"/>
                  </w:rPr>
                  <m:t>i</m:t>
                </m:r>
              </m:sub>
            </m:sSub>
          </m:e>
        </m:acc>
      </m:oMath>
      <w:r>
        <w:t xml:space="preserve"> and standard deviation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m:t>RRi</m:t>
                </m:r>
              </m:e>
              <m:sub>
                <m:r>
                  <w:rPr>
                    <w:rFonts w:ascii="Cambria Math" w:hAnsi="Cambria Math"/>
                  </w:rPr>
                  <m:t>i</m:t>
                </m:r>
              </m:sub>
            </m:sSub>
          </m:sub>
        </m:sSub>
      </m:oMath>
      <w:r>
        <w:t xml:space="preserve"> to improve convergence and exploration of the posterior distribution. The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 xml:space="preserve"> for each time point </w:t>
      </w:r>
      <m:oMath>
        <m:r>
          <w:rPr>
            <w:rFonts w:ascii="Cambria Math" w:hAnsi="Cambria Math"/>
          </w:rPr>
          <m:t>t</m:t>
        </m:r>
      </m:oMath>
      <w:r>
        <w:t xml:space="preserve"> was computed as:</w:t>
      </w:r>
    </w:p>
    <w:p w:rsidR="007C23A0"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nor/>
                    </m:rPr>
                    <m:t>RRi</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nor/>
                        </m:rPr>
                        <m:t>RRi</m:t>
                      </m:r>
                    </m:e>
                    <m:sub>
                      <m:r>
                        <w:rPr>
                          <w:rFonts w:ascii="Cambria Math" w:hAnsi="Cambria Math"/>
                        </w:rPr>
                        <m:t>i</m:t>
                      </m:r>
                    </m:sub>
                  </m:sSub>
                </m:e>
              </m:acc>
            </m:num>
            <m:den>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m:t>RRi</m:t>
                      </m:r>
                    </m:e>
                    <m:sub>
                      <m:r>
                        <w:rPr>
                          <w:rFonts w:ascii="Cambria Math" w:hAnsi="Cambria Math"/>
                        </w:rPr>
                        <m:t>i</m:t>
                      </m:r>
                    </m:sub>
                  </m:sSub>
                </m:sub>
              </m:sSub>
            </m:den>
          </m:f>
        </m:oMath>
      </m:oMathPara>
    </w:p>
    <w:p w:rsidR="007C23A0" w:rsidRDefault="00000000">
      <w:pPr>
        <w:pStyle w:val="FirstParagraph"/>
      </w:pPr>
      <w:r>
        <w:t>This standardization allowed the model to focus on relative changes in RRi dynamics, independent of individual baseline differences.</w:t>
      </w:r>
    </w:p>
    <w:p w:rsidR="007C23A0" w:rsidRDefault="00000000">
      <w:pPr>
        <w:pStyle w:val="Textoindependiente"/>
      </w:pPr>
      <w:r>
        <w:t xml:space="preserve">The model for each subject </w:t>
      </w:r>
      <m:oMath>
        <m:r>
          <w:rPr>
            <w:rFonts w:ascii="Cambria Math" w:hAnsi="Cambria Math"/>
          </w:rPr>
          <m:t>i</m:t>
        </m:r>
      </m:oMath>
      <w:r>
        <w:t xml:space="preserve"> was then specified in terms of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w:t>
      </w:r>
    </w:p>
    <w:p w:rsidR="007C23A0"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c</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ϕ</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up>
              </m:sSup>
            </m:den>
          </m:f>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oMath>
      </m:oMathPara>
    </w:p>
    <w:p w:rsidR="007C23A0" w:rsidRDefault="00000000">
      <w:pPr>
        <w:pStyle w:val="FirstParagraph"/>
      </w:pPr>
      <w:r>
        <w:t xml:space="preserve">where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ϕ</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are the individual-specific model parameters and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is the residual error term at each time point </w:t>
      </w:r>
      <m:oMath>
        <m:r>
          <w:rPr>
            <w:rFonts w:ascii="Cambria Math" w:hAnsi="Cambria Math"/>
          </w:rPr>
          <m:t>t</m:t>
        </m:r>
      </m:oMath>
      <w:r>
        <w:t>.</w:t>
      </w:r>
    </w:p>
    <w:p w:rsidR="007C23A0" w:rsidRDefault="00000000">
      <w:pPr>
        <w:pStyle w:val="Textoindependiente"/>
      </w:pPr>
      <w:r>
        <w:lastRenderedPageBreak/>
        <w:t xml:space="preserve">Afterwards, we transformed the estimated </w:t>
      </w:r>
      <m:oMath>
        <m:r>
          <w:rPr>
            <w:rFonts w:ascii="Cambria Math" w:hAnsi="Cambria Math"/>
          </w:rPr>
          <m:t>α</m:t>
        </m:r>
      </m:oMath>
      <w:r>
        <w:t xml:space="preserve"> and </w:t>
      </w:r>
      <m:oMath>
        <m:r>
          <w:rPr>
            <w:rFonts w:ascii="Cambria Math" w:hAnsi="Cambria Math"/>
          </w:rPr>
          <m:t>β</m:t>
        </m:r>
      </m:oMath>
      <w:r>
        <w:t xml:space="preserve"> parameters back to the original RRi scale, ensuring a physiologically meaningful interpretation. The transformation for each subject </w:t>
      </w:r>
      <m:oMath>
        <m:r>
          <w:rPr>
            <w:rFonts w:ascii="Cambria Math" w:hAnsi="Cambria Math"/>
          </w:rPr>
          <m:t>i</m:t>
        </m:r>
      </m:oMath>
      <w:r>
        <w:t xml:space="preserve"> is given by:</w:t>
      </w:r>
    </w:p>
    <w:p w:rsidR="007C23A0" w:rsidRDefault="00000000">
      <w:pPr>
        <w:pStyle w:val="Textoindependiente"/>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α</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m:t>RRi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m:t>RRi</m:t>
                        </m:r>
                      </m:e>
                    </m:acc>
                  </m:e>
                  <m:sub>
                    <m:r>
                      <w:rPr>
                        <w:rFonts w:ascii="Cambria Math" w:hAnsi="Cambria Math"/>
                      </w:rPr>
                      <m:t>i</m:t>
                    </m:r>
                  </m:sub>
                </m:sSub>
              </m:e>
            </m:mr>
            <m:mr>
              <m:e>
                <m:sSubSup>
                  <m:sSubSupPr>
                    <m:ctrlPr>
                      <w:rPr>
                        <w:rFonts w:ascii="Cambria Math" w:hAnsi="Cambria Math"/>
                      </w:rPr>
                    </m:ctrlPr>
                  </m:sSubSupPr>
                  <m:e>
                    <m:r>
                      <w:rPr>
                        <w:rFonts w:ascii="Cambria Math" w:hAnsi="Cambria Math"/>
                      </w:rPr>
                      <m:t>β</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m:t>RRi</m:t>
                        </m:r>
                      </m:e>
                      <m:sub>
                        <m:r>
                          <w:rPr>
                            <w:rFonts w:ascii="Cambria Math" w:hAnsi="Cambria Math"/>
                          </w:rPr>
                          <m:t>i</m:t>
                        </m:r>
                      </m:sub>
                    </m:sSub>
                  </m:sub>
                </m:sSub>
              </m:e>
            </m:mr>
          </m:m>
        </m:oMath>
      </m:oMathPara>
    </w:p>
    <w:p w:rsidR="007C23A0" w:rsidRDefault="00000000">
      <w:pPr>
        <w:pStyle w:val="FirstParagraph"/>
      </w:pPr>
      <w:r>
        <w:t>Priors were chosen based on physiological constraints and graphical visualization of standardized RRi data, ensuring identifiability of model parameters by constraining the parameter space to plausible values, which improves model convergence. The prior distributions are defined as follows:</w:t>
      </w:r>
    </w:p>
    <w:p w:rsidR="007C23A0" w:rsidRDefault="00000000">
      <w:pPr>
        <w:pStyle w:val="Textoindependiente"/>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α</m:t>
                </m:r>
              </m:e>
              <m:e>
                <m:r>
                  <m:rPr>
                    <m:scr m:val="script"/>
                    <m:sty m:val="p"/>
                  </m:rPr>
                  <w:rPr>
                    <w:rFonts w:ascii="Cambria Math" w:hAnsi="Cambria Math"/>
                  </w:rPr>
                  <m:t>∼N</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0.5</m:t>
                    </m:r>
                  </m:e>
                </m:d>
              </m:e>
            </m:mr>
            <m:mr>
              <m:e>
                <m:r>
                  <w:rPr>
                    <w:rFonts w:ascii="Cambria Math" w:hAnsi="Cambria Math"/>
                  </w:rPr>
                  <m:t>β</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β</m:t>
                </m:r>
                <m:r>
                  <m:rPr>
                    <m:sty m:val="p"/>
                  </m:rPr>
                  <w:rPr>
                    <w:rFonts w:ascii="Cambria Math" w:hAnsi="Cambria Math"/>
                  </w:rPr>
                  <m:t>≤</m:t>
                </m:r>
                <m:r>
                  <w:rPr>
                    <w:rFonts w:ascii="Cambria Math" w:hAnsi="Cambria Math"/>
                  </w:rPr>
                  <m:t>0</m:t>
                </m:r>
              </m:e>
            </m:mr>
            <m:mr>
              <m:e>
                <m:r>
                  <w:rPr>
                    <w:rFonts w:ascii="Cambria Math" w:hAnsi="Cambria Math"/>
                  </w:rPr>
                  <m:t>c</m:t>
                </m:r>
              </m:e>
              <m:e>
                <m:r>
                  <m:rPr>
                    <m:scr m:val="script"/>
                    <m:sty m:val="p"/>
                  </m:rPr>
                  <w:rPr>
                    <w:rFonts w:ascii="Cambria Math" w:hAnsi="Cambria Math"/>
                  </w:rPr>
                  <m:t>∼N</m:t>
                </m:r>
                <m:d>
                  <m:dPr>
                    <m:ctrlPr>
                      <w:rPr>
                        <w:rFonts w:ascii="Cambria Math" w:hAnsi="Cambria Math"/>
                      </w:rPr>
                    </m:ctrlPr>
                  </m:dPr>
                  <m:e>
                    <m:r>
                      <w:rPr>
                        <w:rFonts w:ascii="Cambria Math" w:hAnsi="Cambria Math"/>
                      </w:rPr>
                      <m:t>0.8</m:t>
                    </m:r>
                    <m:r>
                      <m:rPr>
                        <m:sty m:val="p"/>
                      </m:rPr>
                      <w:rPr>
                        <w:rFonts w:ascii="Cambria Math" w:hAnsi="Cambria Math"/>
                      </w:rPr>
                      <m:t>,</m:t>
                    </m:r>
                    <m:r>
                      <w:rPr>
                        <w:rFonts w:ascii="Cambria Math" w:hAnsi="Cambria Math"/>
                      </w:rPr>
                      <m:t>0.2</m:t>
                    </m:r>
                  </m:e>
                </m:d>
                <m:r>
                  <m:rPr>
                    <m:nor/>
                  </m:rPr>
                  <m:t xml:space="preserve"> with </m:t>
                </m:r>
                <m:r>
                  <w:rPr>
                    <w:rFonts w:ascii="Cambria Math" w:hAnsi="Cambria Math"/>
                  </w:rPr>
                  <m:t>c</m:t>
                </m:r>
                <m:r>
                  <m:rPr>
                    <m:sty m:val="p"/>
                  </m:rPr>
                  <w:rPr>
                    <w:rFonts w:ascii="Cambria Math" w:hAnsi="Cambria Math"/>
                  </w:rPr>
                  <m:t>≥</m:t>
                </m:r>
                <m:r>
                  <w:rPr>
                    <w:rFonts w:ascii="Cambria Math" w:hAnsi="Cambria Math"/>
                  </w:rPr>
                  <m:t>0</m:t>
                </m:r>
              </m:e>
            </m:mr>
            <m:mr>
              <m:e>
                <m:r>
                  <w:rPr>
                    <w:rFonts w:ascii="Cambria Math" w:hAnsi="Cambria Math"/>
                  </w:rPr>
                  <m:t>λ</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λ</m:t>
                </m:r>
                <m:r>
                  <m:rPr>
                    <m:sty m:val="p"/>
                  </m:rPr>
                  <w:rPr>
                    <w:rFonts w:ascii="Cambria Math" w:hAnsi="Cambria Math"/>
                  </w:rPr>
                  <m:t>≤</m:t>
                </m:r>
                <m:r>
                  <w:rPr>
                    <w:rFonts w:ascii="Cambria Math" w:hAnsi="Cambria Math"/>
                  </w:rPr>
                  <m:t>0</m:t>
                </m:r>
              </m:e>
            </m:mr>
            <m:mr>
              <m:e>
                <m:r>
                  <w:rPr>
                    <w:rFonts w:ascii="Cambria Math" w:hAnsi="Cambria Math"/>
                  </w:rPr>
                  <m:t>ϕ</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ϕ</m:t>
                </m:r>
                <m:r>
                  <m:rPr>
                    <m:sty m:val="p"/>
                  </m:rPr>
                  <w:rPr>
                    <w:rFonts w:ascii="Cambria Math" w:hAnsi="Cambria Math"/>
                  </w:rPr>
                  <m:t>≤</m:t>
                </m:r>
                <m:r>
                  <w:rPr>
                    <w:rFonts w:ascii="Cambria Math" w:hAnsi="Cambria Math"/>
                  </w:rPr>
                  <m:t>0</m:t>
                </m:r>
              </m:e>
            </m:mr>
            <m:mr>
              <m:e>
                <m:r>
                  <w:rPr>
                    <w:rFonts w:ascii="Cambria Math" w:hAnsi="Cambria Math"/>
                  </w:rPr>
                  <m:t>τ</m:t>
                </m:r>
              </m:e>
              <m:e>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τ</m:t>
                </m:r>
                <m:r>
                  <m:rPr>
                    <m:sty m:val="p"/>
                  </m:rPr>
                  <w:rPr>
                    <w:rFonts w:ascii="Cambria Math" w:hAnsi="Cambria Math"/>
                  </w:rPr>
                  <m:t>≥</m:t>
                </m:r>
                <m:r>
                  <w:rPr>
                    <w:rFonts w:ascii="Cambria Math" w:hAnsi="Cambria Math"/>
                  </w:rPr>
                  <m:t>0</m:t>
                </m:r>
              </m:e>
            </m:mr>
            <m:mr>
              <m:e>
                <m:r>
                  <w:rPr>
                    <w:rFonts w:ascii="Cambria Math" w:hAnsi="Cambria Math"/>
                  </w:rPr>
                  <m:t>δ</m:t>
                </m:r>
              </m:e>
              <m:e>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δ</m:t>
                </m:r>
                <m:r>
                  <m:rPr>
                    <m:sty m:val="p"/>
                  </m:rPr>
                  <w:rPr>
                    <w:rFonts w:ascii="Cambria Math" w:hAnsi="Cambria Math"/>
                  </w:rPr>
                  <m:t>≥</m:t>
                </m:r>
                <m:r>
                  <w:rPr>
                    <w:rFonts w:ascii="Cambria Math" w:hAnsi="Cambria Math"/>
                  </w:rPr>
                  <m:t>0</m:t>
                </m:r>
              </m:e>
            </m:mr>
          </m:m>
        </m:oMath>
      </m:oMathPara>
    </w:p>
    <w:p w:rsidR="007C23A0" w:rsidRDefault="00000000">
      <w:pPr>
        <w:pStyle w:val="FirstParagraph"/>
      </w:pPr>
      <w:r>
        <w:t xml:space="preserve">Simulated standardized RRi dynamics based on prior parameter distributions are shown in </w:t>
      </w:r>
      <w:hyperlink w:anchor="fig-prior-sim">
        <w:r>
          <w:rPr>
            <w:rStyle w:val="Hipervnculo"/>
          </w:rPr>
          <w:t>Figure 1</w:t>
        </w:r>
      </w:hyperlink>
      <w:r>
        <w:t>.</w:t>
      </w:r>
    </w:p>
    <w:p w:rsidR="007C23A0" w:rsidRDefault="00000000">
      <w:pPr>
        <w:pStyle w:val="Textoindependiente"/>
      </w:pPr>
      <w:r>
        <w:rPr>
          <w:noProof/>
        </w:rPr>
        <w:lastRenderedPageBreak/>
        <w:drawing>
          <wp:inline distT="0" distB="0" distL="0" distR="0">
            <wp:extent cx="5600700" cy="40005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prior-model.png"/>
                    <pic:cNvPicPr>
                      <a:picLocks noChangeAspect="1" noChangeArrowheads="1"/>
                    </pic:cNvPicPr>
                  </pic:nvPicPr>
                  <pic:blipFill>
                    <a:blip r:embed="rId6"/>
                    <a:stretch>
                      <a:fillRect/>
                    </a:stretch>
                  </pic:blipFill>
                  <pic:spPr bwMode="auto">
                    <a:xfrm>
                      <a:off x="0" y="0"/>
                      <a:ext cx="5600700" cy="4000500"/>
                    </a:xfrm>
                    <a:prstGeom prst="rect">
                      <a:avLst/>
                    </a:prstGeom>
                    <a:noFill/>
                    <a:ln w="9525">
                      <a:noFill/>
                      <a:headEnd/>
                      <a:tailEnd/>
                    </a:ln>
                  </pic:spPr>
                </pic:pic>
              </a:graphicData>
            </a:graphic>
          </wp:inline>
        </w:drawing>
      </w:r>
    </w:p>
    <w:p w:rsidR="007C23A0" w:rsidRDefault="00000000">
      <w:pPr>
        <w:pStyle w:val="Textoindependiente"/>
      </w:pPr>
      <w:bookmarkStart w:id="11" w:name="fig-prior-sim"/>
      <w:r>
        <w:rPr>
          <w:b/>
          <w:bCs/>
        </w:rPr>
        <w:t>Figure 1</w:t>
      </w:r>
      <w:bookmarkEnd w:id="11"/>
      <w:r>
        <w:t>. Simulated standardized RRi dynamics based on prior parameter distributions, depicting predicted RRi responses to exercise. Shaded areas represent 95%, 80%, and 60% quantile credible intervals, offering insight into expected physiological variability across parameters.</w:t>
      </w:r>
    </w:p>
    <w:p w:rsidR="007C23A0" w:rsidRDefault="00000000">
      <w:pPr>
        <w:pStyle w:val="Ttulo3"/>
      </w:pPr>
      <w:bookmarkStart w:id="12" w:name="group-level-analysis"/>
      <w:bookmarkEnd w:id="10"/>
      <w:r>
        <w:t>Group-level analysis</w:t>
      </w:r>
    </w:p>
    <w:p w:rsidR="007C23A0" w:rsidRDefault="00000000">
      <w:pPr>
        <w:pStyle w:val="FirstParagraph"/>
      </w:pPr>
      <w:r>
        <w:t>After obtaining the posterior distribution for each subject’s parameters, each parameter’s mean (</w:t>
      </w:r>
      <m:oMath>
        <m:sSup>
          <m:sSupPr>
            <m:ctrlPr>
              <w:rPr>
                <w:rFonts w:ascii="Cambria Math" w:hAnsi="Cambria Math"/>
              </w:rPr>
            </m:ctrlPr>
          </m:sSupPr>
          <m:e>
            <m:r>
              <w:rPr>
                <w:rFonts w:ascii="Cambria Math" w:hAnsi="Cambria Math"/>
              </w:rPr>
              <m:t>θ</m:t>
            </m:r>
          </m:e>
          <m:sup>
            <m:r>
              <m:rPr>
                <m:nor/>
              </m:rPr>
              <m:t xml:space="preserve"> obs</m:t>
            </m:r>
          </m:sup>
        </m:sSup>
      </m:oMath>
      <w:r>
        <w:t>) and standard error (</w:t>
      </w:r>
      <m:oMath>
        <m:r>
          <w:rPr>
            <w:rFonts w:ascii="Cambria Math" w:hAnsi="Cambria Math"/>
          </w:rPr>
          <m:t>ϵ</m:t>
        </m:r>
      </m:oMath>
      <w:r>
        <w:t>) were calculated. These estimates were then used as input data to create a univariate hierarchical model, capturing variability at both the subject and group levels. The model is described as follows:</w:t>
      </w:r>
    </w:p>
    <w:p w:rsidR="007C23A0" w:rsidRDefault="00000000">
      <w:pPr>
        <w:pStyle w:val="Textoindependiente"/>
      </w:pPr>
      <w:r>
        <w:t xml:space="preserve">For each subject </w:t>
      </w:r>
      <m:oMath>
        <m:r>
          <w:rPr>
            <w:rFonts w:ascii="Cambria Math" w:hAnsi="Cambria Math"/>
          </w:rPr>
          <m:t>i</m:t>
        </m:r>
      </m:oMath>
      <w:r>
        <w:t xml:space="preserve">, we estimated an interdependent stochastic process in which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with </w:t>
      </w:r>
      <m:oMath>
        <m:r>
          <w:rPr>
            <w:rFonts w:ascii="Cambria Math" w:hAnsi="Cambria Math"/>
          </w:rPr>
          <m:t>k</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r>
          <m:rPr>
            <m:sty m:val="p"/>
          </m:rPr>
          <w:rPr>
            <w:rFonts w:ascii="Cambria Math" w:hAnsi="Cambria Math"/>
          </w:rPr>
          <m:t>}</m:t>
        </m:r>
      </m:oMath>
      <w:r>
        <w:t xml:space="preserve"> with their corresponding standard error </w:t>
      </w:r>
      <m:oMath>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used to model the observed parameter </w:t>
      </w: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k</m:t>
            </m:r>
            <m:r>
              <m:rPr>
                <m:sty m:val="p"/>
              </m:rPr>
              <w:rPr>
                <w:rFonts w:ascii="Cambria Math" w:hAnsi="Cambria Math"/>
              </w:rPr>
              <m:t>,</m:t>
            </m:r>
            <m:r>
              <w:rPr>
                <w:rFonts w:ascii="Cambria Math" w:hAnsi="Cambria Math"/>
              </w:rPr>
              <m:t>i</m:t>
            </m:r>
          </m:sub>
        </m:sSub>
      </m:oMath>
      <w:r>
        <w:t xml:space="preserve"> as:</w:t>
      </w:r>
    </w:p>
    <w:p w:rsidR="007C23A0" w:rsidRDefault="00000000">
      <w:pPr>
        <w:pStyle w:val="Textoindependiente"/>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up>
              <m:r>
                <m:rPr>
                  <m:nor/>
                </m:rPr>
                <m:t xml:space="preserve"> obs</m:t>
              </m:r>
            </m:sup>
          </m:sSubSup>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e>
          </m:d>
        </m:oMath>
      </m:oMathPara>
    </w:p>
    <w:p w:rsidR="007C23A0" w:rsidRDefault="00000000">
      <w:pPr>
        <w:pStyle w:val="FirstParagraph"/>
      </w:pPr>
      <w:r>
        <w:lastRenderedPageBreak/>
        <w:t xml:space="preserve">Then,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further modeled as:</w:t>
      </w:r>
    </w:p>
    <w:p w:rsidR="007C23A0"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e>
          </m:d>
        </m:oMath>
      </m:oMathPara>
    </w:p>
    <w:p w:rsidR="007C23A0" w:rsidRDefault="00000000">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k</m:t>
            </m:r>
          </m:sub>
        </m:sSub>
      </m:oMath>
      <w:r>
        <w:t xml:space="preserve"> is the group-level mean for parameter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represents the subject-level random effect for subject </w:t>
      </w:r>
      <m:oMath>
        <m:r>
          <w:rPr>
            <w:rFonts w:ascii="Cambria Math" w:hAnsi="Cambria Math"/>
          </w:rPr>
          <m:t>i</m:t>
        </m:r>
      </m:oMath>
      <w:r>
        <w:t xml:space="preserve"> on parameter </w:t>
      </w:r>
      <m:oMath>
        <m:r>
          <w:rPr>
            <w:rFonts w:ascii="Cambria Math" w:hAnsi="Cambria Math"/>
          </w:rPr>
          <m:t>k</m:t>
        </m:r>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oMath>
      <w:r>
        <w:t xml:space="preserve"> is the residual variance for parameter </w:t>
      </w:r>
      <m:oMath>
        <m:r>
          <w:rPr>
            <w:rFonts w:ascii="Cambria Math" w:hAnsi="Cambria Math"/>
          </w:rPr>
          <m:t>k</m:t>
        </m:r>
      </m:oMath>
      <w:r>
        <w:t xml:space="preserve">. The subject-level effects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were assumed to be distributed as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with </w:t>
      </w:r>
      <m:oMath>
        <m:r>
          <w:rPr>
            <w:rFonts w:ascii="Cambria Math" w:hAnsi="Cambria Math"/>
          </w:rPr>
          <m:t>σ</m:t>
        </m:r>
      </m:oMath>
      <w:r>
        <w:t xml:space="preserve"> being the standard error of the subject-level effect.</w:t>
      </w:r>
    </w:p>
    <w:p w:rsidR="007C23A0" w:rsidRDefault="00000000">
      <w:pPr>
        <w:pStyle w:val="Textoindependiente"/>
      </w:pPr>
      <w:r>
        <w:t>This hierarchical structure enables us to capture individual variability through subject-level random effects while estimating group-level effects across all parameters, thus providing estimates into subject and population-level model parameters.</w:t>
      </w:r>
    </w:p>
    <w:p w:rsidR="007C23A0" w:rsidRDefault="00000000">
      <w:pPr>
        <w:pStyle w:val="Ttulo2"/>
      </w:pPr>
      <w:bookmarkStart w:id="13" w:name="model-evaluation"/>
      <w:bookmarkEnd w:id="9"/>
      <w:bookmarkEnd w:id="12"/>
      <w:r>
        <w:t>Model Evaluation</w:t>
      </w:r>
    </w:p>
    <w:p w:rsidR="007C23A0" w:rsidRDefault="00000000">
      <w:pPr>
        <w:pStyle w:val="FirstParagraph"/>
      </w:pPr>
      <w:r>
        <w:t>The primary performance metrics included R</w:t>
      </w:r>
      <w:r>
        <w:rPr>
          <w:vertAlign w:val="superscript"/>
        </w:rPr>
        <w:t>2</w:t>
      </w:r>
      <w:r>
        <w:t>, root mean square error (RMSE) and mean absolute percentage error (MAPE), estimated for each subject. Bootstrap resampling across each metric was performed to estimate the mean performance of the model. These metrics were selected for their capacity to assess model capacity to predict the observed RRi and to quantify absolute and relative errors, thereby providing a comprehensive assessment across the varying scales of RRi dynamics, including resting baseline, peak decline, and recovery.</w:t>
      </w:r>
    </w:p>
    <w:p w:rsidR="007C23A0" w:rsidRDefault="00000000">
      <w:pPr>
        <w:pStyle w:val="Textoindependiente"/>
      </w:pPr>
      <w:r>
        <w:t>Also, residual analysis was conducted to evaluate the model’s accuracy in capturing RRi dynamics. Residuals were defined as the difference between observed and predicted RRi values. These residuals were analyzed for temporal structure and partial autocorrelation to ensure that no systematic patterns remained in the errors. This indicates that the model has sufficiently captured the underlying dynamics of the RRi response to exercise.</w:t>
      </w:r>
    </w:p>
    <w:p w:rsidR="007C23A0" w:rsidRDefault="00000000">
      <w:pPr>
        <w:pStyle w:val="Ttulo1"/>
      </w:pPr>
      <w:bookmarkStart w:id="14" w:name="results"/>
      <w:bookmarkEnd w:id="3"/>
      <w:bookmarkEnd w:id="13"/>
      <w:r>
        <w:lastRenderedPageBreak/>
        <w:t>Results</w:t>
      </w:r>
    </w:p>
    <w:p w:rsidR="007C23A0" w:rsidRDefault="00000000">
      <w:pPr>
        <w:pStyle w:val="Ttulo2"/>
      </w:pPr>
      <w:bookmarkStart w:id="15" w:name="X2e57e953e215fb0d726d0baa604f826c2d15ec6"/>
      <w:r>
        <w:t>Non-linear model and deterministic behaviour</w:t>
      </w:r>
    </w:p>
    <w:p w:rsidR="007C23A0" w:rsidRDefault="00000000">
      <w:pPr>
        <w:pStyle w:val="Ttulo3"/>
      </w:pPr>
      <w:bookmarkStart w:id="16" w:name="Xcafefb6bbd35322f561fd8277ca87d67e684c7e"/>
      <w:r>
        <w:t>RRi as a linear combination of logistic functions</w:t>
      </w:r>
    </w:p>
    <w:p w:rsidR="007C23A0" w:rsidRDefault="00000000">
      <w:pPr>
        <w:pStyle w:val="FirstParagraph"/>
      </w:pPr>
      <w:r>
        <w:t xml:space="preserve">According to the proposed model in </w:t>
      </w:r>
      <w:hyperlink w:anchor="eq-main-model">
        <w:r>
          <w:rPr>
            <w:rStyle w:val="Hipervnculo"/>
          </w:rPr>
          <w:t>Equation 1</w:t>
        </w:r>
      </w:hyperlink>
      <w:r>
        <w:t xml:space="preserve">, the dynamics of RRi in response to physical exertion can be represented as a linear combination of a baseline RRi </w:t>
      </w:r>
      <m:oMath>
        <m:r>
          <w:rPr>
            <w:rFonts w:ascii="Cambria Math" w:hAnsi="Cambria Math"/>
          </w:rPr>
          <m:t>α</m:t>
        </m:r>
      </m:oMath>
      <w:r>
        <w:t xml:space="preserve"> and two logistic functions denoted as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The function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models the initial decay in RRi following the initiation of exercise while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characterizes the recovery phase after exercise cessation.</w:t>
      </w:r>
    </w:p>
    <w:p w:rsidR="007C23A0" w:rsidRDefault="00000000">
      <w:pPr>
        <w:pStyle w:val="Textoindependiente"/>
      </w:pPr>
      <w:r>
        <w:t>The fundamental structure of both logistic functions can be expressed as:</w:t>
      </w:r>
    </w:p>
    <w:bookmarkStart w:id="17" w:name="eq-logistic-structure"/>
    <w:p w:rsidR="007C23A0" w:rsidRDefault="00000000">
      <w:pPr>
        <w:pStyle w:val="Textoindependiente"/>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1</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e>
                        </m:d>
                      </m:sup>
                    </m:sSup>
                  </m:den>
                </m:f>
              </m:e>
            </m:mr>
          </m:m>
          <m:r>
            <w:rPr>
              <w:rFonts w:ascii="Cambria Math" w:hAnsi="Cambria Math"/>
            </w:rPr>
            <m:t>  </m:t>
          </m:r>
          <m:d>
            <m:dPr>
              <m:ctrlPr>
                <w:rPr>
                  <w:rFonts w:ascii="Cambria Math" w:hAnsi="Cambria Math"/>
                </w:rPr>
              </m:ctrlPr>
            </m:dPr>
            <m:e>
              <m:r>
                <w:rPr>
                  <w:rFonts w:ascii="Cambria Math" w:hAnsi="Cambria Math"/>
                </w:rPr>
                <m:t>2</m:t>
              </m:r>
            </m:e>
          </m:d>
        </m:oMath>
      </m:oMathPara>
      <w:bookmarkEnd w:id="17"/>
    </w:p>
    <w:p w:rsidR="007C23A0" w:rsidRDefault="00000000">
      <w:pPr>
        <w:pStyle w:val="FirstParagraph"/>
      </w:pPr>
      <w:r>
        <w:t xml:space="preserve">In this equation,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represents the asymptotic value approached by the logistic function, which can be either positive (indicating an increase) or negative (indicating a decrease). For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this parameter is specified as </w:t>
      </w:r>
      <m:oMath>
        <m:r>
          <w:rPr>
            <w:rFonts w:ascii="Cambria Math" w:hAnsi="Cambria Math"/>
          </w:rPr>
          <m:t>β</m:t>
        </m:r>
      </m:oMath>
      <w:r>
        <w:t xml:space="preserve">, indicating the absolute change in RRi at the onset of exercise. In contrast, for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is reparameterized as </w:t>
      </w:r>
      <m:oMath>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m:t>
        </m:r>
      </m:oMath>
      <w:r>
        <w:t xml:space="preserve">, where </w:t>
      </w:r>
      <m:oMath>
        <m:r>
          <w:rPr>
            <w:rFonts w:ascii="Cambria Math" w:hAnsi="Cambria Math"/>
          </w:rPr>
          <m:t>c</m:t>
        </m:r>
      </m:oMath>
      <w:r>
        <w:t xml:space="preserve"> denotes the proportion of change relative to the initial drop indicated by </w:t>
      </w:r>
      <m:oMath>
        <m:r>
          <w:rPr>
            <w:rFonts w:ascii="Cambria Math" w:hAnsi="Cambria Math"/>
          </w:rPr>
          <m:t>β</m:t>
        </m:r>
      </m:oMath>
      <w:r>
        <w:t xml:space="preserve">. This reparameterization ensures that, after the initial decline, the second logistic function facilitates the return of RRi toward the baseline value </w:t>
      </w:r>
      <m:oMath>
        <m:r>
          <w:rPr>
            <w:rFonts w:ascii="Cambria Math" w:hAnsi="Cambria Math"/>
          </w:rPr>
          <m:t>α</m:t>
        </m:r>
      </m:oMath>
      <w:r>
        <w:t>.</w:t>
      </w:r>
    </w:p>
    <w:p w:rsidR="007C23A0" w:rsidRDefault="00000000">
      <w:pPr>
        <w:pStyle w:val="Textoindependiente"/>
      </w:pPr>
      <w:r>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defines the rate at which the specified increase or decrease occurs. This rate parameter is expressed on a logarithmic scale; to convert it to a percentage change per unit of time, it can be scaled as </w:t>
      </w:r>
      <m:oMath>
        <m:r>
          <w:rPr>
            <w:rFonts w:ascii="Cambria Math" w:hAnsi="Cambria Math"/>
          </w:rPr>
          <m:t>1</m:t>
        </m:r>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oMath>
      <w:r>
        <w:t xml:space="preserve">. For instance, a 90% decrease per unit time corresponds to </w:t>
      </w:r>
      <m:oMath>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0.9</m:t>
            </m:r>
          </m:e>
        </m:d>
      </m:oMath>
      <w:r>
        <w:t>, resulting in an approximate value of -2.302585.</w:t>
      </w:r>
    </w:p>
    <w:p w:rsidR="007C23A0" w:rsidRDefault="00000000">
      <w:pPr>
        <w:pStyle w:val="Textoindependiente"/>
      </w:pPr>
      <w:r>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serves as an activation threshold, causing the value within the exponential function, and consequently, the value in the denominator, to increase significantly until reaching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Beyond this point, the denominator approaches 1, allowing the logistic function to attain the asymptotic level determined by the numerator. </w:t>
      </w:r>
      <w:hyperlink w:anchor="fig-linear-constituents">
        <w:r>
          <w:rPr>
            <w:rStyle w:val="Hipervnculo"/>
          </w:rPr>
          <w:t>Figure 2</w:t>
        </w:r>
      </w:hyperlink>
      <w:r>
        <w:t xml:space="preserve"> illustrates the behavior of the model constituents.</w:t>
      </w:r>
    </w:p>
    <w:p w:rsidR="007C23A0" w:rsidRDefault="00000000">
      <w:pPr>
        <w:pStyle w:val="Textoindependiente"/>
      </w:pPr>
      <w:r>
        <w:rPr>
          <w:noProof/>
        </w:rPr>
        <w:lastRenderedPageBreak/>
        <w:drawing>
          <wp:inline distT="0" distB="0" distL="0" distR="0">
            <wp:extent cx="5600700" cy="40005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model-constituents.png"/>
                    <pic:cNvPicPr>
                      <a:picLocks noChangeAspect="1" noChangeArrowheads="1"/>
                    </pic:cNvPicPr>
                  </pic:nvPicPr>
                  <pic:blipFill>
                    <a:blip r:embed="rId7"/>
                    <a:stretch>
                      <a:fillRect/>
                    </a:stretch>
                  </pic:blipFill>
                  <pic:spPr bwMode="auto">
                    <a:xfrm>
                      <a:off x="0" y="0"/>
                      <a:ext cx="5600700" cy="4000500"/>
                    </a:xfrm>
                    <a:prstGeom prst="rect">
                      <a:avLst/>
                    </a:prstGeom>
                    <a:noFill/>
                    <a:ln w="9525">
                      <a:noFill/>
                      <a:headEnd/>
                      <a:tailEnd/>
                    </a:ln>
                  </pic:spPr>
                </pic:pic>
              </a:graphicData>
            </a:graphic>
          </wp:inline>
        </w:drawing>
      </w:r>
    </w:p>
    <w:p w:rsidR="007C23A0" w:rsidRDefault="00000000">
      <w:pPr>
        <w:pStyle w:val="Textoindependiente"/>
      </w:pPr>
      <w:bookmarkStart w:id="18" w:name="fig-linear-constituents"/>
      <w:r>
        <w:rPr>
          <w:b/>
          <w:bCs/>
        </w:rPr>
        <w:t>Figure 2</w:t>
      </w:r>
      <w:bookmarkEnd w:id="18"/>
      <w:r>
        <w:t xml:space="preserve">. The RRi dynamics in response to exercise are expressed as a linear combination of model constituents based on the baseline RRi </w:t>
      </w:r>
      <m:oMath>
        <m:r>
          <w:rPr>
            <w:rFonts w:ascii="Cambria Math" w:hAnsi="Cambria Math"/>
          </w:rPr>
          <m:t>α</m:t>
        </m:r>
      </m:oMath>
      <w:r>
        <w:t xml:space="preserve"> and two logistic functions, denoted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respectively.</w:t>
      </w:r>
    </w:p>
    <w:p w:rsidR="007C23A0" w:rsidRDefault="00000000">
      <w:pPr>
        <w:pStyle w:val="Ttulo3"/>
      </w:pPr>
      <w:bookmarkStart w:id="19" w:name="sensitivity-to-parameter-variability"/>
      <w:bookmarkEnd w:id="16"/>
      <w:r>
        <w:t>Sensitivity to parameter variability</w:t>
      </w:r>
    </w:p>
    <w:p w:rsidR="007C23A0" w:rsidRDefault="00000000">
      <w:pPr>
        <w:pStyle w:val="FirstParagraph"/>
      </w:pPr>
      <w:r>
        <w:t xml:space="preserve">Sobol sensitivity analysis reveals that the parameter </w:t>
      </w:r>
      <m:oMath>
        <m:r>
          <w:rPr>
            <w:rFonts w:ascii="Cambria Math" w:hAnsi="Cambria Math"/>
          </w:rPr>
          <m:t>α</m:t>
        </m:r>
      </m:oMath>
      <w:r>
        <w:t xml:space="preserve"> exerts the most substantial influence on the model’s output, followed by parameters </w:t>
      </w:r>
      <m:oMath>
        <m:r>
          <w:rPr>
            <w:rFonts w:ascii="Cambria Math" w:hAnsi="Cambria Math"/>
          </w:rPr>
          <m:t>c</m:t>
        </m:r>
      </m:oMath>
      <w:r>
        <w:t xml:space="preserve"> and </w:t>
      </w:r>
      <m:oMath>
        <m:r>
          <w:rPr>
            <w:rFonts w:ascii="Cambria Math" w:hAnsi="Cambria Math"/>
          </w:rPr>
          <m:t>δ</m:t>
        </m:r>
      </m:oMath>
      <w:r>
        <w:t xml:space="preserve">. In contrast, parameters </w:t>
      </w:r>
      <m:oMath>
        <m:r>
          <w:rPr>
            <w:rFonts w:ascii="Cambria Math" w:hAnsi="Cambria Math"/>
          </w:rPr>
          <m:t>β</m:t>
        </m:r>
      </m:oMath>
      <w:r>
        <w:t xml:space="preserve">, </w:t>
      </w:r>
      <m:oMath>
        <m:r>
          <w:rPr>
            <w:rFonts w:ascii="Cambria Math" w:hAnsi="Cambria Math"/>
          </w:rPr>
          <m:t>λ</m:t>
        </m:r>
      </m:oMath>
      <w:r>
        <w:t xml:space="preserve">, and </w:t>
      </w:r>
      <m:oMath>
        <m:r>
          <w:rPr>
            <w:rFonts w:ascii="Cambria Math" w:hAnsi="Cambria Math"/>
          </w:rPr>
          <m:t>ϕ</m:t>
        </m:r>
      </m:oMath>
      <w:r>
        <w:t xml:space="preserve"> demonstrate relatively minor effects, with some values crossing zero, indicating negligible influence within the tested parameter ranges.</w:t>
      </w:r>
    </w:p>
    <w:p w:rsidR="007C23A0" w:rsidRDefault="00000000">
      <w:pPr>
        <w:pStyle w:val="Textoindependiente"/>
      </w:pPr>
      <w:r>
        <w:t xml:space="preserve">Individual perturbation of each parameter highlighted that RRi dynamics are sensitive to the baseline RRi parameter, </w:t>
      </w:r>
      <m:oMath>
        <m:r>
          <w:rPr>
            <w:rFonts w:ascii="Cambria Math" w:hAnsi="Cambria Math"/>
          </w:rPr>
          <m:t>α</m:t>
        </m:r>
      </m:oMath>
      <w:r>
        <w:t xml:space="preserve">. Conversely, the rate parameters for the initial decay during exercise, </w:t>
      </w:r>
      <m:oMath>
        <m:r>
          <w:rPr>
            <w:rFonts w:ascii="Cambria Math" w:hAnsi="Cambria Math"/>
          </w:rPr>
          <m:t>λ</m:t>
        </m:r>
      </m:oMath>
      <w:r>
        <w:t xml:space="preserve">, and the recovery post-exercise, </w:t>
      </w:r>
      <m:oMath>
        <m:r>
          <w:rPr>
            <w:rFonts w:ascii="Cambria Math" w:hAnsi="Cambria Math"/>
          </w:rPr>
          <m:t>ϕ</m:t>
        </m:r>
      </m:oMath>
      <w:r>
        <w:t xml:space="preserve">, show lower sensitivity, suggesting that they are not primary sources of variation in predicted RRi trajectories when assessed in isolation. The results of the sensitivity analysis are illustrated in </w:t>
      </w:r>
      <w:hyperlink w:anchor="fig-sensitivity">
        <w:r>
          <w:rPr>
            <w:rStyle w:val="Hipervnculo"/>
          </w:rPr>
          <w:t>Figure 3</w:t>
        </w:r>
      </w:hyperlink>
      <w:r>
        <w:t>.</w:t>
      </w:r>
    </w:p>
    <w:p w:rsidR="007C23A0" w:rsidRDefault="00000000">
      <w:pPr>
        <w:pStyle w:val="Textoindependiente"/>
      </w:pPr>
      <w:r>
        <w:rPr>
          <w:noProof/>
        </w:rPr>
        <w:lastRenderedPageBreak/>
        <w:drawing>
          <wp:inline distT="0" distB="0" distL="0" distR="0">
            <wp:extent cx="5600700" cy="40005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gures/sobol-sensitivity.png"/>
                    <pic:cNvPicPr>
                      <a:picLocks noChangeAspect="1" noChangeArrowheads="1"/>
                    </pic:cNvPicPr>
                  </pic:nvPicPr>
                  <pic:blipFill>
                    <a:blip r:embed="rId8"/>
                    <a:stretch>
                      <a:fillRect/>
                    </a:stretch>
                  </pic:blipFill>
                  <pic:spPr bwMode="auto">
                    <a:xfrm>
                      <a:off x="0" y="0"/>
                      <a:ext cx="5600700" cy="4000500"/>
                    </a:xfrm>
                    <a:prstGeom prst="rect">
                      <a:avLst/>
                    </a:prstGeom>
                    <a:noFill/>
                    <a:ln w="9525">
                      <a:noFill/>
                      <a:headEnd/>
                      <a:tailEnd/>
                    </a:ln>
                  </pic:spPr>
                </pic:pic>
              </a:graphicData>
            </a:graphic>
          </wp:inline>
        </w:drawing>
      </w:r>
    </w:p>
    <w:p w:rsidR="007C23A0" w:rsidRDefault="00000000">
      <w:pPr>
        <w:pStyle w:val="Textoindependiente"/>
      </w:pPr>
      <w:bookmarkStart w:id="20" w:name="fig-sensitivity"/>
      <w:r>
        <w:rPr>
          <w:b/>
          <w:bCs/>
        </w:rPr>
        <w:t>Figure 3</w:t>
      </w:r>
      <w:bookmarkEnd w:id="20"/>
      <w:r>
        <w:t>. Sensitivity analysis results illustrate the impact of parameter variability on model predictions and the percentage of explained variance accounted for each model parameter. Shaded areas represent 95%, 80%, and 60% CI estimated from Monte Carlo samples. Time in the x-axis is truncated at 12 minutes, given that around this time, the proportion of the total variance explained by the respective model parameter stabilizes respective of time.</w:t>
      </w:r>
    </w:p>
    <w:p w:rsidR="007C23A0" w:rsidRDefault="00000000">
      <w:pPr>
        <w:pStyle w:val="Textoindependiente"/>
      </w:pPr>
      <w:r>
        <w:t xml:space="preserve">Despite the limited sensitivity of </w:t>
      </w:r>
      <m:oMath>
        <m:r>
          <w:rPr>
            <w:rFonts w:ascii="Cambria Math" w:hAnsi="Cambria Math"/>
          </w:rPr>
          <m:t>λ</m:t>
        </m:r>
      </m:oMath>
      <w:r>
        <w:t xml:space="preserve"> and </w:t>
      </w:r>
      <m:oMath>
        <m:r>
          <w:rPr>
            <w:rFonts w:ascii="Cambria Math" w:hAnsi="Cambria Math"/>
          </w:rPr>
          <m:t>ϕ</m:t>
        </m:r>
      </m:oMath>
      <w:r>
        <w:t xml:space="preserve"> to mean RRi, these parameters play a pivotal role in determining the rate of change in RRi in response to physical exertion. Therefore, they can significantly affect RRi dynamics over time. </w:t>
      </w:r>
      <w:hyperlink w:anchor="fig-data-sim">
        <w:r>
          <w:rPr>
            <w:rStyle w:val="Hipervnculo"/>
          </w:rPr>
          <w:t>Figure 4</w:t>
        </w:r>
      </w:hyperlink>
      <w:r>
        <w:t xml:space="preserve"> depicts the influence of these rate parameters on RRi fluctuations over time.</w:t>
      </w:r>
    </w:p>
    <w:p w:rsidR="007C23A0" w:rsidRDefault="00000000">
      <w:pPr>
        <w:pStyle w:val="Textoindependiente"/>
      </w:pPr>
      <w:r>
        <w:rPr>
          <w:noProof/>
        </w:rPr>
        <w:lastRenderedPageBreak/>
        <w:drawing>
          <wp:inline distT="0" distB="0" distL="0" distR="0">
            <wp:extent cx="5600700" cy="40005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rate-sensitivity.png"/>
                    <pic:cNvPicPr>
                      <a:picLocks noChangeAspect="1" noChangeArrowheads="1"/>
                    </pic:cNvPicPr>
                  </pic:nvPicPr>
                  <pic:blipFill>
                    <a:blip r:embed="rId9"/>
                    <a:stretch>
                      <a:fillRect/>
                    </a:stretch>
                  </pic:blipFill>
                  <pic:spPr bwMode="auto">
                    <a:xfrm>
                      <a:off x="0" y="0"/>
                      <a:ext cx="5600700" cy="4000500"/>
                    </a:xfrm>
                    <a:prstGeom prst="rect">
                      <a:avLst/>
                    </a:prstGeom>
                    <a:noFill/>
                    <a:ln w="9525">
                      <a:noFill/>
                      <a:headEnd/>
                      <a:tailEnd/>
                    </a:ln>
                  </pic:spPr>
                </pic:pic>
              </a:graphicData>
            </a:graphic>
          </wp:inline>
        </w:drawing>
      </w:r>
    </w:p>
    <w:p w:rsidR="007C23A0" w:rsidRDefault="00000000">
      <w:pPr>
        <w:pStyle w:val="Textoindependiente"/>
      </w:pPr>
      <w:bookmarkStart w:id="21" w:name="fig-data-sim"/>
      <w:r>
        <w:rPr>
          <w:b/>
          <w:bCs/>
        </w:rPr>
        <w:t>Figure 4</w:t>
      </w:r>
      <w:bookmarkEnd w:id="21"/>
      <w:r>
        <w:t xml:space="preserve">. Simulated RRi dynamics during exercise with varying </w:t>
      </w:r>
      <m:oMath>
        <m:r>
          <w:rPr>
            <w:rFonts w:ascii="Cambria Math" w:hAnsi="Cambria Math"/>
          </w:rPr>
          <m:t>λ</m:t>
        </m:r>
      </m:oMath>
      <w:r>
        <w:t xml:space="preserve"> and </w:t>
      </w:r>
      <m:oMath>
        <m:r>
          <w:rPr>
            <w:rFonts w:ascii="Cambria Math" w:hAnsi="Cambria Math"/>
          </w:rPr>
          <m:t>ϕ</m:t>
        </m:r>
      </m:oMath>
      <w:r>
        <w:t xml:space="preserve"> rate parameters expressed as percent change per unit of time. In this simulation, the exercise-induced RRi drop occurs at 5 minutes (</w:t>
      </w:r>
      <m:oMath>
        <m:r>
          <w:rPr>
            <w:rFonts w:ascii="Cambria Math" w:hAnsi="Cambria Math"/>
          </w:rPr>
          <m:t>τ</m:t>
        </m:r>
      </m:oMath>
      <w:r>
        <w:t>), and cardiovascular recovery begins 2 minutes after exercise initiation (</w:t>
      </w:r>
      <m:oMath>
        <m:r>
          <w:rPr>
            <w:rFonts w:ascii="Cambria Math" w:hAnsi="Cambria Math"/>
          </w:rPr>
          <m:t>δ</m:t>
        </m:r>
      </m:oMath>
      <w:r>
        <w:t>). The model assumes a 90% recovery (</w:t>
      </w:r>
      <m:oMath>
        <m:r>
          <w:rPr>
            <w:rFonts w:ascii="Cambria Math" w:hAnsi="Cambria Math"/>
          </w:rPr>
          <m:t>c</m:t>
        </m:r>
      </m:oMath>
      <w:r>
        <w:t xml:space="preserve"> = 0.90) of RRi values following a 400 ms drop (</w:t>
      </w:r>
      <m:oMath>
        <m:r>
          <w:rPr>
            <w:rFonts w:ascii="Cambria Math" w:hAnsi="Cambria Math"/>
          </w:rPr>
          <m:t>β</m:t>
        </m:r>
      </m:oMath>
      <w:r>
        <w:t>) from a baseline of 800 ms (</w:t>
      </w:r>
      <m:oMath>
        <m:r>
          <w:rPr>
            <w:rFonts w:ascii="Cambria Math" w:hAnsi="Cambria Math"/>
          </w:rPr>
          <m:t>α</m:t>
        </m:r>
      </m:oMath>
      <w:r>
        <w:t>).</w:t>
      </w:r>
    </w:p>
    <w:p w:rsidR="007C23A0" w:rsidRDefault="00000000">
      <w:pPr>
        <w:pStyle w:val="Ttulo2"/>
      </w:pPr>
      <w:bookmarkStart w:id="22" w:name="model-behavior-to-real-rri-data"/>
      <w:bookmarkEnd w:id="15"/>
      <w:bookmarkEnd w:id="19"/>
      <w:r>
        <w:t>Model behavior to real RRi data</w:t>
      </w:r>
    </w:p>
    <w:p w:rsidR="007C23A0" w:rsidRDefault="00000000">
      <w:pPr>
        <w:pStyle w:val="Ttulo3"/>
      </w:pPr>
      <w:bookmarkStart w:id="23" w:name="sample-characteristics"/>
      <w:r>
        <w:t>Sample characteristics</w:t>
      </w:r>
    </w:p>
    <w:p w:rsidR="007C23A0" w:rsidRDefault="00000000">
      <w:pPr>
        <w:pStyle w:val="FirstParagraph"/>
      </w:pPr>
      <w:r>
        <w:t xml:space="preserve">The sample used to assess RRi dynamics consists of a group of 272 subjects selected from a local community of elderly individuals. The sample characteristics can be seen in </w:t>
      </w:r>
      <w:hyperlink w:anchor="tbl-sample-characteristics">
        <w:r>
          <w:rPr>
            <w:rStyle w:val="Hipervnculo"/>
          </w:rPr>
          <w:t>Table 2</w:t>
        </w:r>
      </w:hyperlink>
    </w:p>
    <w:tbl>
      <w:tblPr>
        <w:tblStyle w:val="Table"/>
        <w:tblW w:w="0" w:type="auto"/>
        <w:tblLook w:val="0020" w:firstRow="1" w:lastRow="0" w:firstColumn="0" w:lastColumn="0" w:noHBand="0" w:noVBand="0"/>
      </w:tblPr>
      <w:tblGrid>
        <w:gridCol w:w="1630"/>
        <w:gridCol w:w="1668"/>
        <w:gridCol w:w="1668"/>
        <w:gridCol w:w="1668"/>
      </w:tblGrid>
      <w:tr w:rsidR="007C23A0" w:rsidTr="009F3FC9">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000000" w:themeColor="text2"/>
            </w:tcBorders>
          </w:tcPr>
          <w:p w:rsidR="007C23A0" w:rsidRDefault="00000000" w:rsidP="009F3FC9">
            <w:pPr>
              <w:pStyle w:val="Compact"/>
              <w:spacing w:line="240" w:lineRule="auto"/>
              <w:jc w:val="left"/>
            </w:pPr>
            <w:r>
              <w:t>Characteristic</w:t>
            </w:r>
          </w:p>
        </w:tc>
        <w:tc>
          <w:tcPr>
            <w:tcW w:w="0" w:type="auto"/>
            <w:tcBorders>
              <w:top w:val="single" w:sz="4" w:space="0" w:color="000000" w:themeColor="text2"/>
            </w:tcBorders>
          </w:tcPr>
          <w:p w:rsidR="007C23A0" w:rsidRDefault="00000000" w:rsidP="009F3FC9">
            <w:pPr>
              <w:pStyle w:val="Compact"/>
              <w:spacing w:line="240" w:lineRule="auto"/>
              <w:jc w:val="left"/>
            </w:pPr>
            <w:r>
              <w:t>Overall</w:t>
            </w:r>
          </w:p>
        </w:tc>
        <w:tc>
          <w:tcPr>
            <w:tcW w:w="0" w:type="auto"/>
            <w:tcBorders>
              <w:top w:val="single" w:sz="4" w:space="0" w:color="000000" w:themeColor="text2"/>
            </w:tcBorders>
          </w:tcPr>
          <w:p w:rsidR="007C23A0" w:rsidRDefault="00000000" w:rsidP="009F3FC9">
            <w:pPr>
              <w:pStyle w:val="Compact"/>
              <w:spacing w:line="240" w:lineRule="auto"/>
              <w:jc w:val="left"/>
            </w:pPr>
            <w:r>
              <w:t>Female</w:t>
            </w:r>
          </w:p>
        </w:tc>
        <w:tc>
          <w:tcPr>
            <w:tcW w:w="0" w:type="auto"/>
            <w:tcBorders>
              <w:top w:val="single" w:sz="4" w:space="0" w:color="000000" w:themeColor="text2"/>
            </w:tcBorders>
          </w:tcPr>
          <w:p w:rsidR="007C23A0" w:rsidRDefault="00000000" w:rsidP="009F3FC9">
            <w:pPr>
              <w:pStyle w:val="Compact"/>
              <w:spacing w:line="240" w:lineRule="auto"/>
              <w:jc w:val="left"/>
            </w:pPr>
            <w:r>
              <w:t>Male</w:t>
            </w:r>
          </w:p>
        </w:tc>
      </w:tr>
      <w:tr w:rsidR="007C23A0">
        <w:trPr>
          <w:cnfStyle w:val="000000100000" w:firstRow="0" w:lastRow="0" w:firstColumn="0" w:lastColumn="0" w:oddVBand="0" w:evenVBand="0" w:oddHBand="1" w:evenHBand="0" w:firstRowFirstColumn="0" w:firstRowLastColumn="0" w:lastRowFirstColumn="0" w:lastRowLastColumn="0"/>
        </w:trPr>
        <w:tc>
          <w:tcPr>
            <w:tcW w:w="0" w:type="auto"/>
          </w:tcPr>
          <w:p w:rsidR="007C23A0" w:rsidRDefault="00000000" w:rsidP="009F3FC9">
            <w:pPr>
              <w:pStyle w:val="Compact"/>
              <w:spacing w:line="240" w:lineRule="auto"/>
              <w:jc w:val="left"/>
            </w:pPr>
            <w:r>
              <w:t>Sex</w:t>
            </w:r>
          </w:p>
        </w:tc>
        <w:tc>
          <w:tcPr>
            <w:tcW w:w="0" w:type="auto"/>
          </w:tcPr>
          <w:p w:rsidR="007C23A0" w:rsidRDefault="00000000" w:rsidP="009F3FC9">
            <w:pPr>
              <w:pStyle w:val="Compact"/>
              <w:spacing w:line="240" w:lineRule="auto"/>
              <w:jc w:val="left"/>
            </w:pPr>
            <w:r>
              <w:t>—</w:t>
            </w:r>
          </w:p>
        </w:tc>
        <w:tc>
          <w:tcPr>
            <w:tcW w:w="0" w:type="auto"/>
          </w:tcPr>
          <w:p w:rsidR="007C23A0" w:rsidRDefault="00000000" w:rsidP="009F3FC9">
            <w:pPr>
              <w:pStyle w:val="Compact"/>
              <w:spacing w:line="240" w:lineRule="auto"/>
              <w:jc w:val="left"/>
            </w:pPr>
            <w:r>
              <w:t>217 (79.8%)</w:t>
            </w:r>
          </w:p>
        </w:tc>
        <w:tc>
          <w:tcPr>
            <w:tcW w:w="0" w:type="auto"/>
          </w:tcPr>
          <w:p w:rsidR="007C23A0" w:rsidRDefault="00000000" w:rsidP="009F3FC9">
            <w:pPr>
              <w:pStyle w:val="Compact"/>
              <w:spacing w:line="240" w:lineRule="auto"/>
              <w:jc w:val="left"/>
            </w:pPr>
            <w:r>
              <w:t>55 (20.2%)</w:t>
            </w:r>
          </w:p>
        </w:tc>
      </w:tr>
      <w:tr w:rsidR="007C23A0">
        <w:tc>
          <w:tcPr>
            <w:tcW w:w="0" w:type="auto"/>
          </w:tcPr>
          <w:p w:rsidR="007C23A0" w:rsidRDefault="00000000" w:rsidP="009F3FC9">
            <w:pPr>
              <w:pStyle w:val="Compact"/>
              <w:spacing w:line="240" w:lineRule="auto"/>
              <w:jc w:val="left"/>
            </w:pPr>
            <w:r>
              <w:t>Age</w:t>
            </w:r>
          </w:p>
        </w:tc>
        <w:tc>
          <w:tcPr>
            <w:tcW w:w="0" w:type="auto"/>
          </w:tcPr>
          <w:p w:rsidR="007C23A0" w:rsidRDefault="00000000" w:rsidP="009F3FC9">
            <w:pPr>
              <w:pStyle w:val="Compact"/>
              <w:spacing w:line="240" w:lineRule="auto"/>
              <w:jc w:val="left"/>
            </w:pPr>
            <w:r>
              <w:t>71.14 ± 6.03</w:t>
            </w:r>
          </w:p>
        </w:tc>
        <w:tc>
          <w:tcPr>
            <w:tcW w:w="0" w:type="auto"/>
          </w:tcPr>
          <w:p w:rsidR="007C23A0" w:rsidRDefault="00000000" w:rsidP="009F3FC9">
            <w:pPr>
              <w:pStyle w:val="Compact"/>
              <w:spacing w:line="240" w:lineRule="auto"/>
              <w:jc w:val="left"/>
            </w:pPr>
            <w:r>
              <w:t>70.73 ± 6.27</w:t>
            </w:r>
          </w:p>
        </w:tc>
        <w:tc>
          <w:tcPr>
            <w:tcW w:w="0" w:type="auto"/>
          </w:tcPr>
          <w:p w:rsidR="007C23A0" w:rsidRDefault="00000000" w:rsidP="009F3FC9">
            <w:pPr>
              <w:pStyle w:val="Compact"/>
              <w:spacing w:line="240" w:lineRule="auto"/>
              <w:jc w:val="left"/>
            </w:pPr>
            <w:r>
              <w:t>72.73 ± 4.7</w:t>
            </w:r>
          </w:p>
        </w:tc>
      </w:tr>
      <w:tr w:rsidR="007C23A0">
        <w:trPr>
          <w:cnfStyle w:val="000000100000" w:firstRow="0" w:lastRow="0" w:firstColumn="0" w:lastColumn="0" w:oddVBand="0" w:evenVBand="0" w:oddHBand="1" w:evenHBand="0" w:firstRowFirstColumn="0" w:firstRowLastColumn="0" w:lastRowFirstColumn="0" w:lastRowLastColumn="0"/>
        </w:trPr>
        <w:tc>
          <w:tcPr>
            <w:tcW w:w="0" w:type="auto"/>
          </w:tcPr>
          <w:p w:rsidR="007C23A0" w:rsidRDefault="00000000" w:rsidP="009F3FC9">
            <w:pPr>
              <w:pStyle w:val="Compact"/>
              <w:spacing w:line="240" w:lineRule="auto"/>
              <w:jc w:val="left"/>
            </w:pPr>
            <w:r>
              <w:t>SBP (mm hg)</w:t>
            </w:r>
          </w:p>
        </w:tc>
        <w:tc>
          <w:tcPr>
            <w:tcW w:w="0" w:type="auto"/>
          </w:tcPr>
          <w:p w:rsidR="007C23A0" w:rsidRDefault="00000000" w:rsidP="009F3FC9">
            <w:pPr>
              <w:pStyle w:val="Compact"/>
              <w:spacing w:line="240" w:lineRule="auto"/>
              <w:jc w:val="left"/>
            </w:pPr>
            <w:r>
              <w:t>130.23 ± 17.07</w:t>
            </w:r>
          </w:p>
        </w:tc>
        <w:tc>
          <w:tcPr>
            <w:tcW w:w="0" w:type="auto"/>
          </w:tcPr>
          <w:p w:rsidR="007C23A0" w:rsidRDefault="00000000" w:rsidP="009F3FC9">
            <w:pPr>
              <w:pStyle w:val="Compact"/>
              <w:spacing w:line="240" w:lineRule="auto"/>
              <w:jc w:val="left"/>
            </w:pPr>
            <w:r>
              <w:t>129.58 ± 17.37</w:t>
            </w:r>
          </w:p>
        </w:tc>
        <w:tc>
          <w:tcPr>
            <w:tcW w:w="0" w:type="auto"/>
          </w:tcPr>
          <w:p w:rsidR="007C23A0" w:rsidRDefault="00000000" w:rsidP="009F3FC9">
            <w:pPr>
              <w:pStyle w:val="Compact"/>
              <w:spacing w:line="240" w:lineRule="auto"/>
              <w:jc w:val="left"/>
            </w:pPr>
            <w:r>
              <w:t>132.8 ± 15.69</w:t>
            </w:r>
          </w:p>
        </w:tc>
      </w:tr>
      <w:tr w:rsidR="007C23A0">
        <w:tc>
          <w:tcPr>
            <w:tcW w:w="0" w:type="auto"/>
          </w:tcPr>
          <w:p w:rsidR="007C23A0" w:rsidRDefault="00000000" w:rsidP="009F3FC9">
            <w:pPr>
              <w:pStyle w:val="Compact"/>
              <w:spacing w:line="240" w:lineRule="auto"/>
              <w:jc w:val="left"/>
            </w:pPr>
            <w:r>
              <w:t>DBP (mm hg)</w:t>
            </w:r>
          </w:p>
        </w:tc>
        <w:tc>
          <w:tcPr>
            <w:tcW w:w="0" w:type="auto"/>
          </w:tcPr>
          <w:p w:rsidR="007C23A0" w:rsidRDefault="00000000" w:rsidP="009F3FC9">
            <w:pPr>
              <w:pStyle w:val="Compact"/>
              <w:spacing w:line="240" w:lineRule="auto"/>
              <w:jc w:val="left"/>
            </w:pPr>
            <w:r>
              <w:t>77.1 ± 9.58</w:t>
            </w:r>
          </w:p>
        </w:tc>
        <w:tc>
          <w:tcPr>
            <w:tcW w:w="0" w:type="auto"/>
          </w:tcPr>
          <w:p w:rsidR="007C23A0" w:rsidRDefault="00000000" w:rsidP="009F3FC9">
            <w:pPr>
              <w:pStyle w:val="Compact"/>
              <w:spacing w:line="240" w:lineRule="auto"/>
              <w:jc w:val="left"/>
            </w:pPr>
            <w:r>
              <w:t>76.68 ± 9.83</w:t>
            </w:r>
          </w:p>
        </w:tc>
        <w:tc>
          <w:tcPr>
            <w:tcW w:w="0" w:type="auto"/>
          </w:tcPr>
          <w:p w:rsidR="007C23A0" w:rsidRDefault="00000000" w:rsidP="009F3FC9">
            <w:pPr>
              <w:pStyle w:val="Compact"/>
              <w:spacing w:line="240" w:lineRule="auto"/>
              <w:jc w:val="left"/>
            </w:pPr>
            <w:r>
              <w:t>78.75 ± 8.4</w:t>
            </w:r>
          </w:p>
        </w:tc>
      </w:tr>
      <w:tr w:rsidR="007C23A0">
        <w:trPr>
          <w:cnfStyle w:val="000000100000" w:firstRow="0" w:lastRow="0" w:firstColumn="0" w:lastColumn="0" w:oddVBand="0" w:evenVBand="0" w:oddHBand="1" w:evenHBand="0" w:firstRowFirstColumn="0" w:firstRowLastColumn="0" w:lastRowFirstColumn="0" w:lastRowLastColumn="0"/>
        </w:trPr>
        <w:tc>
          <w:tcPr>
            <w:tcW w:w="0" w:type="auto"/>
          </w:tcPr>
          <w:p w:rsidR="007C23A0" w:rsidRDefault="00000000" w:rsidP="009F3FC9">
            <w:pPr>
              <w:pStyle w:val="Compact"/>
              <w:spacing w:line="240" w:lineRule="auto"/>
              <w:jc w:val="left"/>
            </w:pPr>
            <w:r>
              <w:lastRenderedPageBreak/>
              <w:t>MAP (mm hg)</w:t>
            </w:r>
          </w:p>
        </w:tc>
        <w:tc>
          <w:tcPr>
            <w:tcW w:w="0" w:type="auto"/>
          </w:tcPr>
          <w:p w:rsidR="007C23A0" w:rsidRDefault="00000000" w:rsidP="009F3FC9">
            <w:pPr>
              <w:pStyle w:val="Compact"/>
              <w:spacing w:line="240" w:lineRule="auto"/>
              <w:jc w:val="left"/>
            </w:pPr>
            <w:r>
              <w:t>94.81 ± 10.69</w:t>
            </w:r>
          </w:p>
        </w:tc>
        <w:tc>
          <w:tcPr>
            <w:tcW w:w="0" w:type="auto"/>
          </w:tcPr>
          <w:p w:rsidR="007C23A0" w:rsidRDefault="00000000" w:rsidP="009F3FC9">
            <w:pPr>
              <w:pStyle w:val="Compact"/>
              <w:spacing w:line="240" w:lineRule="auto"/>
              <w:jc w:val="left"/>
            </w:pPr>
            <w:r>
              <w:t>94.31 ± 10.95</w:t>
            </w:r>
          </w:p>
        </w:tc>
        <w:tc>
          <w:tcPr>
            <w:tcW w:w="0" w:type="auto"/>
          </w:tcPr>
          <w:p w:rsidR="007C23A0" w:rsidRDefault="00000000" w:rsidP="009F3FC9">
            <w:pPr>
              <w:pStyle w:val="Compact"/>
              <w:spacing w:line="240" w:lineRule="auto"/>
              <w:jc w:val="left"/>
            </w:pPr>
            <w:r>
              <w:t>96.76 ± 9.45</w:t>
            </w:r>
          </w:p>
        </w:tc>
      </w:tr>
      <w:tr w:rsidR="007C23A0">
        <w:tc>
          <w:tcPr>
            <w:tcW w:w="0" w:type="auto"/>
          </w:tcPr>
          <w:p w:rsidR="007C23A0" w:rsidRDefault="00000000" w:rsidP="009F3FC9">
            <w:pPr>
              <w:pStyle w:val="Compact"/>
              <w:spacing w:line="240" w:lineRule="auto"/>
              <w:jc w:val="left"/>
            </w:pPr>
            <w:r>
              <w:t>PP (mm hg)</w:t>
            </w:r>
          </w:p>
        </w:tc>
        <w:tc>
          <w:tcPr>
            <w:tcW w:w="0" w:type="auto"/>
          </w:tcPr>
          <w:p w:rsidR="007C23A0" w:rsidRDefault="00000000" w:rsidP="009F3FC9">
            <w:pPr>
              <w:pStyle w:val="Compact"/>
              <w:spacing w:line="240" w:lineRule="auto"/>
              <w:jc w:val="left"/>
            </w:pPr>
            <w:r>
              <w:t>53.14 ± 14.07</w:t>
            </w:r>
          </w:p>
        </w:tc>
        <w:tc>
          <w:tcPr>
            <w:tcW w:w="0" w:type="auto"/>
          </w:tcPr>
          <w:p w:rsidR="007C23A0" w:rsidRDefault="00000000" w:rsidP="009F3FC9">
            <w:pPr>
              <w:pStyle w:val="Compact"/>
              <w:spacing w:line="240" w:lineRule="auto"/>
              <w:jc w:val="left"/>
            </w:pPr>
            <w:r>
              <w:t>52.9 ± 14.26</w:t>
            </w:r>
          </w:p>
        </w:tc>
        <w:tc>
          <w:tcPr>
            <w:tcW w:w="0" w:type="auto"/>
          </w:tcPr>
          <w:p w:rsidR="007C23A0" w:rsidRDefault="00000000" w:rsidP="009F3FC9">
            <w:pPr>
              <w:pStyle w:val="Compact"/>
              <w:spacing w:line="240" w:lineRule="auto"/>
              <w:jc w:val="left"/>
            </w:pPr>
            <w:r>
              <w:t>54.05 ± 13.38</w:t>
            </w:r>
          </w:p>
        </w:tc>
      </w:tr>
      <w:tr w:rsidR="007C23A0">
        <w:trPr>
          <w:cnfStyle w:val="000000100000" w:firstRow="0" w:lastRow="0" w:firstColumn="0" w:lastColumn="0" w:oddVBand="0" w:evenVBand="0" w:oddHBand="1" w:evenHBand="0" w:firstRowFirstColumn="0" w:firstRowLastColumn="0" w:lastRowFirstColumn="0" w:lastRowLastColumn="0"/>
        </w:trPr>
        <w:tc>
          <w:tcPr>
            <w:tcW w:w="0" w:type="auto"/>
          </w:tcPr>
          <w:p w:rsidR="007C23A0" w:rsidRDefault="00000000" w:rsidP="009F3FC9">
            <w:pPr>
              <w:pStyle w:val="Compact"/>
              <w:spacing w:line="240" w:lineRule="auto"/>
              <w:jc w:val="left"/>
            </w:pPr>
            <w:r>
              <w:t>BMI</w:t>
            </w:r>
          </w:p>
        </w:tc>
        <w:tc>
          <w:tcPr>
            <w:tcW w:w="0" w:type="auto"/>
          </w:tcPr>
          <w:p w:rsidR="007C23A0" w:rsidRDefault="00000000" w:rsidP="009F3FC9">
            <w:pPr>
              <w:pStyle w:val="Compact"/>
              <w:spacing w:line="240" w:lineRule="auto"/>
              <w:jc w:val="left"/>
            </w:pPr>
            <w:r>
              <w:t>30.66 ± 5.43</w:t>
            </w:r>
          </w:p>
        </w:tc>
        <w:tc>
          <w:tcPr>
            <w:tcW w:w="0" w:type="auto"/>
          </w:tcPr>
          <w:p w:rsidR="007C23A0" w:rsidRDefault="00000000" w:rsidP="009F3FC9">
            <w:pPr>
              <w:pStyle w:val="Compact"/>
              <w:spacing w:line="240" w:lineRule="auto"/>
              <w:jc w:val="left"/>
            </w:pPr>
            <w:r>
              <w:t>30.7 ± 5.64</w:t>
            </w:r>
          </w:p>
        </w:tc>
        <w:tc>
          <w:tcPr>
            <w:tcW w:w="0" w:type="auto"/>
          </w:tcPr>
          <w:p w:rsidR="007C23A0" w:rsidRDefault="00000000" w:rsidP="009F3FC9">
            <w:pPr>
              <w:pStyle w:val="Compact"/>
              <w:spacing w:line="240" w:lineRule="auto"/>
              <w:jc w:val="left"/>
            </w:pPr>
            <w:r>
              <w:t>30.53 ± 4.53</w:t>
            </w:r>
          </w:p>
        </w:tc>
      </w:tr>
      <w:tr w:rsidR="007C23A0">
        <w:tc>
          <w:tcPr>
            <w:tcW w:w="0" w:type="auto"/>
          </w:tcPr>
          <w:p w:rsidR="007C23A0" w:rsidRDefault="00000000" w:rsidP="009F3FC9">
            <w:pPr>
              <w:pStyle w:val="Compact"/>
              <w:spacing w:line="240" w:lineRule="auto"/>
              <w:jc w:val="left"/>
            </w:pPr>
            <w:r>
              <w:t>Weight (kg)</w:t>
            </w:r>
          </w:p>
        </w:tc>
        <w:tc>
          <w:tcPr>
            <w:tcW w:w="0" w:type="auto"/>
          </w:tcPr>
          <w:p w:rsidR="007C23A0" w:rsidRDefault="00000000" w:rsidP="009F3FC9">
            <w:pPr>
              <w:pStyle w:val="Compact"/>
              <w:spacing w:line="240" w:lineRule="auto"/>
              <w:jc w:val="left"/>
            </w:pPr>
            <w:r>
              <w:t>75.06 ± 14.23</w:t>
            </w:r>
          </w:p>
        </w:tc>
        <w:tc>
          <w:tcPr>
            <w:tcW w:w="0" w:type="auto"/>
          </w:tcPr>
          <w:p w:rsidR="007C23A0" w:rsidRDefault="00000000" w:rsidP="009F3FC9">
            <w:pPr>
              <w:pStyle w:val="Compact"/>
              <w:spacing w:line="240" w:lineRule="auto"/>
              <w:jc w:val="left"/>
            </w:pPr>
            <w:r>
              <w:t>73.88 ± 14.09</w:t>
            </w:r>
          </w:p>
        </w:tc>
        <w:tc>
          <w:tcPr>
            <w:tcW w:w="0" w:type="auto"/>
          </w:tcPr>
          <w:p w:rsidR="007C23A0" w:rsidRDefault="00000000" w:rsidP="009F3FC9">
            <w:pPr>
              <w:pStyle w:val="Compact"/>
              <w:spacing w:line="240" w:lineRule="auto"/>
              <w:jc w:val="left"/>
            </w:pPr>
            <w:r>
              <w:t>79.69 ± 13.95</w:t>
            </w:r>
          </w:p>
        </w:tc>
      </w:tr>
      <w:tr w:rsidR="007C23A0" w:rsidTr="009F3FC9">
        <w:trPr>
          <w:cnfStyle w:val="000000100000" w:firstRow="0" w:lastRow="0" w:firstColumn="0" w:lastColumn="0" w:oddVBand="0" w:evenVBand="0" w:oddHBand="1" w:evenHBand="0" w:firstRowFirstColumn="0" w:firstRowLastColumn="0" w:lastRowFirstColumn="0" w:lastRowLastColumn="0"/>
        </w:trPr>
        <w:tc>
          <w:tcPr>
            <w:tcW w:w="0" w:type="auto"/>
            <w:tcBorders>
              <w:bottom w:val="single" w:sz="4" w:space="0" w:color="auto"/>
            </w:tcBorders>
          </w:tcPr>
          <w:p w:rsidR="007C23A0" w:rsidRDefault="00000000" w:rsidP="009F3FC9">
            <w:pPr>
              <w:pStyle w:val="Compact"/>
              <w:spacing w:line="240" w:lineRule="auto"/>
              <w:jc w:val="left"/>
            </w:pPr>
            <w:r>
              <w:t>Height (cm)</w:t>
            </w:r>
          </w:p>
        </w:tc>
        <w:tc>
          <w:tcPr>
            <w:tcW w:w="0" w:type="auto"/>
            <w:tcBorders>
              <w:bottom w:val="single" w:sz="4" w:space="0" w:color="auto"/>
            </w:tcBorders>
          </w:tcPr>
          <w:p w:rsidR="007C23A0" w:rsidRDefault="00000000" w:rsidP="009F3FC9">
            <w:pPr>
              <w:pStyle w:val="Compact"/>
              <w:spacing w:line="240" w:lineRule="auto"/>
              <w:jc w:val="left"/>
            </w:pPr>
            <w:r>
              <w:t>156.56 ± 9.18</w:t>
            </w:r>
          </w:p>
        </w:tc>
        <w:tc>
          <w:tcPr>
            <w:tcW w:w="0" w:type="auto"/>
            <w:tcBorders>
              <w:bottom w:val="single" w:sz="4" w:space="0" w:color="auto"/>
            </w:tcBorders>
          </w:tcPr>
          <w:p w:rsidR="007C23A0" w:rsidRDefault="00000000" w:rsidP="009F3FC9">
            <w:pPr>
              <w:pStyle w:val="Compact"/>
              <w:spacing w:line="240" w:lineRule="auto"/>
              <w:jc w:val="left"/>
            </w:pPr>
            <w:r>
              <w:t>155.29 ± 8.46</w:t>
            </w:r>
          </w:p>
        </w:tc>
        <w:tc>
          <w:tcPr>
            <w:tcW w:w="0" w:type="auto"/>
            <w:tcBorders>
              <w:bottom w:val="single" w:sz="4" w:space="0" w:color="auto"/>
            </w:tcBorders>
          </w:tcPr>
          <w:p w:rsidR="007C23A0" w:rsidRDefault="00000000" w:rsidP="009F3FC9">
            <w:pPr>
              <w:pStyle w:val="Compact"/>
              <w:spacing w:line="240" w:lineRule="auto"/>
              <w:jc w:val="left"/>
            </w:pPr>
            <w:r>
              <w:t>161.55 ± 10.24</w:t>
            </w:r>
          </w:p>
        </w:tc>
      </w:tr>
    </w:tbl>
    <w:p w:rsidR="007C23A0" w:rsidRDefault="00000000">
      <w:pPr>
        <w:pStyle w:val="Textoindependiente"/>
      </w:pPr>
      <w:bookmarkStart w:id="24" w:name="tbl-sample-characteristics"/>
      <w:r>
        <w:rPr>
          <w:b/>
          <w:bCs/>
        </w:rPr>
        <w:t>Table 2</w:t>
      </w:r>
      <w:bookmarkEnd w:id="24"/>
      <w:r>
        <w:t>. Sample characteristics from which, continuous RRi monitoring data was collected during a rest-exercise-rest protocol. Data is presented as Mean ± SD.</w:t>
      </w:r>
    </w:p>
    <w:p w:rsidR="007C23A0" w:rsidRDefault="00000000">
      <w:pPr>
        <w:pStyle w:val="Textoindependiente"/>
      </w:pPr>
      <w:r>
        <w:t xml:space="preserve">Initial exploration of RRi dynamics using two-dimensional density kernel estimation (see </w:t>
      </w:r>
      <w:hyperlink w:anchor="fig-2d-kernel-density">
        <w:r>
          <w:rPr>
            <w:rStyle w:val="Hipervnculo"/>
          </w:rPr>
          <w:t>Figure 5</w:t>
        </w:r>
      </w:hyperlink>
      <w:r>
        <w:t>) indicates a clear drop in RRi around the 5-7 minutes mark, associated the exercise-induced cardiovascular stress. However, greater variability across individuals in post-exercise recovery can be observed.</w:t>
      </w:r>
    </w:p>
    <w:p w:rsidR="007C23A0" w:rsidRDefault="00000000">
      <w:pPr>
        <w:pStyle w:val="Textoindependiente"/>
      </w:pPr>
      <w:r>
        <w:rPr>
          <w:noProof/>
        </w:rPr>
        <w:drawing>
          <wp:inline distT="0" distB="0" distL="0" distR="0">
            <wp:extent cx="5600700" cy="32004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gures/2d-density-kernel.png"/>
                    <pic:cNvPicPr>
                      <a:picLocks noChangeAspect="1" noChangeArrowheads="1"/>
                    </pic:cNvPicPr>
                  </pic:nvPicPr>
                  <pic:blipFill>
                    <a:blip r:embed="rId10"/>
                    <a:stretch>
                      <a:fillRect/>
                    </a:stretch>
                  </pic:blipFill>
                  <pic:spPr bwMode="auto">
                    <a:xfrm>
                      <a:off x="0" y="0"/>
                      <a:ext cx="5600700" cy="3200400"/>
                    </a:xfrm>
                    <a:prstGeom prst="rect">
                      <a:avLst/>
                    </a:prstGeom>
                    <a:noFill/>
                    <a:ln w="9525">
                      <a:noFill/>
                      <a:headEnd/>
                      <a:tailEnd/>
                    </a:ln>
                  </pic:spPr>
                </pic:pic>
              </a:graphicData>
            </a:graphic>
          </wp:inline>
        </w:drawing>
      </w:r>
    </w:p>
    <w:p w:rsidR="007C23A0" w:rsidRDefault="00000000">
      <w:pPr>
        <w:pStyle w:val="Textoindependiente"/>
      </w:pPr>
      <w:bookmarkStart w:id="25" w:name="fig-2d-kernel-density"/>
      <w:r>
        <w:rPr>
          <w:b/>
          <w:bCs/>
        </w:rPr>
        <w:t>Figure 5</w:t>
      </w:r>
      <w:bookmarkEnd w:id="25"/>
      <w:r>
        <w:t>. Left panel shows the mean and standard deviation (SD) from each of the subject’s RRi recordings, used for the standardization process. Right panel indicates the 2D kernel density of standardized RRi dynamics over time from a sample of individuals subjected to the rest-exercise-rest protocol. Darker colors indicate greater probability density. The contrary can be said about lighter colors.</w:t>
      </w:r>
    </w:p>
    <w:p w:rsidR="007C23A0" w:rsidRDefault="00000000">
      <w:pPr>
        <w:pStyle w:val="Ttulo3"/>
      </w:pPr>
      <w:bookmarkStart w:id="26" w:name="model-performance"/>
      <w:bookmarkEnd w:id="23"/>
      <w:r>
        <w:lastRenderedPageBreak/>
        <w:t>Model performance</w:t>
      </w:r>
    </w:p>
    <w:p w:rsidR="007C23A0" w:rsidRDefault="00000000">
      <w:pPr>
        <w:pStyle w:val="FirstParagraph"/>
      </w:pPr>
      <w:r>
        <w:t>Relative performance metrics, estimated through bootstrapped resampling, suggest that the model tends to deviate a 3.4% (CI</w:t>
      </w:r>
      <w:r>
        <w:rPr>
          <w:vertAlign w:val="subscript"/>
        </w:rPr>
        <w:t>95%</w:t>
      </w:r>
      <w:r>
        <w:t>[3.06, 3.81]) from the observed RRi data. This is equivalent to a 32.6 ms in the RRi scale (CI</w:t>
      </w:r>
      <w:r>
        <w:rPr>
          <w:vertAlign w:val="subscript"/>
        </w:rPr>
        <w:t>95%</w:t>
      </w:r>
      <w:r>
        <w:t xml:space="preserve">[30.01, 35.77]). Residuals analysis showed that the estimated partial correlation function (ACF) from the model residuals indicates a correlation among non-explained errors greater than 0.1 up to the 5th lag. However, the partial ACF is significant (CI-wise) and strictly positive or negative up to the second lag. Correlations among model residuals against other time indices remained insignificant (see </w:t>
      </w:r>
      <w:hyperlink w:anchor="fig-error-rates">
        <w:r>
          <w:rPr>
            <w:rStyle w:val="Hipervnculo"/>
          </w:rPr>
          <w:t>Figure 6</w:t>
        </w:r>
      </w:hyperlink>
      <w:r>
        <w:t>).</w:t>
      </w:r>
    </w:p>
    <w:p w:rsidR="007C23A0" w:rsidRDefault="00000000">
      <w:pPr>
        <w:pStyle w:val="Textoindependiente"/>
      </w:pPr>
      <w:r>
        <w:rPr>
          <w:noProof/>
        </w:rPr>
        <w:drawing>
          <wp:inline distT="0" distB="0" distL="0" distR="0">
            <wp:extent cx="5600700" cy="40005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figures/error-estimates.png"/>
                    <pic:cNvPicPr>
                      <a:picLocks noChangeAspect="1" noChangeArrowheads="1"/>
                    </pic:cNvPicPr>
                  </pic:nvPicPr>
                  <pic:blipFill>
                    <a:blip r:embed="rId11"/>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27" w:name="fig-error-rates"/>
      <w:r>
        <w:rPr>
          <w:b/>
          <w:bCs/>
        </w:rPr>
        <w:t>Figure 6</w:t>
      </w:r>
      <w:bookmarkEnd w:id="27"/>
      <w:r>
        <w:t>. Individual-level performance metrics. Left upper panels indicates bootstrapped MAPE and RMSE, as metrics of relative and absolute model deviance from observed RRi. Upper right panel shows the individual-level estimates of model performance and the relationship between them. Lower panel indicates the partial autocorrelation function (ACF) of model residuals with corresponding quantile-based CI.</w:t>
      </w:r>
    </w:p>
    <w:p w:rsidR="007C23A0" w:rsidRDefault="00000000">
      <w:pPr>
        <w:pStyle w:val="Ttulo3"/>
      </w:pPr>
      <w:bookmarkStart w:id="28" w:name="group-level-estimates"/>
      <w:bookmarkEnd w:id="26"/>
      <w:r>
        <w:lastRenderedPageBreak/>
        <w:t>Group-level estimates</w:t>
      </w:r>
    </w:p>
    <w:p w:rsidR="007C23A0" w:rsidRDefault="00000000">
      <w:pPr>
        <w:pStyle w:val="FirstParagraph"/>
      </w:pPr>
      <w:r>
        <w:t>Once subject-level RRi data was fitted using the proposed non-lineaer equation, a population-parameter value was estimated with a generalized hierarchical model with measurement error as part of an interdependent stochastic process using the mean and standard error of the estimated posterior distribution of the subject-level parameter, derived from HMC-NUTS.</w:t>
      </w:r>
    </w:p>
    <w:p w:rsidR="007C23A0" w:rsidRDefault="00000000">
      <w:pPr>
        <w:pStyle w:val="Textoindependiente"/>
      </w:pPr>
      <w:r>
        <w:t xml:space="preserve">The </w:t>
      </w:r>
      <m:oMath>
        <m:r>
          <w:rPr>
            <w:rFonts w:ascii="Cambria Math" w:hAnsi="Cambria Math"/>
          </w:rPr>
          <m:t>alpha</m:t>
        </m:r>
      </m:oMath>
      <w:r>
        <w:t xml:space="preserve"> parameter, associated with the baseline RRi before exercise, was estimated at 861.8 ms CI</w:t>
      </w:r>
      <w:r>
        <w:rPr>
          <w:vertAlign w:val="subscript"/>
        </w:rPr>
        <w:t>95%</w:t>
      </w:r>
      <w:r>
        <w:t xml:space="preserve">[850.6, 872.9]. The </w:t>
      </w:r>
      <m:oMath>
        <m:r>
          <w:rPr>
            <w:rFonts w:ascii="Cambria Math" w:hAnsi="Cambria Math"/>
          </w:rPr>
          <m:t>beta</m:t>
        </m:r>
      </m:oMath>
      <w:r>
        <w:t xml:space="preserve"> parameter, which indicates exercise-induced drop in RRi, was estimated at -345.5 ms CI</w:t>
      </w:r>
      <w:r>
        <w:rPr>
          <w:vertAlign w:val="subscript"/>
        </w:rPr>
        <w:t>95%</w:t>
      </w:r>
      <w:r>
        <w:t xml:space="preserve">[-359.8, -331.0]. The proportion of recovery </w:t>
      </w:r>
      <m:oMath>
        <m:r>
          <w:rPr>
            <w:rFonts w:ascii="Cambria Math" w:hAnsi="Cambria Math"/>
          </w:rPr>
          <m:t>c</m:t>
        </m:r>
      </m:oMath>
      <w:r>
        <w:t xml:space="preserve">, which can be expressed a the magnitude relative to </w:t>
      </w:r>
      <m:oMath>
        <m:r>
          <w:rPr>
            <w:rFonts w:ascii="Cambria Math" w:hAnsi="Cambria Math"/>
          </w:rPr>
          <m:t>beta</m:t>
        </m:r>
      </m:oMath>
      <w:r>
        <w:t xml:space="preserve"> after exercise cessation, was estimated at 0.84 CI</w:t>
      </w:r>
      <w:r>
        <w:rPr>
          <w:vertAlign w:val="subscript"/>
        </w:rPr>
        <w:t>95%</w:t>
      </w:r>
      <w:r>
        <w:t>[0.823, 0.856].</w:t>
      </w:r>
    </w:p>
    <w:p w:rsidR="007C23A0" w:rsidRDefault="00000000">
      <w:pPr>
        <w:pStyle w:val="Textoindependiente"/>
      </w:pPr>
      <w:r>
        <w:t xml:space="preserve">The rate parameters </w:t>
      </w:r>
      <m:oMath>
        <m:r>
          <w:rPr>
            <w:rFonts w:ascii="Cambria Math" w:hAnsi="Cambria Math"/>
          </w:rPr>
          <m:t>λ</m:t>
        </m:r>
      </m:oMath>
      <w:r>
        <w:t xml:space="preserve"> and </w:t>
      </w:r>
      <m:oMath>
        <m:r>
          <w:rPr>
            <w:rFonts w:ascii="Cambria Math" w:hAnsi="Cambria Math"/>
          </w:rPr>
          <m:t>ϕ</m:t>
        </m:r>
      </m:oMath>
      <w:r>
        <w:t>, associated with the velocity of RRi drop and recovery, were estimated at -3.05 CI</w:t>
      </w:r>
      <w:r>
        <w:rPr>
          <w:vertAlign w:val="subscript"/>
        </w:rPr>
        <w:t>95%</w:t>
      </w:r>
      <w:r>
        <w:t>[-3.16, -2.94] and -2.60 CI</w:t>
      </w:r>
      <w:r>
        <w:rPr>
          <w:vertAlign w:val="subscript"/>
        </w:rPr>
        <w:t>95%</w:t>
      </w:r>
      <w:r>
        <w:t xml:space="preserve">[-2.71, -2.48], and after transforming them into a percentage of decay per minute using </w:t>
      </w:r>
      <m:oMath>
        <m:r>
          <w:rPr>
            <w:rFonts w:ascii="Cambria Math" w:hAnsi="Cambria Math"/>
          </w:rPr>
          <m:t>1</m:t>
        </m:r>
        <m:r>
          <m:rPr>
            <m:sty m:val="p"/>
          </m:rPr>
          <w:rPr>
            <w:rFonts w:ascii="Cambria Math" w:hAnsi="Cambria Math"/>
          </w:rPr>
          <m:t>-</m:t>
        </m:r>
        <m:r>
          <w:rPr>
            <w:rFonts w:ascii="Cambria Math" w:hAnsi="Cambria Math"/>
          </w:rPr>
          <m:t>exp</m:t>
        </m:r>
        <m:d>
          <m:dPr>
            <m:ctrlPr>
              <w:rPr>
                <w:rFonts w:ascii="Cambria Math" w:hAnsi="Cambria Math"/>
              </w:rPr>
            </m:ctrlPr>
          </m:dPr>
          <m:e>
            <m:r>
              <w:rPr>
                <w:rFonts w:ascii="Cambria Math" w:hAnsi="Cambria Math"/>
              </w:rPr>
              <m:t>θ</m:t>
            </m:r>
          </m:e>
        </m:d>
      </m:oMath>
      <w:r>
        <w:t>, we estimated the rate of decay and recovery are 95.2% ms per minute CI</w:t>
      </w:r>
      <w:r>
        <w:rPr>
          <w:vertAlign w:val="subscript"/>
        </w:rPr>
        <w:t>95%</w:t>
      </w:r>
      <w:r>
        <w:t>[0.947, 0.957] and 92.5% ms per minute CI</w:t>
      </w:r>
      <w:r>
        <w:rPr>
          <w:vertAlign w:val="subscript"/>
        </w:rPr>
        <w:t>95%</w:t>
      </w:r>
      <w:r>
        <w:t>[0.917, 0.933].</w:t>
      </w:r>
    </w:p>
    <w:p w:rsidR="007C23A0" w:rsidRDefault="00000000">
      <w:pPr>
        <w:pStyle w:val="Textoindependiente"/>
      </w:pPr>
      <w:r>
        <w:t xml:space="preserve">The parameters associates with the time at which the initial RRi decay occurs </w:t>
      </w:r>
      <m:oMath>
        <m:r>
          <w:rPr>
            <w:rFonts w:ascii="Cambria Math" w:hAnsi="Cambria Math"/>
          </w:rPr>
          <m:t>τ</m:t>
        </m:r>
      </m:oMath>
      <w:r>
        <w:t xml:space="preserve"> were estimated at 6.71 minutes CI</w:t>
      </w:r>
      <w:r>
        <w:rPr>
          <w:vertAlign w:val="subscript"/>
        </w:rPr>
        <w:t>95%</w:t>
      </w:r>
      <w:r>
        <w:t xml:space="preserve">[6.61, 6.81], meanwhile the time duration associated with the exercise-induced stress in RRi </w:t>
      </w:r>
      <m:oMath>
        <m:r>
          <w:rPr>
            <w:rFonts w:ascii="Cambria Math" w:hAnsi="Cambria Math"/>
          </w:rPr>
          <m:t>δ</m:t>
        </m:r>
      </m:oMath>
      <w:r>
        <w:t xml:space="preserve"> was estimated at 3.24 minutes CI</w:t>
      </w:r>
      <w:r>
        <w:rPr>
          <w:vertAlign w:val="subscript"/>
        </w:rPr>
        <w:t>95%</w:t>
      </w:r>
      <w:r>
        <w:t>[3.05, 3.44].</w:t>
      </w:r>
    </w:p>
    <w:p w:rsidR="007C23A0" w:rsidRDefault="00000000">
      <w:pPr>
        <w:pStyle w:val="Textoindependiente"/>
      </w:pPr>
      <w:r>
        <w:t xml:space="preserve">Finally, the standard deviation around the estimated RRi data </w:t>
      </w:r>
      <m:oMath>
        <m:r>
          <w:rPr>
            <w:rFonts w:ascii="Cambria Math" w:hAnsi="Cambria Math"/>
          </w:rPr>
          <m:t>σ</m:t>
        </m:r>
      </m:oMath>
      <w:r>
        <w:t>, associated with the non-modeled noised, was estimated at 27.6 ms CI</w:t>
      </w:r>
      <w:r>
        <w:rPr>
          <w:vertAlign w:val="subscript"/>
        </w:rPr>
        <w:t>95%</w:t>
      </w:r>
      <w:r>
        <w:t xml:space="preserve">[26.5, 28.7]. In </w:t>
      </w:r>
      <w:hyperlink w:anchor="fig-group-level-estimates">
        <w:r>
          <w:rPr>
            <w:rStyle w:val="Hipervnculo"/>
          </w:rPr>
          <w:t>Figure 7</w:t>
        </w:r>
      </w:hyperlink>
      <w:r>
        <w:t>, the model parameter’s posterior distribution can be observed.</w:t>
      </w:r>
    </w:p>
    <w:p w:rsidR="007C23A0" w:rsidRDefault="00000000">
      <w:pPr>
        <w:pStyle w:val="Textoindependiente"/>
      </w:pPr>
      <w:r>
        <w:rPr>
          <w:noProof/>
        </w:rPr>
        <w:lastRenderedPageBreak/>
        <w:drawing>
          <wp:inline distT="0" distB="0" distL="0" distR="0">
            <wp:extent cx="5600700" cy="40005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figures/group-level-estimates.png"/>
                    <pic:cNvPicPr>
                      <a:picLocks noChangeAspect="1" noChangeArrowheads="1"/>
                    </pic:cNvPicPr>
                  </pic:nvPicPr>
                  <pic:blipFill>
                    <a:blip r:embed="rId12"/>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29" w:name="fig-group-level-estimates"/>
      <w:r>
        <w:rPr>
          <w:b/>
          <w:bCs/>
        </w:rPr>
        <w:t>Figure 7</w:t>
      </w:r>
      <w:bookmarkEnd w:id="29"/>
      <w:r>
        <w:t>. Posterior probability distributions from group-level estimates of the expectation of each model parameter (</w:t>
      </w:r>
      <m:oMath>
        <m:r>
          <w:rPr>
            <w:rFonts w:ascii="Cambria Math" w:hAnsi="Cambria Math"/>
          </w:rPr>
          <m:t>E</m:t>
        </m:r>
        <m:d>
          <m:dPr>
            <m:begChr m:val="["/>
            <m:endChr m:val="]"/>
            <m:ctrlPr>
              <w:rPr>
                <w:rFonts w:ascii="Cambria Math" w:hAnsi="Cambria Math"/>
              </w:rPr>
            </m:ctrlPr>
          </m:dPr>
          <m:e>
            <m:r>
              <w:rPr>
                <w:rFonts w:ascii="Cambria Math" w:hAnsi="Cambria Math"/>
              </w:rPr>
              <m:t>θ</m:t>
            </m:r>
          </m:e>
        </m:d>
      </m:oMath>
      <w:r>
        <w:t>) with quantile-based 95% CI (upper panel), and the transformed rate parameters into a percentage scale (lower panel).</w:t>
      </w:r>
    </w:p>
    <w:p w:rsidR="007C23A0" w:rsidRDefault="00000000">
      <w:pPr>
        <w:pStyle w:val="Ttulo1"/>
      </w:pPr>
      <w:bookmarkStart w:id="30" w:name="discussion"/>
      <w:bookmarkEnd w:id="14"/>
      <w:bookmarkEnd w:id="22"/>
      <w:bookmarkEnd w:id="28"/>
      <w:r>
        <w:t>Discussion</w:t>
      </w:r>
    </w:p>
    <w:p w:rsidR="007C23A0" w:rsidRDefault="00000000">
      <w:pPr>
        <w:pStyle w:val="FirstParagraph"/>
      </w:pPr>
      <w:r>
        <w:t>This study presents a non-linear model designed for RRi fluctuations during exercise and recovery, providing an in-depth view of cardiac autonomic dynamics. By focusing on RRi rather than aggregate HRV metrics, our approach enables real-time tracking of cardiovascular responses to physical stress, which has implications for clinical and athletic applications. This model marks a step forward in computational physiology, bridging the gap between theoretical frameworks and practical monitoring applications.</w:t>
      </w:r>
    </w:p>
    <w:p w:rsidR="007C23A0" w:rsidRDefault="00000000">
      <w:pPr>
        <w:pStyle w:val="Textoindependiente"/>
      </w:pPr>
      <w:r>
        <w:t>The Sobol sensitivity analysis revealed baseline RRi (</w:t>
      </w:r>
      <m:oMath>
        <m:r>
          <w:rPr>
            <w:rFonts w:ascii="Cambria Math" w:hAnsi="Cambria Math"/>
          </w:rPr>
          <m:t>α</m:t>
        </m:r>
      </m:oMath>
      <w:r>
        <w:t>) and recovery proportion (</w:t>
      </w:r>
      <m:oMath>
        <m:r>
          <w:rPr>
            <w:rFonts w:ascii="Cambria Math" w:hAnsi="Cambria Math"/>
          </w:rPr>
          <m:t>c</m:t>
        </m:r>
      </m:oMath>
      <w:r>
        <w:t xml:space="preserve">) as key drivers of model output variance that are consistent with physiological expectations. Baseline RRi reflects intrinsic cardiac properties, while recovery proportion captures </w:t>
      </w:r>
      <w:r>
        <w:lastRenderedPageBreak/>
        <w:t>autonomic re-engagement post-exercise, central to cardiovascular adaptation (Hautala et al., 2003). The relatively low sensitivity of decay and recovery rate parameters (</w:t>
      </w:r>
      <m:oMath>
        <m:r>
          <w:rPr>
            <w:rFonts w:ascii="Cambria Math" w:hAnsi="Cambria Math"/>
          </w:rPr>
          <m:t>λ</m:t>
        </m:r>
      </m:oMath>
      <w:r>
        <w:t xml:space="preserve"> and </w:t>
      </w:r>
      <m:oMath>
        <m:r>
          <w:rPr>
            <w:rFonts w:ascii="Cambria Math" w:hAnsi="Cambria Math"/>
          </w:rPr>
          <m:t>ϕ</m:t>
        </m:r>
      </m:oMath>
      <w:r>
        <w:t>) suggests the model is robust to moderate fluctuations in these rates, enhancing its reliability for both individualized and group-based applications.</w:t>
      </w:r>
    </w:p>
    <w:p w:rsidR="007C23A0" w:rsidRDefault="00000000">
      <w:pPr>
        <w:pStyle w:val="Textoindependiente"/>
      </w:pPr>
      <w:r>
        <w:t>Compared to previous research, our findings align with the importance of capturing nonlinear dynamics in heart rate variability to understand cardiac responses during exercise (Gronwald et al., 2019a). Similarly, previous studies have shown that dynamic fluctuations in RRi can serve as critical indicators of cardiorespiratory fitness, supporting the need for models to address the complexity of cardiovascular responses during physical stress (Mongin et al., 2022). However, while many existing models focus primarily on linear metrics or aggregate HRV measures, our study provides a high-resolution analysis of RRi dynamics that enhances interpretability and application across diverse fitness levels and exercise intensities.</w:t>
      </w:r>
    </w:p>
    <w:p w:rsidR="007C23A0" w:rsidRDefault="00000000">
      <w:pPr>
        <w:pStyle w:val="Textoindependiente"/>
      </w:pPr>
      <w:r>
        <w:t>Sobol analysis was selected for its capacity to handle non-linear, time-varying relationships, but it assumes parameter independence and demands substantial computational resources (Herman et al., 2013; Cheng et al., 2017; Harenberg et al., 2017). This assumption may overlook interdependencies typical in biological systems, where parameters such as decay rates and recovery kinetics often interact. For future work, alternative sensitivity methods, such as Bayesian sensitivity analysis, could address interdependencies and improve interpretive accuracy in complex biological contexts. Additionally, real-time applications in resource-limited environments may benefit from computational optimizations, such as surrogate modeling or sparse-grid approximations, to reduce processing time while maintaining analytical depth (Bornn et al., 2010; Xue and Zaidi, 2021).</w:t>
      </w:r>
    </w:p>
    <w:p w:rsidR="007C23A0" w:rsidRDefault="00000000">
      <w:pPr>
        <w:pStyle w:val="Textoindependiente"/>
      </w:pPr>
      <w:r>
        <w:t>The practical application of this model extends to clinical monitoring and athletic training, but further validation is essential to confirm its robustness in real-world conditions. To support clinical decision-making, future studies should validate the model against established physiological benchmarks, such as VO</w:t>
      </w:r>
      <w:r>
        <w:rPr>
          <w:vertAlign w:val="subscript"/>
        </w:rPr>
        <w:t>2</w:t>
      </w:r>
      <w:r>
        <w:t xml:space="preserve"> max and lactate thresholds, facilitating its integration into routine health assessments. For instance, this model could be valuable in cardiovascular rehabilitation programs, where tracking real-time autonomic responses can </w:t>
      </w:r>
      <w:r>
        <w:lastRenderedPageBreak/>
        <w:t>help personalize exercise regimens, ensuring adequate recovery without overstressing the cardiovascular system. Furthermore, for at-risk populations, the model could assist in detecting autonomic irregularities indicative of early cardiovascular dysfunction (Thayer et al., 2010).</w:t>
      </w:r>
    </w:p>
    <w:p w:rsidR="007C23A0" w:rsidRDefault="00000000">
      <w:pPr>
        <w:pStyle w:val="Textoindependiente"/>
      </w:pPr>
      <w:r>
        <w:t>For athletic applications, the model has the potential to guide interval training, where it could help identify optimal recovery points between intense exercise bouts. This is particularly relevant given the findings of other research, which suggest that precise monitoring of heart rate dynamics can prevent overtraining and optimize performance (Eser et al., 2022b). However, extending this model beyond controlled, single-bout settings requires further validation, particularly in dynamic environments where external factors like temperature, altitude, and psychological stress can influence RRi. Integrating the model with wearable devices capable of accurately capturing RRi is essential for field applications, enabling real-time monitoring and feedback (Lundstrom et al., 2023).</w:t>
      </w:r>
    </w:p>
    <w:p w:rsidR="007C23A0" w:rsidRDefault="00000000">
      <w:pPr>
        <w:pStyle w:val="Textoindependiente"/>
      </w:pPr>
      <w:r>
        <w:t>Traditional models of RRi often rely on linear assumptions or simple exponential functions, which fail to capture the transient, non-stationary nature of RRi during exercise and recovery. Using logistic functions to model the decay and recovery phases, our non-linear approach accommodates gradual autonomic shifts more effectively than exponential functions, offering a physiologically relevant representation of RRi dynamics. While recent studies have developed non-linear models, many focus on HRV aggregates that summarize rather than directly model RRi changes (Molkkari et al., 2020). By concentrating on RRi, our approach offers a high-resolution view of cardiac adaptation, making it particularly valuable for clinical and athletic contexts. Adapting model parameters to real-time changes in RRi enhances sensitivity in detecting subtle shifts in autonomic state, which aggregated HRV indices may obscure (Mabe-Castro et al., 2024).</w:t>
      </w:r>
    </w:p>
    <w:p w:rsidR="007C23A0" w:rsidRDefault="00000000">
      <w:pPr>
        <w:pStyle w:val="Textoindependiente"/>
      </w:pPr>
      <w:r>
        <w:t>This model has limitations that warrant careful consideration. First, the uniform parameter sampling used in sensitivity analysis, though practical, may not fully capture individual variability in populations with extreme autonomic profiles or chronic health conditions. Incorporating empirical distributions or Bayesian priors based on population data could refine parameter estimates, enhancing individualization for diverse clinical populations, such as older adults or individuals with cardiovascular disease (Kristal-Boneh et al., 1995).</w:t>
      </w:r>
    </w:p>
    <w:p w:rsidR="007C23A0" w:rsidRDefault="00000000">
      <w:pPr>
        <w:pStyle w:val="Textoindependiente"/>
      </w:pPr>
      <w:r>
        <w:lastRenderedPageBreak/>
        <w:t>Moreover, an area for future research includes multi-session modeling to account for cumulative adaptations over repeated exercise sessions. Studies have shown that cumulative effects from multiple exercise bouts can introduce autonomic fatigue or adaptation (Castillo-Aguilar et al., 2021). Extending the model to track such longitudinal effects could help identify early signs of overtraining or autonomic exhaustion, providing a preventive tool for clinical and athletic populations. Additionally, considering environmental and psychological factors (i.e., such as temperature, stress, or sleep quality) would add robustness, ensuring that model predictions remain accurate across varied real-world contexts.</w:t>
      </w:r>
    </w:p>
    <w:p w:rsidR="007C23A0" w:rsidRDefault="00000000">
      <w:pPr>
        <w:pStyle w:val="Ttulo1"/>
      </w:pPr>
      <w:bookmarkStart w:id="31" w:name="conclusion"/>
      <w:bookmarkEnd w:id="30"/>
      <w:r>
        <w:t>Conclusion</w:t>
      </w:r>
    </w:p>
    <w:p w:rsidR="007C23A0" w:rsidRDefault="00000000">
      <w:pPr>
        <w:pStyle w:val="FirstParagraph"/>
      </w:pPr>
      <w:r>
        <w:t>This study presents a novel non-linear model for characterizing RRi dynamics during exercise and recovery, providing a more accurate and nuanced understanding of cardiac autonomic function compared to traditional HRV metrics. Our findings emphasize the important roles of baseline RRi and recovery proportion in reflecting autonomic re-engagement, enhancing the sensitivity of real-time assessments of cardiovascular responses to physical stress. This model advances computational physiology and holds significant promise for improving cardiovascular health monitoring and performance optimization.</w:t>
      </w:r>
    </w:p>
    <w:p w:rsidR="007C23A0" w:rsidRDefault="00000000">
      <w:pPr>
        <w:pStyle w:val="Ttulo1"/>
      </w:pPr>
      <w:bookmarkStart w:id="32" w:name="authors-contributions"/>
      <w:bookmarkEnd w:id="31"/>
      <w:r>
        <w:t>Authors’ Contributions</w:t>
      </w:r>
    </w:p>
    <w:p w:rsidR="007C23A0" w:rsidRDefault="00000000">
      <w:pPr>
        <w:pStyle w:val="FirstParagraph"/>
      </w:pPr>
      <w:r>
        <w:t>Conceptualization, MC-A; Data curation, MC-A; Investigation, MC-A; Methodology, MC-A, NMD; Supervision, CN-E; Formal analysis, MC-A; Visualization, MC-A; Writing–original draft, MC-A, CN-E, […]; Writing–review &amp; editing, MC-A, CN-E, […]. All authors have read and agreed to the published version of the manuscript.</w:t>
      </w:r>
    </w:p>
    <w:p w:rsidR="007C23A0" w:rsidRDefault="00000000">
      <w:pPr>
        <w:pStyle w:val="Ttulo1"/>
      </w:pPr>
      <w:bookmarkStart w:id="33" w:name="funding"/>
      <w:bookmarkEnd w:id="32"/>
      <w:r>
        <w:t>Funding</w:t>
      </w:r>
    </w:p>
    <w:p w:rsidR="007C23A0" w:rsidRDefault="00000000">
      <w:pPr>
        <w:pStyle w:val="FirstParagraph"/>
      </w:pPr>
      <w:r>
        <w:t>This work was funded by ANID Proyecto Fondecyt Iniciación Nº11220116.</w:t>
      </w:r>
    </w:p>
    <w:p w:rsidR="007C23A0" w:rsidRDefault="00000000">
      <w:pPr>
        <w:pStyle w:val="Ttulo1"/>
      </w:pPr>
      <w:bookmarkStart w:id="34" w:name="data-availability-statement"/>
      <w:bookmarkEnd w:id="33"/>
      <w:r>
        <w:lastRenderedPageBreak/>
        <w:t>Data Availability Statement</w:t>
      </w:r>
    </w:p>
    <w:p w:rsidR="007C23A0" w:rsidRDefault="00000000">
      <w:pPr>
        <w:pStyle w:val="FirstParagraph"/>
      </w:pPr>
      <w:r>
        <w:t>The data supporting the conclusions of this article will be available from the authors without reservation.</w:t>
      </w:r>
    </w:p>
    <w:p w:rsidR="007C23A0" w:rsidRDefault="00000000">
      <w:pPr>
        <w:pStyle w:val="Ttulo1"/>
      </w:pPr>
      <w:bookmarkStart w:id="35" w:name="conflict-of-interest"/>
      <w:bookmarkEnd w:id="34"/>
      <w:r>
        <w:t>Conflict of Interest</w:t>
      </w:r>
    </w:p>
    <w:p w:rsidR="007C23A0" w:rsidRDefault="00000000">
      <w:pPr>
        <w:pStyle w:val="FirstParagraph"/>
      </w:pPr>
      <w:r>
        <w:t>The authors declare that this research was conducted without any commercial or financial relationships that could be construed as potential conflicts of interest.</w:t>
      </w:r>
    </w:p>
    <w:p w:rsidR="007C23A0" w:rsidRDefault="00000000">
      <w:pPr>
        <w:pStyle w:val="Ttulo1"/>
      </w:pPr>
      <w:bookmarkStart w:id="36" w:name="references"/>
      <w:bookmarkEnd w:id="35"/>
      <w:r>
        <w:t>References</w:t>
      </w:r>
    </w:p>
    <w:p w:rsidR="007C23A0" w:rsidRDefault="00000000">
      <w:pPr>
        <w:pStyle w:val="Bibliografa"/>
      </w:pPr>
      <w:bookmarkStart w:id="37" w:name="ref-bacopoulou2021entropy"/>
      <w:bookmarkStart w:id="38" w:name="refs"/>
      <w:r>
        <w:t xml:space="preserve">Bacopoulou, F., Chryssanthopoulos, S., Koutelekos, J., Lambrou, G. I., and Cokkinos, D. (2021). Entropy in cardiac autonomic nervous system of adolescents with general learning disabilities or dyslexia., in </w:t>
      </w:r>
      <w:r>
        <w:rPr>
          <w:i/>
          <w:iCs/>
        </w:rPr>
        <w:t>GeNeDis 2020: Genetics and neurodegenerative diseases</w:t>
      </w:r>
      <w:r>
        <w:t>, (Springer), 121–129.</w:t>
      </w:r>
    </w:p>
    <w:p w:rsidR="007C23A0" w:rsidRDefault="00000000">
      <w:pPr>
        <w:pStyle w:val="Bibliografa"/>
      </w:pPr>
      <w:bookmarkStart w:id="39" w:name="ref-boettger2010heart"/>
      <w:bookmarkEnd w:id="37"/>
      <w:r>
        <w:t xml:space="preserve">Boettger, S., Puta, C., Yeragani, V. K., Donath, L., Mueller, H.-J., Gabriel, H. H., et al. (2010). Heart rate variability, QT variability, and electrodermal activity during exercise. </w:t>
      </w:r>
      <w:r>
        <w:rPr>
          <w:i/>
          <w:iCs/>
        </w:rPr>
        <w:t>Med sci sports exerc</w:t>
      </w:r>
      <w:r>
        <w:t xml:space="preserve"> 42, 443–8.</w:t>
      </w:r>
    </w:p>
    <w:p w:rsidR="007C23A0" w:rsidRPr="009A1E56" w:rsidRDefault="00000000">
      <w:pPr>
        <w:pStyle w:val="Bibliografa"/>
        <w:rPr>
          <w:lang w:val="es-CL"/>
        </w:rPr>
      </w:pPr>
      <w:bookmarkStart w:id="40" w:name="ref-bornn2010efficient"/>
      <w:bookmarkEnd w:id="39"/>
      <w:r>
        <w:t xml:space="preserve">Bornn, L., Doucet, A., and Gottardo, R. (2010). An efficient computational approach for prior sensitivity analysis and cross-validation. </w:t>
      </w:r>
      <w:r w:rsidRPr="009A1E56">
        <w:rPr>
          <w:i/>
          <w:iCs/>
          <w:lang w:val="es-CL"/>
        </w:rPr>
        <w:t>Canadian Journal of Statistics</w:t>
      </w:r>
      <w:r w:rsidRPr="009A1E56">
        <w:rPr>
          <w:lang w:val="es-CL"/>
        </w:rPr>
        <w:t xml:space="preserve"> 38, 47–64.</w:t>
      </w:r>
    </w:p>
    <w:p w:rsidR="007C23A0" w:rsidRDefault="00000000">
      <w:pPr>
        <w:pStyle w:val="Bibliografa"/>
      </w:pPr>
      <w:bookmarkStart w:id="41" w:name="ref-castillo2023validity"/>
      <w:bookmarkEnd w:id="40"/>
      <w:r w:rsidRPr="009A1E56">
        <w:rPr>
          <w:lang w:val="es-CL"/>
        </w:rPr>
        <w:t xml:space="preserve">Castillo-Aguilar, M., Mabe Castro, M., Mabe Castro, D., Valdés-Badilla, P., Herrera-Valenzuela, T., Guzmán-Muñoz, E., et al. </w:t>
      </w:r>
      <w:r>
        <w:t xml:space="preserve">(2023). Validity and reliability of short-term heart rate variability parameters in older people in response to physical exercise. </w:t>
      </w:r>
      <w:r>
        <w:rPr>
          <w:i/>
          <w:iCs/>
        </w:rPr>
        <w:t>International Journal of Environmental Research and Public Health</w:t>
      </w:r>
      <w:r>
        <w:t xml:space="preserve"> 20, 4456.</w:t>
      </w:r>
    </w:p>
    <w:p w:rsidR="007C23A0" w:rsidRDefault="00000000">
      <w:pPr>
        <w:pStyle w:val="Bibliografa"/>
      </w:pPr>
      <w:bookmarkStart w:id="42" w:name="ref-castillo2021cardiac"/>
      <w:bookmarkEnd w:id="41"/>
      <w:r>
        <w:t xml:space="preserve">Castillo-Aguilar, M., Valdés-Badilla, P., Herrera-Valenzuela, T., Guzmán-Muñoz, E., Delgado-Floody, P., Andrade, D. C., et al. (2021). Cardiac autonomic modulation in response to muscle fatigue and sex differences during consecutive competition periods in young swimmers: A longitudinal study. </w:t>
      </w:r>
      <w:r>
        <w:rPr>
          <w:i/>
          <w:iCs/>
        </w:rPr>
        <w:t>Frontiers in Physiology</w:t>
      </w:r>
      <w:r>
        <w:t xml:space="preserve"> 12, 769085.</w:t>
      </w:r>
    </w:p>
    <w:p w:rsidR="007C23A0" w:rsidRDefault="00000000">
      <w:pPr>
        <w:pStyle w:val="Bibliografa"/>
      </w:pPr>
      <w:bookmarkStart w:id="43" w:name="ref-cheng2017mixed"/>
      <w:bookmarkEnd w:id="42"/>
      <w:r>
        <w:lastRenderedPageBreak/>
        <w:t xml:space="preserve">Cheng, K., Lu, Z., Wei, Y., Shi, Y., and Zhou, Y. (2017). Mixed kernel function support vector regression for global sensitivity analysis. </w:t>
      </w:r>
      <w:r>
        <w:rPr>
          <w:i/>
          <w:iCs/>
        </w:rPr>
        <w:t>Mechanical Systems and Signal Processing</w:t>
      </w:r>
      <w:r>
        <w:t xml:space="preserve"> 96, 201–214.</w:t>
      </w:r>
    </w:p>
    <w:p w:rsidR="007C23A0" w:rsidRDefault="00000000">
      <w:pPr>
        <w:pStyle w:val="Bibliografa"/>
      </w:pPr>
      <w:bookmarkStart w:id="44" w:name="ref-dong2016role"/>
      <w:bookmarkEnd w:id="43"/>
      <w:r>
        <w:t xml:space="preserve">Dong, J.-G. (2016). The role of heart rate variability in sports physiology. </w:t>
      </w:r>
      <w:r>
        <w:rPr>
          <w:i/>
          <w:iCs/>
        </w:rPr>
        <w:t>Experimental and therapeutic medicine</w:t>
      </w:r>
      <w:r>
        <w:t xml:space="preserve"> 11, 1531–1536.</w:t>
      </w:r>
    </w:p>
    <w:p w:rsidR="007C23A0" w:rsidRDefault="00000000">
      <w:pPr>
        <w:pStyle w:val="Bibliografa"/>
      </w:pPr>
      <w:bookmarkStart w:id="45" w:name="ref-eser2022exercise"/>
      <w:bookmarkEnd w:id="44"/>
      <w:r>
        <w:t xml:space="preserve">Eser, P., Jaeger, E., Marcin, T., Herzig, D., Trachsel, L. D., and Wilhelm, M. (2022a). Acute and chronic effects of high-intensity interval and moderate-intensity continuous exercise on heart rate and its variability after recent myocardial infarction: A randomized controlled trial. </w:t>
      </w:r>
      <w:r>
        <w:rPr>
          <w:i/>
          <w:iCs/>
        </w:rPr>
        <w:t>Annals of Physical and Rehabilitation Medicine</w:t>
      </w:r>
      <w:r>
        <w:t xml:space="preserve"> 65, 101444.</w:t>
      </w:r>
    </w:p>
    <w:p w:rsidR="007C23A0" w:rsidRDefault="00000000">
      <w:pPr>
        <w:pStyle w:val="Bibliografa"/>
      </w:pPr>
      <w:bookmarkStart w:id="46" w:name="ref-eser2022acute"/>
      <w:bookmarkEnd w:id="45"/>
      <w:r>
        <w:t xml:space="preserve">Eser, P., Jaeger, E., Marcin, T., Herzig, D., Trachsel, L., and Wilhelm, M. (2022b). Acute and chronic effects of high-intensity interval and moderate-intensity continuous exercise on heart rate and its variability after recent myocardial infarction: A randomized controlled trial. </w:t>
      </w:r>
      <w:r>
        <w:rPr>
          <w:i/>
          <w:iCs/>
        </w:rPr>
        <w:t>Annals of physical and rehabilitation medicine</w:t>
      </w:r>
      <w:r>
        <w:t xml:space="preserve"> 65, 101444.</w:t>
      </w:r>
    </w:p>
    <w:p w:rsidR="007C23A0" w:rsidRDefault="00000000">
      <w:pPr>
        <w:pStyle w:val="Bibliografa"/>
      </w:pPr>
      <w:bookmarkStart w:id="47" w:name="ref-gronwald2019effects"/>
      <w:bookmarkEnd w:id="46"/>
      <w:r>
        <w:t xml:space="preserve">Gronwald, T., Hoos, O., and Hottenrott, K. (2019a). Effects of a short-term cycling interval session and active recovery on non-linear dynamics of cardiac autonomic activity in endurance trained cyclists. </w:t>
      </w:r>
      <w:r>
        <w:rPr>
          <w:i/>
          <w:iCs/>
        </w:rPr>
        <w:t>Journal of clinical medicine</w:t>
      </w:r>
      <w:r>
        <w:t xml:space="preserve"> 8, 194.</w:t>
      </w:r>
    </w:p>
    <w:p w:rsidR="007C23A0" w:rsidRDefault="00000000">
      <w:pPr>
        <w:pStyle w:val="Bibliografa"/>
      </w:pPr>
      <w:bookmarkStart w:id="48" w:name="ref-gronwald2019non"/>
      <w:bookmarkEnd w:id="47"/>
      <w:r>
        <w:t xml:space="preserve">Gronwald, T., Hoos, O., Ludyga, S., and Hottenrott, K. (2019b). Non-linear dynamics of heart rate variability during incremental cycling exercise. </w:t>
      </w:r>
      <w:r>
        <w:rPr>
          <w:i/>
          <w:iCs/>
        </w:rPr>
        <w:t>Research in Sports Medicine</w:t>
      </w:r>
      <w:r>
        <w:t xml:space="preserve"> 27, 88–98.</w:t>
      </w:r>
    </w:p>
    <w:p w:rsidR="007C23A0" w:rsidRDefault="00000000">
      <w:pPr>
        <w:pStyle w:val="Bibliografa"/>
      </w:pPr>
      <w:bookmarkStart w:id="49" w:name="ref-harenberg2017uncertainty"/>
      <w:bookmarkEnd w:id="48"/>
      <w:r>
        <w:t xml:space="preserve">Harenberg, D., Marelli, S., Sudret, B., and Winschel, V. (2017). Uncertainty quantification and global sensitivity analysis for economic models. </w:t>
      </w:r>
      <w:r>
        <w:rPr>
          <w:i/>
          <w:iCs/>
        </w:rPr>
        <w:t>Available at SSRN 2903994</w:t>
      </w:r>
      <w:r>
        <w:t>.</w:t>
      </w:r>
    </w:p>
    <w:p w:rsidR="007C23A0" w:rsidRDefault="00000000">
      <w:pPr>
        <w:pStyle w:val="Bibliografa"/>
      </w:pPr>
      <w:bookmarkStart w:id="50" w:name="ref-hautala2003short"/>
      <w:bookmarkEnd w:id="49"/>
      <w:r>
        <w:t xml:space="preserve">Hautala, A. J., Mäkikallio, T. H., Seppänen, T., Huikuri, H. V., and Tulppo, M. P. (2003). Short-term correlation properties of r–r interval dynamics at different exercise intensity levels. </w:t>
      </w:r>
      <w:r>
        <w:rPr>
          <w:i/>
          <w:iCs/>
        </w:rPr>
        <w:t>Clinical physiology and functional imaging</w:t>
      </w:r>
      <w:r>
        <w:t xml:space="preserve"> 23, 215–223.</w:t>
      </w:r>
    </w:p>
    <w:p w:rsidR="007C23A0" w:rsidRDefault="00000000">
      <w:pPr>
        <w:pStyle w:val="Bibliografa"/>
      </w:pPr>
      <w:bookmarkStart w:id="51" w:name="ref-herman2013method"/>
      <w:bookmarkEnd w:id="50"/>
      <w:r>
        <w:t xml:space="preserve">Herman, J. D., Kollat, J. B., Reed, P. M., and Wagener, T. (2013). Method of morris effectively reduces the computational demands of global sensitivity analysis for distributed watershed models. </w:t>
      </w:r>
      <w:r>
        <w:rPr>
          <w:i/>
          <w:iCs/>
        </w:rPr>
        <w:t>Hydrology and Earth System Sciences</w:t>
      </w:r>
      <w:r>
        <w:t xml:space="preserve"> 17, 2893–2903.</w:t>
      </w:r>
    </w:p>
    <w:p w:rsidR="007C23A0" w:rsidRDefault="00000000">
      <w:pPr>
        <w:pStyle w:val="Bibliografa"/>
      </w:pPr>
      <w:bookmarkStart w:id="52" w:name="ref-kanniainen2023estimation"/>
      <w:bookmarkEnd w:id="51"/>
      <w:r>
        <w:lastRenderedPageBreak/>
        <w:t xml:space="preserve">Kanniainen, M., Pukkila, T., Kuisma, J., Molkkari, M., Lajunen, K., and Räsänen, E. (2023). Estimation of physiological exercise thresholds based on dynamical correlation properties of heart rate variability. </w:t>
      </w:r>
      <w:r>
        <w:rPr>
          <w:i/>
          <w:iCs/>
        </w:rPr>
        <w:t>Frontiers in physiology</w:t>
      </w:r>
      <w:r>
        <w:t xml:space="preserve"> 14, 1299104.</w:t>
      </w:r>
    </w:p>
    <w:p w:rsidR="007C23A0" w:rsidRDefault="00000000">
      <w:pPr>
        <w:pStyle w:val="Bibliografa"/>
      </w:pPr>
      <w:bookmarkStart w:id="53" w:name="ref-kristal1995heart"/>
      <w:bookmarkEnd w:id="52"/>
      <w:r>
        <w:t xml:space="preserve">Kristal-Boneh, E., Raifel, M., Froom, P., and Ribak, J. (1995). Heart rate variability in health and disease. </w:t>
      </w:r>
      <w:r>
        <w:rPr>
          <w:i/>
          <w:iCs/>
        </w:rPr>
        <w:t>Scandinavian journal of work, environment &amp; health</w:t>
      </w:r>
      <w:r>
        <w:t>, 85–95.</w:t>
      </w:r>
    </w:p>
    <w:p w:rsidR="007C23A0" w:rsidRDefault="00000000">
      <w:pPr>
        <w:pStyle w:val="Bibliografa"/>
      </w:pPr>
      <w:bookmarkStart w:id="54" w:name="ref-lundstrom2023practices"/>
      <w:bookmarkEnd w:id="53"/>
      <w:r>
        <w:t xml:space="preserve">Lundstrom, C. J., Foreman, N. A., and Biltz, G. (2023). Practices and applications of heart rate variability monitoring in endurance athletes. </w:t>
      </w:r>
      <w:r>
        <w:rPr>
          <w:i/>
          <w:iCs/>
        </w:rPr>
        <w:t>International journal of sports medicine</w:t>
      </w:r>
      <w:r>
        <w:t xml:space="preserve"> 44, 9–19.</w:t>
      </w:r>
    </w:p>
    <w:p w:rsidR="007C23A0" w:rsidRDefault="00000000">
      <w:pPr>
        <w:pStyle w:val="Bibliografa"/>
      </w:pPr>
      <w:bookmarkStart w:id="55" w:name="ref-mabe2024associations"/>
      <w:bookmarkEnd w:id="54"/>
      <w:r>
        <w:t xml:space="preserve">Mabe-Castro, D., Castillo-Aguilar, M., Mabe-Castro, M., Muñoz, R. M., Basualto-Alarcón, C., and Nuñez-Espinosa, C. A. (2024). Associations between physical fitness, body composition, and heart rate variability during exercise in older people: Exploring mediating factors. </w:t>
      </w:r>
      <w:r>
        <w:rPr>
          <w:i/>
          <w:iCs/>
        </w:rPr>
        <w:t>PeerJ</w:t>
      </w:r>
      <w:r>
        <w:t xml:space="preserve"> 12, e18061.</w:t>
      </w:r>
    </w:p>
    <w:p w:rsidR="007C23A0" w:rsidRDefault="00000000">
      <w:pPr>
        <w:pStyle w:val="Bibliografa"/>
      </w:pPr>
      <w:bookmarkStart w:id="56" w:name="ref-malik1996heart"/>
      <w:bookmarkEnd w:id="55"/>
      <w:r>
        <w:t xml:space="preserve">Malik, M. (1996). Heart rate variability: Standards of measurement, physiological interpretation, and clinical use: Task force of the european society of cardiology and the north american society for pacing and electrophysiology. </w:t>
      </w:r>
      <w:r>
        <w:rPr>
          <w:i/>
          <w:iCs/>
        </w:rPr>
        <w:t>Annals of Noninvasive Electrocardiology</w:t>
      </w:r>
      <w:r>
        <w:t xml:space="preserve"> 1, 151–181.</w:t>
      </w:r>
    </w:p>
    <w:p w:rsidR="007C23A0" w:rsidRDefault="00000000">
      <w:pPr>
        <w:pStyle w:val="Bibliografa"/>
      </w:pPr>
      <w:bookmarkStart w:id="57" w:name="ref-molkkari2020online"/>
      <w:bookmarkEnd w:id="56"/>
      <w:r>
        <w:t xml:space="preserve">Molkkari, M., Solanpää, J., and Räsänen, E. (2020). Online tool for dynamical heart rate variability analysis., in </w:t>
      </w:r>
      <w:r>
        <w:rPr>
          <w:i/>
          <w:iCs/>
        </w:rPr>
        <w:t>2020 computing in cardiology</w:t>
      </w:r>
      <w:r>
        <w:t>, (IEEE), 1–4.</w:t>
      </w:r>
    </w:p>
    <w:p w:rsidR="007C23A0" w:rsidRDefault="00000000">
      <w:pPr>
        <w:pStyle w:val="Bibliografa"/>
      </w:pPr>
      <w:bookmarkStart w:id="58" w:name="ref-mongin2022hrv"/>
      <w:bookmarkEnd w:id="57"/>
      <w:r w:rsidRPr="009A1E56">
        <w:rPr>
          <w:lang w:val="es-CL"/>
        </w:rPr>
        <w:t xml:space="preserve">Mongin, D., Chabert, C., Extremera, M. G., Hue, O., Courvoisier, D. S., Carpena, P., et al. </w:t>
      </w:r>
      <w:r>
        <w:t xml:space="preserve">(2022). Decrease of heart rate variability during exercise: An index of cardiorespiratory fitness. </w:t>
      </w:r>
      <w:r>
        <w:rPr>
          <w:i/>
          <w:iCs/>
        </w:rPr>
        <w:t>PLoS ONE</w:t>
      </w:r>
      <w:r>
        <w:t xml:space="preserve"> 17, e0273981.</w:t>
      </w:r>
    </w:p>
    <w:p w:rsidR="007C23A0" w:rsidRDefault="00000000">
      <w:pPr>
        <w:pStyle w:val="Bibliografa"/>
      </w:pPr>
      <w:bookmarkStart w:id="59" w:name="ref-thayer2010relationship"/>
      <w:bookmarkEnd w:id="58"/>
      <w:r>
        <w:t xml:space="preserve">Thayer, J. F., Yamamoto, S. S., and Brosschot, J. F. (2010). The relationship of autonomic imbalance, heart rate variability and cardiovascular disease risk factors. </w:t>
      </w:r>
      <w:r>
        <w:rPr>
          <w:i/>
          <w:iCs/>
        </w:rPr>
        <w:t>International journal of cardiology</w:t>
      </w:r>
      <w:r>
        <w:t xml:space="preserve"> 141, 122–131.</w:t>
      </w:r>
    </w:p>
    <w:p w:rsidR="007C23A0" w:rsidRDefault="00000000">
      <w:pPr>
        <w:pStyle w:val="Bibliografa"/>
      </w:pPr>
      <w:bookmarkStart w:id="60" w:name="ref-wu2003nonlinear"/>
      <w:bookmarkEnd w:id="59"/>
      <w:r>
        <w:t xml:space="preserve">Wu, G., and Poon, C.-S. (2003). Nonlinear neurodynamics model of heart rate variability, multifractality and chaos., in </w:t>
      </w:r>
      <w:r>
        <w:rPr>
          <w:i/>
          <w:iCs/>
        </w:rPr>
        <w:t xml:space="preserve">Proceedings of the 25th annual international conference of </w:t>
      </w:r>
      <w:r>
        <w:rPr>
          <w:i/>
          <w:iCs/>
        </w:rPr>
        <w:lastRenderedPageBreak/>
        <w:t>the IEEE engineering in medicine and biology society (IEEE cat. No. 03CH37439)</w:t>
      </w:r>
      <w:r>
        <w:t>, (IEEE), 3822–3825.</w:t>
      </w:r>
    </w:p>
    <w:p w:rsidR="007C23A0" w:rsidRDefault="00000000">
      <w:pPr>
        <w:pStyle w:val="Bibliografa"/>
      </w:pPr>
      <w:bookmarkStart w:id="61" w:name="ref-xue2021bayesian"/>
      <w:bookmarkEnd w:id="60"/>
      <w:r>
        <w:t xml:space="preserve">Xue, W., and Zaidi, A. (2021). Bayesian sensitivity analysis for missing data using the e-value. </w:t>
      </w:r>
      <w:r>
        <w:rPr>
          <w:i/>
          <w:iCs/>
        </w:rPr>
        <w:t>arXiv preprint arXiv:2108.13286</w:t>
      </w:r>
      <w:r>
        <w:t>.</w:t>
      </w:r>
      <w:bookmarkEnd w:id="36"/>
      <w:bookmarkEnd w:id="38"/>
      <w:bookmarkEnd w:id="61"/>
    </w:p>
    <w:sectPr w:rsidR="007C23A0" w:rsidSect="009F021F">
      <w:pgSz w:w="12240" w:h="15840"/>
      <w:pgMar w:top="1417" w:right="1701" w:bottom="1417"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2CC9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90A0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36A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68E20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0EAC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C854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F299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AAE3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4EA5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874A3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CA205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793788623">
    <w:abstractNumId w:val="4"/>
  </w:num>
  <w:num w:numId="2" w16cid:durableId="836308371">
    <w:abstractNumId w:val="5"/>
  </w:num>
  <w:num w:numId="3" w16cid:durableId="715277104">
    <w:abstractNumId w:val="6"/>
  </w:num>
  <w:num w:numId="4" w16cid:durableId="1817529515">
    <w:abstractNumId w:val="7"/>
  </w:num>
  <w:num w:numId="5" w16cid:durableId="910846817">
    <w:abstractNumId w:val="9"/>
  </w:num>
  <w:num w:numId="6" w16cid:durableId="410935302">
    <w:abstractNumId w:val="0"/>
  </w:num>
  <w:num w:numId="7" w16cid:durableId="1894845640">
    <w:abstractNumId w:val="1"/>
  </w:num>
  <w:num w:numId="8" w16cid:durableId="1913272733">
    <w:abstractNumId w:val="2"/>
  </w:num>
  <w:num w:numId="9" w16cid:durableId="1705473156">
    <w:abstractNumId w:val="3"/>
  </w:num>
  <w:num w:numId="10" w16cid:durableId="325860866">
    <w:abstractNumId w:val="8"/>
  </w:num>
  <w:num w:numId="11" w16cid:durableId="1713456089">
    <w:abstractNumId w:val="4"/>
  </w:num>
  <w:num w:numId="12" w16cid:durableId="407073956">
    <w:abstractNumId w:val="5"/>
  </w:num>
  <w:num w:numId="13" w16cid:durableId="5988185">
    <w:abstractNumId w:val="6"/>
  </w:num>
  <w:num w:numId="14" w16cid:durableId="536509704">
    <w:abstractNumId w:val="7"/>
  </w:num>
  <w:num w:numId="15" w16cid:durableId="1665551391">
    <w:abstractNumId w:val="9"/>
  </w:num>
  <w:num w:numId="16" w16cid:durableId="1794056123">
    <w:abstractNumId w:val="0"/>
  </w:num>
  <w:num w:numId="17" w16cid:durableId="669069219">
    <w:abstractNumId w:val="1"/>
  </w:num>
  <w:num w:numId="18" w16cid:durableId="98843773">
    <w:abstractNumId w:val="2"/>
  </w:num>
  <w:num w:numId="19" w16cid:durableId="299648432">
    <w:abstractNumId w:val="3"/>
  </w:num>
  <w:num w:numId="20" w16cid:durableId="743719310">
    <w:abstractNumId w:val="8"/>
  </w:num>
  <w:num w:numId="21" w16cid:durableId="11206811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590D07"/>
    <w:rsid w:val="00011C8B"/>
    <w:rsid w:val="00055646"/>
    <w:rsid w:val="00086136"/>
    <w:rsid w:val="003A174E"/>
    <w:rsid w:val="003B7023"/>
    <w:rsid w:val="004E29B3"/>
    <w:rsid w:val="005127B7"/>
    <w:rsid w:val="00590D07"/>
    <w:rsid w:val="00693326"/>
    <w:rsid w:val="006C0BF9"/>
    <w:rsid w:val="00714192"/>
    <w:rsid w:val="00784D58"/>
    <w:rsid w:val="007C23A0"/>
    <w:rsid w:val="008D6863"/>
    <w:rsid w:val="009A1E56"/>
    <w:rsid w:val="009F3FC9"/>
    <w:rsid w:val="00AC2C7E"/>
    <w:rsid w:val="00B216CB"/>
    <w:rsid w:val="00B86B75"/>
    <w:rsid w:val="00BA1DDD"/>
    <w:rsid w:val="00BC48D5"/>
    <w:rsid w:val="00C36279"/>
    <w:rsid w:val="00CC7906"/>
    <w:rsid w:val="00D84008"/>
    <w:rsid w:val="00E315A3"/>
    <w:rsid w:val="00E7582E"/>
    <w:rsid w:val="00EA2311"/>
    <w:rsid w:val="00F06C70"/>
    <w:rsid w:val="00F73298"/>
    <w:rsid w:val="00FF4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16FC438B-2BAC-0A44-84BB-D03AF7E7E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987"/>
    <w:pPr>
      <w:spacing w:line="360" w:lineRule="auto"/>
      <w:jc w:val="both"/>
    </w:pPr>
    <w:rPr>
      <w:rFonts w:ascii="Times New Roman" w:hAnsi="Times New Roman"/>
    </w:rPr>
  </w:style>
  <w:style w:type="paragraph" w:styleId="Ttulo1">
    <w:name w:val="heading 1"/>
    <w:basedOn w:val="Normal"/>
    <w:next w:val="Textoindependiente"/>
    <w:uiPriority w:val="9"/>
    <w:qFormat/>
    <w:rsid w:val="00264987"/>
    <w:pPr>
      <w:keepNext/>
      <w:keepLines/>
      <w:spacing w:before="480" w:after="0"/>
      <w:outlineLvl w:val="0"/>
    </w:pPr>
    <w:rPr>
      <w:rFonts w:eastAsiaTheme="majorEastAsia" w:cstheme="majorBidi"/>
      <w:b/>
      <w:bCs/>
      <w:sz w:val="32"/>
      <w:szCs w:val="32"/>
    </w:rPr>
  </w:style>
  <w:style w:type="paragraph" w:styleId="Ttulo2">
    <w:name w:val="heading 2"/>
    <w:basedOn w:val="Normal"/>
    <w:next w:val="Textoindependiente"/>
    <w:uiPriority w:val="9"/>
    <w:unhideWhenUsed/>
    <w:qFormat/>
    <w:rsid w:val="00264987"/>
    <w:pPr>
      <w:keepNext/>
      <w:keepLines/>
      <w:spacing w:before="200" w:after="0"/>
      <w:outlineLvl w:val="1"/>
    </w:pPr>
    <w:rPr>
      <w:rFonts w:eastAsiaTheme="majorEastAsia" w:cstheme="majorBidi"/>
      <w:b/>
      <w:bCs/>
      <w:sz w:val="28"/>
      <w:szCs w:val="28"/>
    </w:rPr>
  </w:style>
  <w:style w:type="paragraph" w:styleId="Ttulo3">
    <w:name w:val="heading 3"/>
    <w:basedOn w:val="Normal"/>
    <w:next w:val="Textoindependiente"/>
    <w:uiPriority w:val="9"/>
    <w:unhideWhenUsed/>
    <w:qFormat/>
    <w:rsid w:val="00AC2C7E"/>
    <w:pPr>
      <w:keepNext/>
      <w:keepLines/>
      <w:spacing w:before="200" w:after="0"/>
      <w:outlineLvl w:val="2"/>
    </w:pPr>
    <w:rPr>
      <w:rFonts w:eastAsiaTheme="majorEastAsia" w:cstheme="majorBidi"/>
      <w:b/>
      <w:bCs/>
      <w:i/>
    </w:rPr>
  </w:style>
  <w:style w:type="paragraph" w:styleId="Ttulo4">
    <w:name w:val="heading 4"/>
    <w:basedOn w:val="Normal"/>
    <w:next w:val="Textoindependiente"/>
    <w:uiPriority w:val="9"/>
    <w:unhideWhenUsed/>
    <w:qFormat/>
    <w:rsid w:val="00264987"/>
    <w:pPr>
      <w:keepNext/>
      <w:keepLines/>
      <w:spacing w:before="200" w:after="0"/>
      <w:outlineLvl w:val="3"/>
    </w:pPr>
    <w:rPr>
      <w:rFonts w:eastAsiaTheme="majorEastAsia" w:cstheme="majorBidi"/>
      <w:bCs/>
      <w:i/>
    </w:rPr>
  </w:style>
  <w:style w:type="paragraph" w:styleId="Ttulo5">
    <w:name w:val="heading 5"/>
    <w:basedOn w:val="Normal"/>
    <w:next w:val="Textoindependiente"/>
    <w:uiPriority w:val="9"/>
    <w:unhideWhenUsed/>
    <w:qFormat/>
    <w:rsid w:val="00264987"/>
    <w:pPr>
      <w:keepNext/>
      <w:keepLines/>
      <w:spacing w:before="200" w:after="0"/>
      <w:outlineLvl w:val="4"/>
    </w:pPr>
    <w:rPr>
      <w:rFonts w:eastAsiaTheme="majorEastAsia" w:cstheme="majorBidi"/>
      <w:iCs/>
    </w:rPr>
  </w:style>
  <w:style w:type="paragraph" w:styleId="Ttulo6">
    <w:name w:val="heading 6"/>
    <w:basedOn w:val="Normal"/>
    <w:next w:val="Textoindependiente"/>
    <w:uiPriority w:val="9"/>
    <w:unhideWhenUsed/>
    <w:qFormat/>
    <w:rsid w:val="00264987"/>
    <w:pPr>
      <w:keepNext/>
      <w:keepLines/>
      <w:spacing w:before="200" w:after="0"/>
      <w:outlineLvl w:val="5"/>
    </w:pPr>
    <w:rPr>
      <w:rFonts w:eastAsiaTheme="majorEastAsia" w:cstheme="majorBidi"/>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DDDDD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DDDDD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DDDDD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rsid w:val="00C61F2B"/>
  </w:style>
  <w:style w:type="paragraph" w:customStyle="1" w:styleId="Compact">
    <w:name w:val="Compact"/>
    <w:basedOn w:val="Textoindependiente"/>
    <w:qFormat/>
    <w:rsid w:val="006C0BF9"/>
    <w:pPr>
      <w:spacing w:before="36" w:after="36"/>
      <w:jc w:val="center"/>
    </w:pPr>
  </w:style>
  <w:style w:type="paragraph" w:styleId="Ttulo">
    <w:name w:val="Title"/>
    <w:basedOn w:val="Normal"/>
    <w:next w:val="Textoindependiente"/>
    <w:qFormat/>
    <w:rsid w:val="00264987"/>
    <w:pPr>
      <w:keepNext/>
      <w:keepLines/>
      <w:spacing w:before="480" w:after="240"/>
      <w:jc w:val="center"/>
    </w:pPr>
    <w:rPr>
      <w:rFonts w:eastAsiaTheme="majorEastAsia" w:cstheme="majorBidi"/>
      <w:b/>
      <w:bCs/>
      <w:sz w:val="36"/>
      <w:szCs w:val="36"/>
    </w:rPr>
  </w:style>
  <w:style w:type="paragraph" w:styleId="Subttulo">
    <w:name w:val="Subtitle"/>
    <w:basedOn w:val="Ttulo"/>
    <w:next w:val="Textoindependiente"/>
    <w:qFormat/>
    <w:rsid w:val="00264987"/>
    <w:pPr>
      <w:spacing w:before="240"/>
    </w:pPr>
    <w:rPr>
      <w:color w:val="000000" w:themeColor="text1"/>
      <w:sz w:val="30"/>
      <w:szCs w:val="30"/>
    </w:rPr>
  </w:style>
  <w:style w:type="paragraph" w:customStyle="1" w:styleId="Author">
    <w:name w:val="Author"/>
    <w:next w:val="Textoindependiente"/>
    <w:qFormat/>
    <w:rsid w:val="00264987"/>
    <w:pPr>
      <w:keepNext/>
      <w:keepLines/>
      <w:jc w:val="center"/>
    </w:pPr>
    <w:rPr>
      <w:rFonts w:ascii="Times New Roman" w:hAnsi="Times New Roman"/>
    </w:rPr>
  </w:style>
  <w:style w:type="paragraph" w:styleId="Fecha">
    <w:name w:val="Date"/>
    <w:next w:val="Textoindependiente"/>
    <w:qFormat/>
    <w:rsid w:val="00CE6342"/>
    <w:pPr>
      <w:keepNext/>
      <w:keepLines/>
      <w:jc w:val="center"/>
    </w:pPr>
    <w:rPr>
      <w:rFonts w:ascii="Times New Roman" w:hAnsi="Times New Roman"/>
    </w:rPr>
  </w:style>
  <w:style w:type="paragraph" w:customStyle="1" w:styleId="Abstract">
    <w:name w:val="Abstract"/>
    <w:basedOn w:val="Normal"/>
    <w:next w:val="Textoindependiente"/>
    <w:qFormat/>
    <w:rsid w:val="00264987"/>
    <w:pPr>
      <w:keepNext/>
      <w:keepLines/>
      <w:spacing w:before="300" w:after="300"/>
    </w:pPr>
    <w:rPr>
      <w:sz w:val="20"/>
      <w:szCs w:val="20"/>
    </w:rPr>
  </w:style>
  <w:style w:type="paragraph" w:styleId="Bibliografa">
    <w:name w:val="Bibliography"/>
    <w:basedOn w:val="Normal"/>
    <w:qFormat/>
    <w:rsid w:val="00D84008"/>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rsid w:val="00B216CB"/>
    <w:pPr>
      <w:jc w:val="center"/>
    </w:pPr>
    <w:tblPr>
      <w:tblStyleRowBandSize w:val="1"/>
      <w:jc w:val="center"/>
      <w:tblInd w:w="0" w:type="dxa"/>
      <w:tblBorders>
        <w:top w:val="single" w:sz="4" w:space="0" w:color="000000" w:themeColor="text2"/>
        <w:bottom w:val="single" w:sz="4" w:space="0" w:color="000000" w:themeColor="text2"/>
      </w:tblBorders>
      <w:tblCellMar>
        <w:top w:w="0" w:type="dxa"/>
        <w:left w:w="108" w:type="dxa"/>
        <w:bottom w:w="0" w:type="dxa"/>
        <w:right w:w="108" w:type="dxa"/>
      </w:tblCellMar>
    </w:tblPr>
    <w:trPr>
      <w:jc w:val="center"/>
    </w:trPr>
    <w:tblStylePr w:type="firstRow">
      <w:tblPr/>
      <w:tcPr>
        <w:tcBorders>
          <w:bottom w:val="single" w:sz="4" w:space="0" w:color="auto"/>
        </w:tcBorders>
      </w:tcPr>
    </w:tblStylePr>
    <w:tblStylePr w:type="lastRow">
      <w:tblPr/>
      <w:tcPr>
        <w:tcBorders>
          <w:bottom w:val="single" w:sz="4" w:space="0" w:color="auto"/>
        </w:tcBorders>
      </w:tcPr>
    </w:tblStylePr>
    <w:tblStylePr w:type="band1Horz">
      <w:tblPr/>
      <w:tcPr>
        <w:tcBorders>
          <w:top w:val="single" w:sz="4" w:space="0" w:color="F2F2F2" w:themeColor="background1" w:themeShade="F2"/>
          <w:bottom w:val="single" w:sz="4" w:space="0" w:color="F2F2F2" w:themeColor="background1" w:themeShade="F2"/>
          <w:insideH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E7582E"/>
    <w:rPr>
      <w:rFonts w:ascii="Times New Roman" w:hAnsi="Times New Roman"/>
      <w:shd w:val="clear" w:color="auto" w:fill="F8F8F8"/>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sid w:val="00C61F2B"/>
    <w:rPr>
      <w:color w:val="auto"/>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A5A5A5" w:themeColor="accent1" w:themeShade="BF"/>
    </w:rPr>
  </w:style>
  <w:style w:type="paragraph" w:customStyle="1" w:styleId="SourceCode">
    <w:name w:val="Source Code"/>
    <w:basedOn w:val="Normal"/>
    <w:link w:val="VerbatimChar"/>
    <w:rsid w:val="00E7582E"/>
    <w:pPr>
      <w:shd w:val="clear" w:color="auto" w:fill="F8F8F8"/>
      <w:wordWrap w:val="0"/>
      <w:spacing w:line="240" w:lineRule="auto"/>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Hipervnculovisitado">
    <w:name w:val="FollowedHyperlink"/>
    <w:basedOn w:val="Fuentedeprrafopredeter"/>
    <w:semiHidden/>
    <w:unhideWhenUsed/>
    <w:rsid w:val="00C61F2B"/>
    <w:rPr>
      <w:b w:val="0"/>
      <w:i w:val="0"/>
      <w:color w:val="auto"/>
      <w:u w:val="none"/>
    </w:rPr>
  </w:style>
  <w:style w:type="character" w:customStyle="1" w:styleId="TextoindependienteCar">
    <w:name w:val="Texto independiente Car"/>
    <w:basedOn w:val="Fuentedeprrafopredeter"/>
    <w:link w:val="Textoindependiente"/>
    <w:rsid w:val="00C61F2B"/>
    <w:rPr>
      <w:rFonts w:ascii="Times New Roman" w:hAnsi="Times New Roman"/>
    </w:rPr>
  </w:style>
  <w:style w:type="character" w:styleId="Nmerodelnea">
    <w:name w:val="line number"/>
    <w:basedOn w:val="Fuentedeprrafopredeter"/>
    <w:semiHidden/>
    <w:unhideWhenUsed/>
    <w:rsid w:val="009F021F"/>
  </w:style>
  <w:style w:type="paragraph" w:customStyle="1" w:styleId="Afiliation">
    <w:name w:val="Afiliation"/>
    <w:basedOn w:val="Textoindependiente"/>
    <w:qFormat/>
    <w:rsid w:val="00C61593"/>
    <w:pPr>
      <w:spacing w:before="0" w:after="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ristian.nunez@umag.c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48</TotalTime>
  <Pages>26</Pages>
  <Words>6331</Words>
  <Characters>34822</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Matías Castillo-Aguilar</cp:lastModifiedBy>
  <cp:revision>3</cp:revision>
  <dcterms:created xsi:type="dcterms:W3CDTF">2024-11-10T15:32:00Z</dcterms:created>
  <dcterms:modified xsi:type="dcterms:W3CDTF">2024-11-10T15:34:00Z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misc/frontiers-in-physiology.csl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