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Neurodevelopmental features among infants with benign congenital hypotonia in high southern latitudes: An observational cross-sectional trial.</w:t>
      </w:r>
    </w:p>
    <w:p>
      <w:pPr>
        <w:pStyle w:val="Textoindependiente"/>
      </w:pPr>
      <w:r>
        <w:rPr>
          <w:bCs/>
          <w:b/>
        </w:rPr>
        <w:t xml:space="preserve">Authors</w:t>
      </w:r>
      <w:r>
        <w:t xml:space="preserve">: Primer autor,</w:t>
      </w:r>
      <w:r>
        <w:rPr>
          <w:vertAlign w:val="superscript"/>
        </w:rPr>
        <w:t xml:space="preserve">1</w:t>
      </w:r>
      <w:r>
        <w:t xml:space="preserve"> </w:t>
      </w:r>
      <w:r>
        <w:t xml:space="preserve">Segundo autor,</w:t>
      </w:r>
      <w:r>
        <w:rPr>
          <w:vertAlign w:val="superscript"/>
        </w:rPr>
        <w:t xml:space="preserve">2</w:t>
      </w:r>
      <w:r>
        <w:t xml:space="preserve"> </w:t>
      </w:r>
      <w:r>
        <w:t xml:space="preserve">Tercer autor,</w:t>
      </w:r>
      <w:r>
        <w:rPr>
          <w:vertAlign w:val="superscript"/>
        </w:rPr>
        <w:t xml:space="preserve">3</w:t>
      </w:r>
      <w:r>
        <w:t xml:space="preserve"> </w:t>
      </w:r>
      <w:r>
        <w:t xml:space="preserve">Cuarto autor,</w:t>
      </w:r>
      <w:r>
        <w:rPr>
          <w:vertAlign w:val="superscript"/>
        </w:rPr>
        <w:t xml:space="preserve">4</w:t>
      </w:r>
      <w:r>
        <w:t xml:space="preserve"> </w:t>
      </w:r>
      <w:r>
        <w:t xml:space="preserve">Quinto autor,</w:t>
      </w:r>
      <w:r>
        <w:rPr>
          <w:vertAlign w:val="superscript"/>
        </w:rPr>
        <w:t xml:space="preserve">5</w:t>
      </w:r>
      <w:r>
        <w:t xml:space="preserve"> </w:t>
      </w:r>
      <w:r>
        <w:t xml:space="preserve">Sexto 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Afiliación, lugar.</w:t>
      </w:r>
    </w:p>
    <w:p>
      <w:pPr>
        <w:pStyle w:val="Afiliation"/>
      </w:pPr>
      <w:r>
        <w:rPr>
          <w:vertAlign w:val="superscript"/>
        </w:rPr>
        <w:t xml:space="preserve">2</w:t>
      </w:r>
      <w:r>
        <w:t xml:space="preserve"> </w:t>
      </w:r>
      <w:r>
        <w:t xml:space="preserve">Afiliación, lugar.</w:t>
      </w:r>
    </w:p>
    <w:p>
      <w:pPr>
        <w:pStyle w:val="Afiliation"/>
      </w:pPr>
      <w:r>
        <w:rPr>
          <w:vertAlign w:val="superscript"/>
        </w:rPr>
        <w:t xml:space="preserve">3</w:t>
      </w:r>
      <w:r>
        <w:t xml:space="preserve"> </w:t>
      </w:r>
      <w:r>
        <w:t xml:space="preserve">Afiliación, lugar.</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Afiliación, lugar.</w:t>
      </w:r>
    </w:p>
    <w:p>
      <w:pPr>
        <w:pStyle w:val="Afiliation"/>
      </w:pPr>
      <w:r>
        <w:rPr>
          <w:vertAlign w:val="superscript"/>
        </w:rPr>
        <w:t xml:space="preserve">6</w:t>
      </w:r>
      <w:r>
        <w:t xml:space="preserve"> </w:t>
      </w:r>
      <w:r>
        <w:t xml:space="preserve">Afiliación, lugar.</w:t>
      </w:r>
    </w:p>
    <w:bookmarkStart w:id="20" w:name="autor-de-correspondencia"/>
    <w:p>
      <w:pPr>
        <w:pStyle w:val="Ttulo3"/>
      </w:pPr>
      <w:r>
        <w:t xml:space="preserve">*Autor de correspondencia</w:t>
      </w:r>
    </w:p>
    <w:p>
      <w:pPr>
        <w:pStyle w:val="FirstParagraph"/>
      </w:pPr>
      <w:r>
        <w:t xml:space="preserve">Autor, Afiliación, lugar. e-mail: autor@mail.com.</w:t>
      </w:r>
      <w:r>
        <w:t xml:space="preserve"> </w:t>
      </w:r>
      <w:r>
        <w:t xml:space="preserve">Dirección: XXXX. Teléfono: XXXX.</w:t>
      </w:r>
    </w:p>
    <w:p>
      <w:r>
        <w:br w:type="page"/>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1"/>
    <w:bookmarkStart w:id="22" w:name="introduction"/>
    <w:p>
      <w:pPr>
        <w:pStyle w:val="Ttulo1"/>
      </w:pPr>
      <w:r>
        <w:t xml:space="preserve">Introduction</w:t>
      </w:r>
    </w:p>
    <w:p>
      <w:pPr>
        <w:pStyle w:val="FirstParagraph"/>
      </w:pPr>
      <w:r>
        <w:t xml:space="preserve">Both physical and psychological signs of early childhood development have been shown to be representative and relevant markers for the identification and monitoring of overall growth in early life</w:t>
      </w:r>
      <w:r>
        <w:t xml:space="preserve"> </w:t>
      </w:r>
      <w:r>
        <w:t xml:space="preserve">(</w:t>
      </w:r>
      <w:hyperlink w:anchor="ref-di2016predictive">
        <w:r>
          <w:rPr>
            <w:rStyle w:val="Hipervnculo"/>
          </w:rPr>
          <w:t xml:space="preserve">Di Rosa et al., 2016</w:t>
        </w:r>
      </w:hyperlink>
      <w:r>
        <w:t xml:space="preserve">)</w:t>
      </w:r>
      <w:r>
        <w:t xml:space="preserve"> </w:t>
      </w:r>
      <w:r>
        <w:t xml:space="preserve">and can, therefore, be used in the screening of children at risk of developmental delay to support early referral and need further assessment to determine if they are eligible for early intervention services</w:t>
      </w:r>
      <w:r>
        <w:t xml:space="preserve"> </w:t>
      </w:r>
      <w:r>
        <w:t xml:space="preserve">(</w:t>
      </w:r>
      <w:hyperlink w:anchor="ref-bruder2010early">
        <w:r>
          <w:rPr>
            <w:rStyle w:val="Hipervnculo"/>
          </w:rPr>
          <w:t xml:space="preserve">Bruder, 2010</w:t>
        </w:r>
      </w:hyperlink>
      <w:r>
        <w:t xml:space="preserve">;</w:t>
      </w:r>
      <w:r>
        <w:t xml:space="preserve"> </w:t>
      </w:r>
      <w:hyperlink w:anchor="ref-guralnick2017early">
        <w:r>
          <w:rPr>
            <w:rStyle w:val="Hipervnculo"/>
          </w:rPr>
          <w:t xml:space="preserve">Guralnick, 2017</w:t>
        </w:r>
      </w:hyperlink>
      <w:r>
        <w:t xml:space="preserve">)</w:t>
      </w:r>
      <w:r>
        <w:t xml:space="preserve">.</w:t>
      </w:r>
    </w:p>
    <w:p>
      <w:pPr>
        <w:pStyle w:val="Textoindependiente"/>
      </w:pPr>
      <w:r>
        <w:t xml:space="preserve">Currently, a plethora of tools have been proposed to assess the developmental continuum of infants. In this sense, the Ages and Stages Questionnaire, Third Edition (ASQ-3) has been proposed as a global screening tool, parent/caregivers-oriented, that assesses five domains of development in children aged from 0 to 5.5 years old</w:t>
      </w:r>
      <w:r>
        <w:t xml:space="preserve"> </w:t>
      </w:r>
      <w:r>
        <w:t xml:space="preserve">(</w:t>
      </w:r>
      <w:hyperlink w:anchor="ref-singh2017ages">
        <w:r>
          <w:rPr>
            <w:rStyle w:val="Hipervnculo"/>
          </w:rPr>
          <w:t xml:space="preserve">Singh, Yeh, &amp; Blanchard, 2017</w:t>
        </w:r>
      </w:hyperlink>
      <w:r>
        <w:t xml:space="preserve">)</w:t>
      </w:r>
      <w:r>
        <w:t xml:space="preserve">. Current evidence suggests that the ASQ-3 is an accurate, cost-effective yet parent-friendly instrument for screening, monitoring children up to pre-school age, and can help identify and exclude neurodevelopmental impairments in very preterm-born children</w:t>
      </w:r>
      <w:r>
        <w:t xml:space="preserve"> </w:t>
      </w:r>
      <w:r>
        <w:t xml:space="preserve">(</w:t>
      </w:r>
      <w:hyperlink w:anchor="ref-ballantyne2016risk">
        <w:r>
          <w:rPr>
            <w:rStyle w:val="Hipervnculo"/>
          </w:rPr>
          <w:t xml:space="preserve">Ballantyne, Benzies, McDonald, Magill-Evans, &amp; Tough, 2016</w:t>
        </w:r>
      </w:hyperlink>
      <w:r>
        <w:t xml:space="preserve">;</w:t>
      </w:r>
      <w:r>
        <w:t xml:space="preserve"> </w:t>
      </w:r>
      <w:hyperlink w:anchor="ref-kerstjens2015ages">
        <w:r>
          <w:rPr>
            <w:rStyle w:val="Hipervnculo"/>
          </w:rPr>
          <w:t xml:space="preserve">Kerstjens et al., 2015</w:t>
        </w:r>
      </w:hyperlink>
      <w:r>
        <w:t xml:space="preserve">;</w:t>
      </w:r>
      <w:r>
        <w:t xml:space="preserve"> </w:t>
      </w:r>
      <w:hyperlink w:anchor="ref-singh2017ages">
        <w:r>
          <w:rPr>
            <w:rStyle w:val="Hipervnculo"/>
          </w:rPr>
          <w:t xml:space="preserve">Singh et al., 2017</w:t>
        </w:r>
      </w:hyperlink>
      <w:r>
        <w:t xml:space="preserve">)</w:t>
      </w:r>
      <w:r>
        <w:t xml:space="preserve">.</w:t>
      </w:r>
    </w:p>
    <w:p>
      <w:pPr>
        <w:pStyle w:val="Textoindependiente"/>
      </w:pPr>
      <w:r>
        <w:t xml:space="preserve">Hypotonia has been defined both as decreased muscle tone or floppiness, involving a wide range and levels of progression</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There are multiple forms of neuromuscular, metabolic and genetic conditions associated with hypotonia and it may be a sign of neurodevelopmental delay, that may predispose to cognitive impairment</w:t>
      </w:r>
      <w:r>
        <w:t xml:space="preserve"> </w:t>
      </w:r>
      <w:r>
        <w:t xml:space="preserve">(</w:t>
      </w:r>
      <w:hyperlink w:anchor="ref-riou2009global">
        <w:r>
          <w:rPr>
            <w:rStyle w:val="Hipervnculo"/>
          </w:rPr>
          <w:t xml:space="preserve">Riou, Ghosh, Francoeur, &amp; Shevell, 2009</w:t>
        </w:r>
      </w:hyperlink>
      <w:r>
        <w:t xml:space="preserve">)</w:t>
      </w:r>
      <w:r>
        <w:t xml:space="preserve">. Given that hypotonia, and the hyperlaxity and motor delay associated with it, may impair the infant’s capacity to engage with its surroundings, critical visual cues may be ignored, potentially leading both to an impairment of learning and cognitive development</w:t>
      </w:r>
      <w:r>
        <w:t xml:space="preserve"> </w:t>
      </w:r>
      <w:r>
        <w:t xml:space="preserve">(</w:t>
      </w:r>
      <w:hyperlink w:anchor="ref-harris2008congenital">
        <w:r>
          <w:rPr>
            <w:rStyle w:val="Hipervnculo"/>
          </w:rPr>
          <w:t xml:space="preserve">Harris, 2008</w:t>
        </w:r>
      </w:hyperlink>
      <w:r>
        <w:t xml:space="preserve">)</w:t>
      </w:r>
      <w:r>
        <w:t xml:space="preserve">, hence the need to explore the neurodevelopmental attributes of infants with hypotonia.</w:t>
      </w:r>
    </w:p>
    <w:p>
      <w:pPr>
        <w:pStyle w:val="Textoindependiente"/>
      </w:pPr>
      <w:r>
        <w:t xml:space="preserve">Accordingly, benign congenital hypotonia (BCH) is usually considered an exclusion diagnosis, and is usually made in the absence of other signs and symptoms, after every other evaluative resources have been exhausted</w:t>
      </w:r>
      <w:r>
        <w:t xml:space="preserve"> </w:t>
      </w:r>
      <w:r>
        <w:t xml:space="preserve">(</w:t>
      </w:r>
      <w:hyperlink w:anchor="ref-gabis2021weak">
        <w:r>
          <w:rPr>
            <w:rStyle w:val="Hipervnculo"/>
          </w:rPr>
          <w:t xml:space="preserve">Gabis et al., 2021</w:t>
        </w:r>
      </w:hyperlink>
      <w:r>
        <w:t xml:space="preserve">;</w:t>
      </w:r>
      <w:r>
        <w:t xml:space="preserve"> </w:t>
      </w:r>
      <w:hyperlink w:anchor="ref-leyenaar2005schematic">
        <w:r>
          <w:rPr>
            <w:rStyle w:val="Hipervnculo"/>
          </w:rPr>
          <w:t xml:space="preserve">Leyenaar, Camfield, &amp; Camfield, 2005</w:t>
        </w:r>
      </w:hyperlink>
      <w:r>
        <w:t xml:space="preserve">)</w:t>
      </w:r>
      <w:r>
        <w:t xml:space="preserve">, however this is not true for at least one author that suggest that BCH can not be considered a diagnosis as such</w:t>
      </w:r>
      <w:r>
        <w:t xml:space="preserve"> </w:t>
      </w:r>
      <w:r>
        <w:t xml:space="preserve">(</w:t>
      </w:r>
      <w:hyperlink w:anchor="ref-thompson2002benign">
        <w:r>
          <w:rPr>
            <w:rStyle w:val="Hipervnculo"/>
          </w:rPr>
          <w:t xml:space="preserve">Thompson, 2002</w:t>
        </w:r>
      </w:hyperlink>
      <w:r>
        <w:t xml:space="preserve">)</w:t>
      </w:r>
      <w:r>
        <w:t xml:space="preserve">. BCH is considered a non-progressive neuromuscular disorder that does not progress but tends to improve with time and early intervention.</w:t>
      </w:r>
    </w:p>
    <w:p>
      <w:pPr>
        <w:pStyle w:val="Textoindependiente"/>
      </w:pPr>
      <w:r>
        <w:t xml:space="preserve">Nevertheless, and to the best of our knowledge, there is no robust evidence characterising the observed variation in developmental traits in infants with known BCH across age. Therefore, our main objective in this study was to describe and model the relationship between sociodemographics, prematurity and neurodevelopmental levels based on ASQ-3 scores in infants with diagnosed BCH.</w:t>
      </w:r>
    </w:p>
    <w:bookmarkEnd w:id="22"/>
    <w:bookmarkStart w:id="29" w:name="material-y-methods"/>
    <w:p>
      <w:pPr>
        <w:pStyle w:val="Ttulo1"/>
      </w:pPr>
      <w:r>
        <w:t xml:space="preserve">Material y methods</w:t>
      </w:r>
    </w:p>
    <w:bookmarkStart w:id="23" w:name="participants"/>
    <w:p>
      <w:pPr>
        <w:pStyle w:val="Ttulo2"/>
      </w:pPr>
      <w:r>
        <w:t xml:space="preserve">Participants</w:t>
      </w:r>
    </w:p>
    <w:p>
      <w:pPr>
        <w:pStyle w:val="FirstParagraph"/>
      </w:pPr>
      <w:r>
        <w:t xml:space="preserve">[…].</w:t>
      </w:r>
    </w:p>
    <w:bookmarkEnd w:id="23"/>
    <w:bookmarkStart w:id="26" w:name="instruments"/>
    <w:p>
      <w:pPr>
        <w:pStyle w:val="Ttulo2"/>
      </w:pPr>
      <w:r>
        <w:t xml:space="preserve">Instruments</w:t>
      </w:r>
    </w:p>
    <w:bookmarkStart w:id="24" w:name="ages-and-stages-questionnaire"/>
    <w:p>
      <w:pPr>
        <w:pStyle w:val="Ttulo3"/>
      </w:pPr>
      <w:r>
        <w:t xml:space="preserve">Ages and Stages Questionnaire</w:t>
      </w:r>
    </w:p>
    <w:p>
      <w:pPr>
        <w:pStyle w:val="FirstParagraph"/>
      </w:pPr>
      <w:r>
        <w:t xml:space="preserve">[…].</w:t>
      </w:r>
    </w:p>
    <w:bookmarkEnd w:id="24"/>
    <w:bookmarkStart w:id="25" w:name="instrument-2"/>
    <w:p>
      <w:pPr>
        <w:pStyle w:val="Ttulo3"/>
      </w:pPr>
      <w:r>
        <w:t xml:space="preserve">Instrument 2</w:t>
      </w:r>
    </w:p>
    <w:p>
      <w:pPr>
        <w:pStyle w:val="FirstParagraph"/>
      </w:pPr>
      <w:r>
        <w:t xml:space="preserve">[…].</w:t>
      </w:r>
    </w:p>
    <w:bookmarkEnd w:id="25"/>
    <w:bookmarkEnd w:id="26"/>
    <w:bookmarkStart w:id="27" w:name="procedures"/>
    <w:p>
      <w:pPr>
        <w:pStyle w:val="Ttulo2"/>
      </w:pPr>
      <w:r>
        <w:t xml:space="preserve">Procedures</w:t>
      </w:r>
    </w:p>
    <w:p>
      <w:pPr>
        <w:pStyle w:val="FirstParagraph"/>
      </w:pPr>
      <w:r>
        <w:t xml:space="preserve">[…].</w:t>
      </w:r>
    </w:p>
    <w:p>
      <w:pPr>
        <w:pStyle w:val="Textoindependiente"/>
      </w:pPr>
      <w:r>
        <w:t xml:space="preserve">[…].</w:t>
      </w:r>
    </w:p>
    <w:bookmarkEnd w:id="27"/>
    <w:bookmarkStart w:id="28"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goodness-of-fit (</w:t>
      </w:r>
      <m:oMath>
        <m:sSubSup>
          <m:e>
            <m:r>
              <m:t>χ</m:t>
            </m:r>
          </m:e>
          <m:sub>
            <m:r>
              <m:t>g</m:t>
            </m:r>
            <m:r>
              <m:t>o</m:t>
            </m:r>
            <m:r>
              <m:t>f</m:t>
            </m:r>
          </m:sub>
          <m:sup>
            <m:r>
              <m:t>2</m:t>
            </m:r>
          </m:sup>
        </m:sSubSup>
      </m:oMath>
      <w:r>
        <w:t xml:space="preserve">) and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Wood, 2011</w:t>
        </w:r>
      </w:hyperlink>
      <w:r>
        <w:t xml:space="preserve">)</w:t>
      </w:r>
      <w:r>
        <w:t xml:space="preserve">. Restricted maximum likelihood method was used for the estimation of the smoothing parameters, and thin-plate regression splines as the smoothing basis, as they are the optimal smoother of any given basis dimension/rank</w:t>
      </w:r>
      <w:r>
        <w:t xml:space="preserve"> </w:t>
      </w:r>
      <w:r>
        <w:t xml:space="preserve">(</w:t>
      </w:r>
      <w:hyperlink w:anchor="ref-wood2003thin">
        <w:r>
          <w:rPr>
            <w:rStyle w:val="Hipervnculo"/>
          </w:rPr>
          <w:t xml:space="preserve">Wood, 2003</w:t>
        </w:r>
      </w:hyperlink>
      <w:r>
        <w:t xml:space="preserve">)</w:t>
      </w:r>
      <w:r>
        <w:t xml:space="preserve">. To describe the smooth terms by means of quasi-linear segments, we used approximative effect derivatives with 95% confidence intervals (CI</w:t>
      </w:r>
      <w:r>
        <w:rPr>
          <w:vertAlign w:val="subscript"/>
        </w:rPr>
        <w:t xml:space="preserve">95%</w:t>
      </w:r>
      <w:r>
        <w:t xml:space="preserve">).</w:t>
      </w:r>
    </w:p>
    <w:p>
      <w:pPr>
        <w:pStyle w:val="Textoindependiente"/>
      </w:pPr>
      <w:r>
        <w:t xml:space="preserve">To account for any source of variability coming from subject’s sex, evaluators and the type of relationship between the infants with the respondents, we incorporate them as random effects in the fitted models in the form of penalized parametric terms</w:t>
      </w:r>
      <w:r>
        <w:t xml:space="preserve"> </w:t>
      </w:r>
      <w:r>
        <w:t xml:space="preserve">(</w:t>
      </w:r>
      <w:hyperlink w:anchor="ref-wood2016smoothing">
        <w:r>
          <w:rPr>
            <w:rStyle w:val="Hipervnculo"/>
          </w:rPr>
          <w:t xml:space="preserve">Wood, N., Pya, &amp; S"afken, 2016</w:t>
        </w:r>
      </w:hyperlink>
      <w:r>
        <w:t xml:space="preserve">)</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R Core Team, 2021</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each with well documented functions and methods</w:t>
      </w:r>
      <w:r>
        <w:t xml:space="preserve"> </w:t>
      </w:r>
      <w:r>
        <w:t xml:space="preserve">(</w:t>
      </w:r>
      <w:hyperlink w:anchor="ref-dominique2020estimation">
        <w:r>
          <w:rPr>
            <w:rStyle w:val="Hipervnculo"/>
          </w:rPr>
          <w:t xml:space="preserve">Makowski, Ben-Shachar, Patil, &amp; Lüdecke, 2020</w:t>
        </w:r>
      </w:hyperlink>
      <w:r>
        <w:t xml:space="preserve">;</w:t>
      </w:r>
      <w:r>
        <w:t xml:space="preserve"> </w:t>
      </w:r>
      <w:hyperlink w:anchor="ref-wood2017generalized">
        <w:r>
          <w:rPr>
            <w:rStyle w:val="Hipervnculo"/>
          </w:rPr>
          <w:t xml:space="preserve">Wood, 2017</w:t>
        </w:r>
      </w:hyperlink>
      <w:r>
        <w:t xml:space="preserve">)</w:t>
      </w:r>
      <w:r>
        <w:t xml:space="preserve">. Complementary R packages were used for visualization purposes</w:t>
      </w:r>
      <w:r>
        <w:t xml:space="preserve"> </w:t>
      </w:r>
      <w:r>
        <w:t xml:space="preserve">(</w:t>
      </w:r>
      <w:hyperlink w:anchor="ref-daniel2021see">
        <w:r>
          <w:rPr>
            <w:rStyle w:val="Hipervnculo"/>
          </w:rPr>
          <w:t xml:space="preserve">Lüdecke et al., 2021</w:t>
        </w:r>
      </w:hyperlink>
      <w:r>
        <w:t xml:space="preserve">;</w:t>
      </w:r>
      <w:r>
        <w:t xml:space="preserve"> </w:t>
      </w:r>
      <w:hyperlink w:anchor="ref-hadley2016ggplot2">
        <w:r>
          <w:rPr>
            <w:rStyle w:val="Hipervnculo"/>
          </w:rPr>
          <w:t xml:space="preserve">Wickham, 2016</w:t>
        </w:r>
      </w:hyperlink>
      <w:r>
        <w:t xml:space="preserve">)</w:t>
      </w:r>
      <w:r>
        <w:t xml:space="preserve">.</w:t>
      </w:r>
    </w:p>
    <w:bookmarkEnd w:id="28"/>
    <w:bookmarkEnd w:id="29"/>
    <w:bookmarkStart w:id="30"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on developmental domains, corrected for prematurity, we observed a significant non-linear relationship on communication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0 to 6.8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and neither in the 18.4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 The relationship between developmental domains, corrected age and their effect derivatives can be seen in</w:t>
      </w:r>
      <w:r>
        <w:t xml:space="preserve"> </w:t>
      </w:r>
      <w:hyperlink w:anchor="fig1">
        <w:r>
          <w:rPr>
            <w:rStyle w:val="Hipervnculo"/>
          </w:rPr>
          <w:t xml:space="preserve">Figure 1</w:t>
        </w:r>
      </w:hyperlink>
      <w:r>
        <w:t xml:space="preserve">.</w:t>
      </w:r>
    </w:p>
    <w:p>
      <w:pPr>
        <w:pStyle w:val="Textoindependiente"/>
      </w:pPr>
      <w:r>
        <w:t xml:space="preserve">When analysing the motor skills domain, we found a significant non-linear effect of corrected age on gross motor scores,</w:t>
      </w:r>
      <w:r>
        <w:t xml:space="preserve">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in the 0 to 6.8 age range (</w:t>
      </w:r>
      <m:oMath>
        <m:r>
          <m:t>β</m:t>
        </m:r>
      </m:oMath>
      <w:r>
        <w:t xml:space="preserve"> </w:t>
      </w:r>
      <w:r>
        <w:t xml:space="preserve">= -2.94, CI</w:t>
      </w:r>
      <w:r>
        <w:rPr>
          <w:vertAlign w:val="subscript"/>
        </w:rPr>
        <w:t xml:space="preserve">95%</w:t>
      </w:r>
      <w:r>
        <w:t xml:space="preserve">[-4.55, -1.34],</w:t>
      </w:r>
      <w:r>
        <w:t xml:space="preserve"> </w:t>
      </w:r>
      <m:oMath>
        <m:sSub>
          <m:e>
            <m:r>
              <m:t>t</m:t>
            </m:r>
          </m:e>
          <m:sub>
            <m:r>
              <m:t>s</m:t>
            </m:r>
            <m:r>
              <m:t>t</m:t>
            </m:r>
            <m:r>
              <m:t>u</m:t>
            </m:r>
            <m:r>
              <m:t>d</m:t>
            </m:r>
            <m:r>
              <m:t>e</m:t>
            </m:r>
            <m:r>
              <m:t>n</m:t>
            </m:r>
            <m:r>
              <m:t>t</m:t>
            </m:r>
          </m:sub>
        </m:sSub>
      </m:oMath>
      <w:r>
        <w:t xml:space="preserve"> </w:t>
      </w:r>
      <w:r>
        <w:t xml:space="preserve">(226.75) = -3.7,</w:t>
      </w:r>
      <w:r>
        <w:t xml:space="preserve"> </w:t>
      </w:r>
      <w:r>
        <w:rPr>
          <w:iCs/>
          <w:i/>
        </w:rPr>
        <w:t xml:space="preserve">p</w:t>
      </w:r>
      <w:r>
        <w:t xml:space="preserve"> </w:t>
      </w:r>
      <w:r>
        <w:t xml:space="preserve">= 0.004), but in the 9.7 to 15.5 interval, this relationship was inverted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although, in the 7.3 to 9.2 (</w:t>
      </w:r>
      <m:oMath>
        <m:r>
          <m:t>β</m:t>
        </m:r>
      </m:oMath>
      <w:r>
        <w:t xml:space="preserve"> </w:t>
      </w:r>
      <w:r>
        <w:t xml:space="preserve">= 0.02, CI</w:t>
      </w:r>
      <w:r>
        <w:rPr>
          <w:vertAlign w:val="subscript"/>
        </w:rPr>
        <w:t xml:space="preserve">95%</w:t>
      </w:r>
      <w:r>
        <w:t xml:space="preserve">[-1.12, 1.17]) and 16 to 48 age range (</w:t>
      </w:r>
      <m:oMath>
        <m:r>
          <m:t>β</m:t>
        </m:r>
      </m:oMath>
      <w:r>
        <w:t xml:space="preserve"> </w:t>
      </w:r>
      <w:r>
        <w:t xml:space="preserve">= -0.02, CI</w:t>
      </w:r>
      <w:r>
        <w:rPr>
          <w:vertAlign w:val="subscript"/>
        </w:rPr>
        <w:t xml:space="preserve">95%</w:t>
      </w:r>
      <w:r>
        <w:t xml:space="preserve">[-2.05, 2.01]) the slope was non-significant and virtually zero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and</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 respectively).</w:t>
      </w:r>
    </w:p>
    <w:p>
      <w:pPr>
        <w:pStyle w:val="Textoindependiente"/>
      </w:pPr>
      <w:r>
        <w:t xml:space="preserve">Despite the fact that a similar non-linear effect was observed when inspecting the influence of corrected age in the fine motor domain scores (</w:t>
      </w:r>
      <m:oMath>
        <m:sSub>
          <m:e>
            <m:r>
              <m:t>F</m:t>
            </m:r>
          </m:e>
          <m:sub>
            <m:r>
              <m:t>s</m:t>
            </m:r>
            <m:r>
              <m:t>m</m:t>
            </m:r>
            <m:r>
              <m:t>o</m:t>
            </m:r>
            <m:r>
              <m:t>o</m:t>
            </m:r>
            <m:r>
              <m:t>t</m:t>
            </m:r>
            <m:r>
              <m:t>h</m:t>
            </m:r>
          </m:sub>
        </m:sSub>
      </m:oMath>
      <w:r>
        <w:t xml:space="preserve"> </w:t>
      </w:r>
      <w:r>
        <w:t xml:space="preserve">(2.59, 226.77) = 4.2,</w:t>
      </w:r>
      <w:r>
        <w:t xml:space="preserve"> </w:t>
      </w:r>
      <w:r>
        <w:rPr>
          <w:iCs/>
          <w:i/>
        </w:rPr>
        <w:t xml:space="preserve">p</w:t>
      </w:r>
      <w:r>
        <w:t xml:space="preserve"> </w:t>
      </w:r>
      <w:r>
        <w:t xml:space="preserve">= 0.005), it was not possible to estimate a significant overall effect different from zero (</w:t>
      </w:r>
      <m:oMath>
        <m:r>
          <m:t>β</m:t>
        </m:r>
      </m:oMath>
      <w:r>
        <w:t xml:space="preserve"> </w:t>
      </w:r>
      <w:r>
        <w:t xml:space="preserve">= 0.04, CI</w:t>
      </w:r>
      <w:r>
        <w:rPr>
          <w:vertAlign w:val="subscript"/>
        </w:rPr>
        <w:t xml:space="preserve">95%</w:t>
      </w:r>
      <w:r>
        <w:t xml:space="preserve">[-0.45, 0.52],</w:t>
      </w:r>
      <w:r>
        <w:t xml:space="preserve"> </w:t>
      </w:r>
      <m:oMath>
        <m:sSub>
          <m:e>
            <m:r>
              <m:t>t</m:t>
            </m:r>
          </m:e>
          <m:sub>
            <m:r>
              <m:t>s</m:t>
            </m:r>
            <m:r>
              <m:t>t</m:t>
            </m:r>
            <m:r>
              <m:t>u</m:t>
            </m:r>
            <m:r>
              <m:t>d</m:t>
            </m:r>
            <m:r>
              <m:t>e</m:t>
            </m:r>
            <m:r>
              <m:t>n</m:t>
            </m:r>
            <m:r>
              <m:t>t</m:t>
            </m:r>
          </m:sub>
        </m:sSub>
      </m:oMath>
      <w:r>
        <w:t xml:space="preserve"> </w:t>
      </w:r>
      <w:r>
        <w:t xml:space="preserve">(226.77) = 0.14,</w:t>
      </w:r>
      <w:r>
        <w:t xml:space="preserve"> </w:t>
      </w:r>
      <w:r>
        <w:rPr>
          <w:iCs/>
          <w:i/>
        </w:rPr>
        <w:t xml:space="preserve">p</w:t>
      </w:r>
      <w:r>
        <w:t xml:space="preserve"> </w:t>
      </w:r>
      <w:r>
        <w:t xml:space="preserve">= 0.886), nevertheless, it was only in the 22.3 to 38.3 age range where a significant negative effect was observed (</w:t>
      </w:r>
      <m:oMath>
        <m:r>
          <m:t>β</m:t>
        </m:r>
      </m:oMath>
      <w:r>
        <w:t xml:space="preserve"> </w:t>
      </w:r>
      <w:r>
        <w:t xml:space="preserve">= -0.79, CI</w:t>
      </w:r>
      <w:r>
        <w:rPr>
          <w:vertAlign w:val="subscript"/>
        </w:rPr>
        <w:t xml:space="preserve">95%</w:t>
      </w:r>
      <w:r>
        <w:t xml:space="preserve">[-1.45, -0.12],</w:t>
      </w:r>
      <w:r>
        <w:t xml:space="preserve"> </w:t>
      </w:r>
      <m:oMath>
        <m:sSub>
          <m:e>
            <m:r>
              <m:t>t</m:t>
            </m:r>
          </m:e>
          <m:sub>
            <m:r>
              <m:t>s</m:t>
            </m:r>
            <m:r>
              <m:t>t</m:t>
            </m:r>
            <m:r>
              <m:t>u</m:t>
            </m:r>
            <m:r>
              <m:t>d</m:t>
            </m:r>
            <m:r>
              <m:t>e</m:t>
            </m:r>
            <m:r>
              <m:t>n</m:t>
            </m:r>
            <m:r>
              <m:t>t</m:t>
            </m:r>
          </m:sub>
        </m:sSub>
      </m:oMath>
      <w:r>
        <w:t xml:space="preserve"> </w:t>
      </w:r>
      <w:r>
        <w:t xml:space="preserve">(226.77) = -2.34,</w:t>
      </w:r>
      <w:r>
        <w:t xml:space="preserve"> </w:t>
      </w:r>
      <w:r>
        <w:rPr>
          <w:iCs/>
          <w:i/>
        </w:rPr>
        <w:t xml:space="preserve">p</w:t>
      </w:r>
      <w:r>
        <w:t xml:space="preserve"> </w:t>
      </w:r>
      <w:r>
        <w:t xml:space="preserve">= 0.022).</w:t>
      </w:r>
    </w:p>
    <w:p>
      <w:pPr>
        <w:pStyle w:val="Textoindependiente"/>
      </w:pPr>
      <w:r>
        <w:t xml:space="preserve">Problem solving abilities were significantly influenced by corrected age (</w:t>
      </w:r>
      <m:oMath>
        <m:sSub>
          <m:e>
            <m:r>
              <m:t>F</m:t>
            </m:r>
          </m:e>
          <m:sub>
            <m:r>
              <m:t>s</m:t>
            </m:r>
            <m:r>
              <m:t>m</m:t>
            </m:r>
            <m:r>
              <m:t>o</m:t>
            </m:r>
            <m:r>
              <m:t>o</m:t>
            </m:r>
            <m:r>
              <m:t>t</m:t>
            </m:r>
            <m:r>
              <m:t>h</m:t>
            </m:r>
          </m:sub>
        </m:sSub>
      </m:oMath>
      <w:r>
        <w:t xml:space="preserve"> </w:t>
      </w:r>
      <w:r>
        <w:t xml:space="preserve">(5.66, 227.01) = 3.65,</w:t>
      </w:r>
      <w:r>
        <w:t xml:space="preserve"> </w:t>
      </w:r>
      <w:r>
        <w:rPr>
          <w:iCs/>
          <w:i/>
        </w:rPr>
        <w:t xml:space="preserve">p</w:t>
      </w:r>
      <w:r>
        <w:t xml:space="preserve"> </w:t>
      </w:r>
      <w:r>
        <w:t xml:space="preserve">= 0.001), with an overall negative effect (</w:t>
      </w:r>
      <m:oMath>
        <m:r>
          <m:t>β</m:t>
        </m:r>
      </m:oMath>
      <w:r>
        <w:t xml:space="preserve"> </w:t>
      </w:r>
      <w:r>
        <w:t xml:space="preserve">= -1.87, CI</w:t>
      </w:r>
      <w:r>
        <w:rPr>
          <w:vertAlign w:val="subscript"/>
        </w:rPr>
        <w:t xml:space="preserve">95%</w:t>
      </w:r>
      <w:r>
        <w:t xml:space="preserve">[-3.17, -0.57],</w:t>
      </w:r>
      <w:r>
        <w:t xml:space="preserve"> </w:t>
      </w:r>
      <m:oMath>
        <m:sSub>
          <m:e>
            <m:r>
              <m:t>t</m:t>
            </m:r>
          </m:e>
          <m:sub>
            <m:r>
              <m:t>s</m:t>
            </m:r>
            <m:r>
              <m:t>t</m:t>
            </m:r>
            <m:r>
              <m:t>u</m:t>
            </m:r>
            <m:r>
              <m:t>d</m:t>
            </m:r>
            <m:r>
              <m:t>e</m:t>
            </m:r>
            <m:r>
              <m:t>n</m:t>
            </m:r>
            <m:r>
              <m:t>t</m:t>
            </m:r>
          </m:sub>
        </m:sSub>
      </m:oMath>
      <w:r>
        <w:t xml:space="preserve"> </w:t>
      </w:r>
      <w:r>
        <w:t xml:space="preserve">(227.01) = -2.83,</w:t>
      </w:r>
      <w:r>
        <w:t xml:space="preserve"> </w:t>
      </w:r>
      <w:r>
        <w:rPr>
          <w:iCs/>
          <w:i/>
        </w:rPr>
        <w:t xml:space="preserve">p</w:t>
      </w:r>
      <w:r>
        <w:t xml:space="preserve"> </w:t>
      </w:r>
      <w:r>
        <w:t xml:space="preserve">= 0.005), and just like the other domains, this relationship was modified across corrected age. In this sense, from the 0 to 5.8 age interval, we found that for every increase in one month in corrected age, we can expect a proportional increase in 2.81 points (CI</w:t>
      </w:r>
      <w:r>
        <w:rPr>
          <w:vertAlign w:val="subscript"/>
        </w:rPr>
        <w:t xml:space="preserve">95%</w:t>
      </w:r>
      <w:r>
        <w:t xml:space="preserve">[1.18, 4.44],</w:t>
      </w:r>
      <w:r>
        <w:t xml:space="preserve"> </w:t>
      </w:r>
      <m:oMath>
        <m:sSub>
          <m:e>
            <m:r>
              <m:t>t</m:t>
            </m:r>
          </m:e>
          <m:sub>
            <m:r>
              <m:t>s</m:t>
            </m:r>
            <m:r>
              <m:t>t</m:t>
            </m:r>
            <m:r>
              <m:t>u</m:t>
            </m:r>
            <m:r>
              <m:t>d</m:t>
            </m:r>
            <m:r>
              <m:t>e</m:t>
            </m:r>
            <m:r>
              <m:t>n</m:t>
            </m:r>
            <m:r>
              <m:t>t</m:t>
            </m:r>
          </m:sub>
        </m:sSub>
      </m:oMath>
      <w:r>
        <w:t xml:space="preserve"> </w:t>
      </w:r>
      <w:r>
        <w:t xml:space="preserve">(227.01) = 3.49,</w:t>
      </w:r>
      <w:r>
        <w:t xml:space="preserve"> </w:t>
      </w:r>
      <w:r>
        <w:rPr>
          <w:iCs/>
          <w:i/>
        </w:rPr>
        <w:t xml:space="preserve">p</w:t>
      </w:r>
      <w:r>
        <w:t xml:space="preserve"> </w:t>
      </w:r>
      <w:r>
        <w:t xml:space="preserve">= 0.002) in the problem solving domain, while in the 9.2 to 14.1 age range this relationship is modified inversely, mainly because in this range we observed that for every increase in one month in corrected age, we could expect a decrease in 1.59 points (CI</w:t>
      </w:r>
      <w:r>
        <w:rPr>
          <w:vertAlign w:val="subscript"/>
        </w:rPr>
        <w:t xml:space="preserve">95%</w:t>
      </w:r>
      <w:r>
        <w:t xml:space="preserve">[-2.82, -0.37],</w:t>
      </w:r>
      <w:r>
        <w:t xml:space="preserve"> </w:t>
      </w:r>
      <m:oMath>
        <m:sSub>
          <m:e>
            <m:r>
              <m:t>t</m:t>
            </m:r>
          </m:e>
          <m:sub>
            <m:r>
              <m:t>s</m:t>
            </m:r>
            <m:r>
              <m:t>t</m:t>
            </m:r>
            <m:r>
              <m:t>u</m:t>
            </m:r>
            <m:r>
              <m:t>d</m:t>
            </m:r>
            <m:r>
              <m:t>e</m:t>
            </m:r>
            <m:r>
              <m:t>n</m:t>
            </m:r>
            <m:r>
              <m:t>t</m:t>
            </m:r>
          </m:sub>
        </m:sSub>
      </m:oMath>
      <w:r>
        <w:t xml:space="preserve"> </w:t>
      </w:r>
      <w:r>
        <w:t xml:space="preserve">(227.01) = -2.55,</w:t>
      </w:r>
      <w:r>
        <w:t xml:space="preserve"> </w:t>
      </w:r>
      <w:r>
        <w:rPr>
          <w:iCs/>
          <w:i/>
        </w:rPr>
        <w:t xml:space="preserve">p</w:t>
      </w:r>
      <w:r>
        <w:t xml:space="preserve"> </w:t>
      </w:r>
      <w:r>
        <w:t xml:space="preserve">= 0.015) in the same domain. Other age intervals had no significant slope different from zero (age range [6.3, 8.7],</w:t>
      </w:r>
      <w:r>
        <w:t xml:space="preserve"> </w:t>
      </w:r>
      <m:oMath>
        <m:r>
          <m:t>β</m:t>
        </m:r>
      </m:oMath>
      <w:r>
        <w:t xml:space="preserve"> </w:t>
      </w:r>
      <w:r>
        <w:t xml:space="preserve">= 0.05, CI</w:t>
      </w:r>
      <w:r>
        <w:rPr>
          <w:vertAlign w:val="subscript"/>
        </w:rPr>
        <w:t xml:space="preserve">95%</w:t>
      </w:r>
      <w:r>
        <w:t xml:space="preserve">[-1.1, 1.2],</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0.395; age range [14.5, 48.0],</w:t>
      </w:r>
      <w:r>
        <w:t xml:space="preserve"> </w:t>
      </w:r>
      <m:oMath>
        <m:r>
          <m:t>β</m:t>
        </m:r>
      </m:oMath>
      <w:r>
        <w:t xml:space="preserve"> </w:t>
      </w:r>
      <w:r>
        <w:t xml:space="preserve">= 0.03, CI</w:t>
      </w:r>
      <w:r>
        <w:rPr>
          <w:vertAlign w:val="subscript"/>
        </w:rPr>
        <w:t xml:space="preserve">95%</w:t>
      </w:r>
      <w:r>
        <w:t xml:space="preserve">[-1.99, 2.04],</w:t>
      </w:r>
      <w:r>
        <w:t xml:space="preserve"> </w:t>
      </w:r>
      <m:oMath>
        <m:sSub>
          <m:e>
            <m:r>
              <m:t>t</m:t>
            </m:r>
          </m:e>
          <m:sub>
            <m:r>
              <m:t>s</m:t>
            </m:r>
            <m:r>
              <m:t>t</m:t>
            </m:r>
            <m:r>
              <m:t>u</m:t>
            </m:r>
            <m:r>
              <m:t>d</m:t>
            </m:r>
            <m:r>
              <m:t>e</m:t>
            </m:r>
            <m:r>
              <m:t>n</m:t>
            </m:r>
            <m:r>
              <m:t>t</m:t>
            </m:r>
          </m:sub>
        </m:sSub>
      </m:oMath>
      <w:r>
        <w:t xml:space="preserve"> </w:t>
      </w:r>
      <w:r>
        <w:t xml:space="preserve">(227.01) = -0.06,</w:t>
      </w:r>
      <w:r>
        <w:t xml:space="preserve"> </w:t>
      </w:r>
      <w:r>
        <w:rPr>
          <w:iCs/>
          <w:i/>
        </w:rPr>
        <w:t xml:space="preserve">p</w:t>
      </w:r>
      <w:r>
        <w:t xml:space="preserve"> </w:t>
      </w:r>
      <w:r>
        <w:t xml:space="preserve">= 0.55).</w:t>
      </w:r>
    </w:p>
    <w:p>
      <w:pPr>
        <w:pStyle w:val="Textoindependiente"/>
      </w:pPr>
      <w:r>
        <w:t xml:space="preserve">Unlike the others, socio-individual domain was not influenced by corrected age (</w:t>
      </w:r>
      <m:oMath>
        <m:sSub>
          <m:e>
            <m:r>
              <m:t>F</m:t>
            </m:r>
          </m:e>
          <m:sub>
            <m:r>
              <m:t>s</m:t>
            </m:r>
            <m:r>
              <m:t>m</m:t>
            </m:r>
            <m:r>
              <m:t>o</m:t>
            </m:r>
            <m:r>
              <m:t>o</m:t>
            </m:r>
            <m:r>
              <m:t>t</m:t>
            </m:r>
            <m:r>
              <m:t>h</m:t>
            </m:r>
          </m:sub>
        </m:sSub>
      </m:oMath>
      <w:r>
        <w:t xml:space="preserve"> </w:t>
      </w:r>
      <w:r>
        <w:t xml:space="preserve">(1, 231.58) = 1.16,</w:t>
      </w:r>
      <w:r>
        <w:t xml:space="preserve"> </w:t>
      </w:r>
      <w:r>
        <w:rPr>
          <w:iCs/>
          <w:i/>
        </w:rPr>
        <w:t xml:space="preserve">p</w:t>
      </w:r>
      <w:r>
        <w:t xml:space="preserve"> </w:t>
      </w:r>
      <w:r>
        <w:t xml:space="preserve">= 0.282). Accordingly, prematurity (measured in weeks) was not associated with any developmental domain within ASQ-3 assessment (significance for smooth: communication,</w:t>
      </w:r>
      <w:r>
        <w:t xml:space="preserve"> </w:t>
      </w:r>
      <w:r>
        <w:rPr>
          <w:iCs/>
          <w:i/>
        </w:rPr>
        <w:t xml:space="preserve">p</w:t>
      </w:r>
      <w:r>
        <w:t xml:space="preserve"> </w:t>
      </w:r>
      <w:r>
        <w:t xml:space="preserve">= 0.715; fine motor,</w:t>
      </w:r>
      <w:r>
        <w:t xml:space="preserve"> </w:t>
      </w:r>
      <w:r>
        <w:rPr>
          <w:iCs/>
          <w:i/>
        </w:rPr>
        <w:t xml:space="preserve">p</w:t>
      </w:r>
      <w:r>
        <w:t xml:space="preserve"> </w:t>
      </w:r>
      <w:r>
        <w:t xml:space="preserve">= 0.987; gross motor,</w:t>
      </w:r>
      <w:r>
        <w:t xml:space="preserve"> </w:t>
      </w:r>
      <w:r>
        <w:rPr>
          <w:iCs/>
          <w:i/>
        </w:rPr>
        <w:t xml:space="preserve">p</w:t>
      </w:r>
      <w:r>
        <w:t xml:space="preserve"> </w:t>
      </w:r>
      <w:r>
        <w:t xml:space="preserve">= 0.357; problem-solving,</w:t>
      </w:r>
      <w:r>
        <w:t xml:space="preserve"> </w:t>
      </w:r>
      <w:r>
        <w:rPr>
          <w:iCs/>
          <w:i/>
        </w:rPr>
        <w:t xml:space="preserve">p</w:t>
      </w:r>
      <w:r>
        <w:t xml:space="preserve"> </w:t>
      </w:r>
      <w:r>
        <w:t xml:space="preserve">= 0.292; personal-social,</w:t>
      </w:r>
      <w:r>
        <w:t xml:space="preserve"> </w:t>
      </w:r>
      <w:r>
        <w:rPr>
          <w:iCs/>
          <w:i/>
        </w:rPr>
        <w:t xml:space="preserve">p</w:t>
      </w:r>
      <w:r>
        <w:t xml:space="preserve"> </w:t>
      </w:r>
      <w:r>
        <w:t xml:space="preserve">= 0.131).</w:t>
      </w:r>
    </w:p>
    <w:bookmarkEnd w:id="30"/>
    <w:bookmarkStart w:id="31" w:name="discussion"/>
    <w:p>
      <w:pPr>
        <w:pStyle w:val="Ttulo1"/>
      </w:pPr>
      <w:r>
        <w:t xml:space="preserve">Discussion</w:t>
      </w:r>
    </w:p>
    <w:p>
      <w:pPr>
        <w:pStyle w:val="FirstParagraph"/>
      </w:pPr>
      <w:r>
        <w:t xml:space="preserve">Our study aimed to describe and model the relationship between sociodemographic data, prematurity and neurodevelopmental levels based on ASQ-3 scores in infants diagnosed with BCH. Our main findings suggest a non-linear effect of age, corrected for prematurity, with a marked decrease in scores for all neurodevelopmental traits at different age frames, even after adjusting for caregiver relationship, gender and inter-rater influence. However in the personal-individual domain, there was no variation observed across corrected age.</w:t>
      </w:r>
    </w:p>
    <w:p>
      <w:pPr>
        <w:pStyle w:val="Textoindependiente"/>
      </w:pPr>
      <w:r>
        <w:t xml:space="preserve">This could be associated with the described motor impairments of hypotonia in the early stages of life, which could compromise the infant’s ability to explore and interact with his or her environment</w:t>
      </w:r>
      <w:r>
        <w:t xml:space="preserve"> </w:t>
      </w:r>
      <w:r>
        <w:t xml:space="preserve">(</w:t>
      </w:r>
      <w:hyperlink w:anchor="ref-gabis2021weak">
        <w:r>
          <w:rPr>
            <w:rStyle w:val="Hipervnculo"/>
          </w:rPr>
          <w:t xml:space="preserve">Gabis et al., 2021</w:t>
        </w:r>
      </w:hyperlink>
      <w:r>
        <w:t xml:space="preserve">;</w:t>
      </w:r>
      <w:r>
        <w:t xml:space="preserve"> </w:t>
      </w:r>
      <w:hyperlink w:anchor="ref-harris2008congenital">
        <w:r>
          <w:rPr>
            <w:rStyle w:val="Hipervnculo"/>
          </w:rPr>
          <w:t xml:space="preserve">Harris, 2008</w:t>
        </w:r>
      </w:hyperlink>
      <w:r>
        <w:t xml:space="preserve">)</w:t>
      </w:r>
      <w:r>
        <w:t xml:space="preserve">. A reflection of the aforementioned would be expressed in an altered development of gross motor function in the first months of life, with a consequent limitation in fine motor skills later on, which would have a subsequent negative impact on the communicative competence of infants, secondary to a reduced interaction with their environment and peers. The results found in our study are congruent with what other authors have discussed in relation to the role of gross and fine motor skills in language development</w:t>
      </w:r>
      <w:r>
        <w:t xml:space="preserve"> </w:t>
      </w:r>
      <w:r>
        <w:t xml:space="preserve">(</w:t>
      </w:r>
      <w:hyperlink w:anchor="ref-gonzalez2019gross">
        <w:r>
          <w:rPr>
            <w:rStyle w:val="Hipervnculo"/>
          </w:rPr>
          <w:t xml:space="preserve">Gonzalez, Alvarez, &amp; Nelson, 2019</w:t>
        </w:r>
      </w:hyperlink>
      <w:r>
        <w:t xml:space="preserve">)</w:t>
      </w:r>
      <w:r>
        <w:t xml:space="preserve">.</w:t>
      </w:r>
    </w:p>
    <w:p>
      <w:pPr>
        <w:pStyle w:val="Textoindependiente"/>
      </w:pPr>
      <w:r>
        <w:t xml:space="preserve">It is worth noting that other context-mediated social factors may also have influenced our results, mainly due to the role that other variables would also play in the neurodevelopment of our study sample, which could have an impact on many of the developmental traits assessed here, such as intrauterine growth restrictions, maternal depression, institutionalisation, exposure to social violence, maternal education and breastfeeding</w:t>
      </w:r>
      <w:r>
        <w:t xml:space="preserve"> </w:t>
      </w:r>
      <w:r>
        <w:t xml:space="preserve">(</w:t>
      </w:r>
      <w:hyperlink w:anchor="ref-walker2011inequality">
        <w:r>
          <w:rPr>
            <w:rStyle w:val="Hipervnculo"/>
          </w:rPr>
          <w:t xml:space="preserve">Walker et al., 2011</w:t>
        </w:r>
      </w:hyperlink>
      <w:r>
        <w:t xml:space="preserve">)</w:t>
      </w:r>
      <w:r>
        <w:t xml:space="preserve">. All together, these represent the main limitations in our study design, which need to be addressed in future research exploring the variations observed in different developmental traits in hypotonic infants. However, our study sheds light to an underexplored aspect of congenital myopathies, with robust statistical methods that made it possible to model the data and capture the complex relationships seen early in life.</w:t>
      </w:r>
    </w:p>
    <w:bookmarkEnd w:id="31"/>
    <w:bookmarkStart w:id="32" w:name="conclusion"/>
    <w:p>
      <w:pPr>
        <w:pStyle w:val="Ttulo1"/>
      </w:pPr>
      <w:r>
        <w:t xml:space="preserve">Conclusion</w:t>
      </w:r>
    </w:p>
    <w:p>
      <w:pPr>
        <w:pStyle w:val="FirstParagraph"/>
      </w:pPr>
      <w:r>
        <w:t xml:space="preserve">[…].</w:t>
      </w:r>
    </w:p>
    <w:bookmarkEnd w:id="32"/>
    <w:bookmarkStart w:id="33" w:name="acknowledgment"/>
    <w:p>
      <w:pPr>
        <w:pStyle w:val="Ttulo1"/>
      </w:pPr>
      <w:r>
        <w:t xml:space="preserve">Acknowledgment</w:t>
      </w:r>
    </w:p>
    <w:p>
      <w:pPr>
        <w:pStyle w:val="FirstParagraph"/>
      </w:pPr>
      <w:r>
        <w:t xml:space="preserve">[…].</w:t>
      </w:r>
    </w:p>
    <w:bookmarkEnd w:id="33"/>
    <w:bookmarkStart w:id="34" w:name="conflicts-of-interest"/>
    <w:p>
      <w:pPr>
        <w:pStyle w:val="Ttulo1"/>
      </w:pPr>
      <w:r>
        <w:t xml:space="preserve">Conflicts of interest</w:t>
      </w:r>
    </w:p>
    <w:p>
      <w:pPr>
        <w:pStyle w:val="FirstParagraph"/>
      </w:pPr>
      <w:r>
        <w:t xml:space="preserve">[…].</w:t>
      </w:r>
    </w:p>
    <w:bookmarkEnd w:id="34"/>
    <w:bookmarkStart w:id="63" w:name="references"/>
    <w:p>
      <w:pPr>
        <w:pStyle w:val="Ttulo1"/>
      </w:pPr>
      <w:r>
        <w:t xml:space="preserve">References</w:t>
      </w:r>
    </w:p>
    <w:bookmarkStart w:id="60" w:name="refs"/>
    <w:bookmarkStart w:id="35" w:name="ref-ballantyne2016risk"/>
    <w:p>
      <w:pPr>
        <w:pStyle w:val="Bibliografa"/>
      </w:pPr>
      <w:r>
        <w:t xml:space="preserve">Ballantyne, M., Benzies, K. M., McDonald, S., Magill-Evans, J., &amp; Tough, S. (2016). Risk of developmental delay: Comparison of late preterm and full term canadian infants at age 12 months.</w:t>
      </w:r>
      <w:r>
        <w:t xml:space="preserve"> </w:t>
      </w:r>
      <w:r>
        <w:rPr>
          <w:iCs/>
          <w:i/>
        </w:rPr>
        <w:t xml:space="preserve">Early Human Development</w:t>
      </w:r>
      <w:r>
        <w:t xml:space="preserve">,</w:t>
      </w:r>
      <w:r>
        <w:t xml:space="preserve"> </w:t>
      </w:r>
      <w:r>
        <w:rPr>
          <w:iCs/>
          <w:i/>
        </w:rPr>
        <w:t xml:space="preserve">101</w:t>
      </w:r>
      <w:r>
        <w:t xml:space="preserve">, 27–32.</w:t>
      </w:r>
    </w:p>
    <w:bookmarkEnd w:id="35"/>
    <w:bookmarkStart w:id="36" w:name="ref-bruder2010early"/>
    <w:p>
      <w:pPr>
        <w:pStyle w:val="Bibliografa"/>
      </w:pPr>
      <w:r>
        <w:t xml:space="preserve">Bruder, M. B. (2010). Early childhood intervention: A promise to children and families for their future.</w:t>
      </w:r>
      <w:r>
        <w:t xml:space="preserve"> </w:t>
      </w:r>
      <w:r>
        <w:rPr>
          <w:iCs/>
          <w:i/>
        </w:rPr>
        <w:t xml:space="preserve">Exceptional Children</w:t>
      </w:r>
      <w:r>
        <w:t xml:space="preserve">,</w:t>
      </w:r>
      <w:r>
        <w:t xml:space="preserve"> </w:t>
      </w:r>
      <w:r>
        <w:rPr>
          <w:iCs/>
          <w:i/>
        </w:rPr>
        <w:t xml:space="preserve">76</w:t>
      </w:r>
      <w:r>
        <w:t xml:space="preserve">(3), 339–355.</w:t>
      </w:r>
    </w:p>
    <w:bookmarkEnd w:id="36"/>
    <w:bookmarkStart w:id="37" w:name="ref-di2016predictive"/>
    <w:p>
      <w:pPr>
        <w:pStyle w:val="Bibliografa"/>
      </w:pPr>
      <w:r>
        <w:t xml:space="preserve">Di Rosa, G., Cavallaro, T., Alibrandi, A., Marseglia, L., Lamberti, M., Giaimo, E., … Gagliano, A. (2016). Predictive role of early milestones-related psychomotor profiles and long-term neurodevelopmental pitfalls in preterm infants.</w:t>
      </w:r>
      <w:r>
        <w:t xml:space="preserve"> </w:t>
      </w:r>
      <w:r>
        <w:rPr>
          <w:iCs/>
          <w:i/>
        </w:rPr>
        <w:t xml:space="preserve">Early Human Development</w:t>
      </w:r>
      <w:r>
        <w:t xml:space="preserve">,</w:t>
      </w:r>
      <w:r>
        <w:t xml:space="preserve"> </w:t>
      </w:r>
      <w:r>
        <w:rPr>
          <w:iCs/>
          <w:i/>
        </w:rPr>
        <w:t xml:space="preserve">101</w:t>
      </w:r>
      <w:r>
        <w:t xml:space="preserve">, 49–55.</w:t>
      </w:r>
    </w:p>
    <w:bookmarkEnd w:id="37"/>
    <w:bookmarkStart w:id="38" w:name="ref-gabis2021weak"/>
    <w:p>
      <w:pPr>
        <w:pStyle w:val="Bibliografa"/>
      </w:pPr>
      <w:r>
        <w:t xml:space="preserve">Gabis, L. V., Shaham, M., Leon Attia, O., Shefer, S., Rosenan, R., Gabis, T., &amp; Daloya, M. (2021). The weak link: Hypotonia in infancy and autism early identification.</w:t>
      </w:r>
      <w:r>
        <w:t xml:space="preserve"> </w:t>
      </w:r>
      <w:r>
        <w:rPr>
          <w:iCs/>
          <w:i/>
        </w:rPr>
        <w:t xml:space="preserve">Frontiers in Neurology</w:t>
      </w:r>
      <w:r>
        <w:t xml:space="preserve">,</w:t>
      </w:r>
      <w:r>
        <w:t xml:space="preserve"> </w:t>
      </w:r>
      <w:r>
        <w:rPr>
          <w:iCs/>
          <w:i/>
        </w:rPr>
        <w:t xml:space="preserve">12</w:t>
      </w:r>
      <w:r>
        <w:t xml:space="preserve">, 612674.</w:t>
      </w:r>
    </w:p>
    <w:bookmarkEnd w:id="38"/>
    <w:bookmarkStart w:id="39" w:name="ref-gonzalez2019gross"/>
    <w:p>
      <w:pPr>
        <w:pStyle w:val="Bibliografa"/>
      </w:pPr>
      <w:r>
        <w:t xml:space="preserve">Gonzalez, S. L., Alvarez, V., &amp; Nelson, E. L. (2019). Do gross and fine motor skills differentially contribute to language outcomes? A systematic review.</w:t>
      </w:r>
      <w:r>
        <w:t xml:space="preserve"> </w:t>
      </w:r>
      <w:r>
        <w:rPr>
          <w:iCs/>
          <w:i/>
        </w:rPr>
        <w:t xml:space="preserve">Frontiers in Psychology</w:t>
      </w:r>
      <w:r>
        <w:t xml:space="preserve">,</w:t>
      </w:r>
      <w:r>
        <w:t xml:space="preserve"> </w:t>
      </w:r>
      <w:r>
        <w:rPr>
          <w:iCs/>
          <w:i/>
        </w:rPr>
        <w:t xml:space="preserve">10</w:t>
      </w:r>
      <w:r>
        <w:t xml:space="preserve">, 2670.</w:t>
      </w:r>
    </w:p>
    <w:bookmarkEnd w:id="39"/>
    <w:bookmarkStart w:id="40" w:name="ref-guralnick2017early"/>
    <w:p>
      <w:pPr>
        <w:pStyle w:val="Bibliografa"/>
      </w:pPr>
      <w:r>
        <w:t xml:space="preserve">Guralnick, M. J. (2017). Early intervention for children with intellectual disabilities: An update.</w:t>
      </w:r>
      <w:r>
        <w:t xml:space="preserve"> </w:t>
      </w:r>
      <w:r>
        <w:rPr>
          <w:iCs/>
          <w:i/>
        </w:rPr>
        <w:t xml:space="preserve">Journal of Applied Research in Intellectual Disabilities</w:t>
      </w:r>
      <w:r>
        <w:t xml:space="preserve">,</w:t>
      </w:r>
      <w:r>
        <w:t xml:space="preserve"> </w:t>
      </w:r>
      <w:r>
        <w:rPr>
          <w:iCs/>
          <w:i/>
        </w:rPr>
        <w:t xml:space="preserve">30</w:t>
      </w:r>
      <w:r>
        <w:t xml:space="preserve">(2), 211–229.</w:t>
      </w:r>
    </w:p>
    <w:bookmarkEnd w:id="40"/>
    <w:bookmarkStart w:id="41" w:name="ref-harris2008congenital"/>
    <w:p>
      <w:pPr>
        <w:pStyle w:val="Bibliografa"/>
      </w:pPr>
      <w:r>
        <w:t xml:space="preserve">Harris, S. R. (2008). Congenital hypotonia: Clinical and developmental assessment.</w:t>
      </w:r>
      <w:r>
        <w:t xml:space="preserve"> </w:t>
      </w:r>
      <w:r>
        <w:rPr>
          <w:iCs/>
          <w:i/>
        </w:rPr>
        <w:t xml:space="preserve">Developmental Medicine &amp; Child Neurology</w:t>
      </w:r>
      <w:r>
        <w:t xml:space="preserve">,</w:t>
      </w:r>
      <w:r>
        <w:t xml:space="preserve"> </w:t>
      </w:r>
      <w:r>
        <w:rPr>
          <w:iCs/>
          <w:i/>
        </w:rPr>
        <w:t xml:space="preserve">50</w:t>
      </w:r>
      <w:r>
        <w:t xml:space="preserve">(12), 889–892.</w:t>
      </w:r>
    </w:p>
    <w:bookmarkEnd w:id="41"/>
    <w:bookmarkStart w:id="42" w:name="ref-kerstjens2015ages"/>
    <w:p>
      <w:pPr>
        <w:pStyle w:val="Bibliografa"/>
      </w:pPr>
      <w:r>
        <w:t xml:space="preserve">Kerstjens, J. M., Nijhuis, A., Hulzebos, C. V., Van Imhoff, D. E., Wassenaer-Leemhuis, A. G. van, Van Haastert, I. C., et al.others. (2015). The ages and stages questionnaire and neurodevelopmental impairment in two-year-old preterm-born children.</w:t>
      </w:r>
      <w:r>
        <w:t xml:space="preserve"> </w:t>
      </w:r>
      <w:r>
        <w:rPr>
          <w:iCs/>
          <w:i/>
        </w:rPr>
        <w:t xml:space="preserve">PLoS One</w:t>
      </w:r>
      <w:r>
        <w:t xml:space="preserve">,</w:t>
      </w:r>
      <w:r>
        <w:t xml:space="preserve"> </w:t>
      </w:r>
      <w:r>
        <w:rPr>
          <w:iCs/>
          <w:i/>
        </w:rPr>
        <w:t xml:space="preserve">10</w:t>
      </w:r>
      <w:r>
        <w:t xml:space="preserve">(7), e0133087.</w:t>
      </w:r>
    </w:p>
    <w:bookmarkEnd w:id="42"/>
    <w:bookmarkStart w:id="43" w:name="ref-leyenaar2005schematic"/>
    <w:p>
      <w:pPr>
        <w:pStyle w:val="Bibliografa"/>
      </w:pPr>
      <w:r>
        <w:t xml:space="preserve">Leyenaar, J., Camfield, P., &amp; Camfield, C. (2005). A schematic approach to hypotonia in infancy.</w:t>
      </w:r>
      <w:r>
        <w:t xml:space="preserve"> </w:t>
      </w:r>
      <w:r>
        <w:rPr>
          <w:iCs/>
          <w:i/>
        </w:rPr>
        <w:t xml:space="preserve">Paediatrics &amp; Child Health</w:t>
      </w:r>
      <w:r>
        <w:t xml:space="preserve">,</w:t>
      </w:r>
      <w:r>
        <w:t xml:space="preserve"> </w:t>
      </w:r>
      <w:r>
        <w:rPr>
          <w:iCs/>
          <w:i/>
        </w:rPr>
        <w:t xml:space="preserve">10</w:t>
      </w:r>
      <w:r>
        <w:t xml:space="preserve">(7), 397–400.</w:t>
      </w:r>
    </w:p>
    <w:bookmarkEnd w:id="43"/>
    <w:bookmarkStart w:id="45" w:name="ref-daniel2021see"/>
    <w:p>
      <w:pPr>
        <w:pStyle w:val="Bibliografa"/>
      </w:pPr>
      <w:r>
        <w:t xml:space="preserve">Lüdecke, D., Patil, I., Ben-Shachar, M. S., Wiernik, B. M., Waggoner, P., &amp; Makowski, D. (2021).</w:t>
      </w:r>
      <w:r>
        <w:t xml:space="preserve"> </w:t>
      </w:r>
      <w:r>
        <w:t xml:space="preserve">see</w:t>
      </w:r>
      <w:r>
        <w:t xml:space="preserve">: An</w:t>
      </w:r>
      <w:r>
        <w:t xml:space="preserve"> </w:t>
      </w:r>
      <w:r>
        <w:t xml:space="preserve">R</w:t>
      </w:r>
      <w:r>
        <w:t xml:space="preserve"> </w:t>
      </w:r>
      <w:r>
        <w:t xml:space="preserve">package for visualizing statistical models.</w:t>
      </w:r>
      <w:r>
        <w:t xml:space="preserve"> </w:t>
      </w:r>
      <w:r>
        <w:rPr>
          <w:iCs/>
          <w:i/>
        </w:rPr>
        <w:t xml:space="preserve">Journal of Open Source Software</w:t>
      </w:r>
      <w:r>
        <w:t xml:space="preserve">,</w:t>
      </w:r>
      <w:r>
        <w:t xml:space="preserve"> </w:t>
      </w:r>
      <w:r>
        <w:rPr>
          <w:iCs/>
          <w:i/>
        </w:rPr>
        <w:t xml:space="preserve">6</w:t>
      </w:r>
      <w:r>
        <w:t xml:space="preserve">(64), 3393.</w:t>
      </w:r>
      <w:r>
        <w:t xml:space="preserve"> </w:t>
      </w:r>
      <w:hyperlink r:id="rId44">
        <w:r>
          <w:rPr>
            <w:rStyle w:val="Hipervnculo"/>
          </w:rPr>
          <w:t xml:space="preserve">https://doi.org/10.21105/joss.03393</w:t>
        </w:r>
      </w:hyperlink>
    </w:p>
    <w:bookmarkEnd w:id="45"/>
    <w:bookmarkStart w:id="47" w:name="ref-dominique2020estimation"/>
    <w:p>
      <w:pPr>
        <w:pStyle w:val="Bibliografa"/>
      </w:pPr>
      <w:r>
        <w:t xml:space="preserve">Makowski, D., Ben-Shachar, M. S., Patil, I., &amp; Lüdecke, D. (2020). Estimation of model-based predictions, contrasts and means.</w:t>
      </w:r>
      <w:r>
        <w:t xml:space="preserve"> </w:t>
      </w:r>
      <w:r>
        <w:rPr>
          <w:iCs/>
          <w:i/>
        </w:rPr>
        <w:t xml:space="preserve">CRAN</w:t>
      </w:r>
      <w:r>
        <w:t xml:space="preserve">. Retrieved from</w:t>
      </w:r>
      <w:r>
        <w:t xml:space="preserve"> </w:t>
      </w:r>
      <w:hyperlink r:id="rId46">
        <w:r>
          <w:rPr>
            <w:rStyle w:val="Hipervnculo"/>
          </w:rPr>
          <w:t xml:space="preserve">https://github.com/easystats/modelbased</w:t>
        </w:r>
      </w:hyperlink>
    </w:p>
    <w:bookmarkEnd w:id="47"/>
    <w:bookmarkStart w:id="49" w:name="ref-rlanguage"/>
    <w:p>
      <w:pPr>
        <w:pStyle w:val="Bibliografa"/>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8">
        <w:r>
          <w:rPr>
            <w:rStyle w:val="Hipervnculo"/>
          </w:rPr>
          <w:t xml:space="preserve">https://www.R-project.org/</w:t>
        </w:r>
      </w:hyperlink>
    </w:p>
    <w:bookmarkEnd w:id="49"/>
    <w:bookmarkStart w:id="50" w:name="ref-riou2009global"/>
    <w:p>
      <w:pPr>
        <w:pStyle w:val="Bibliografa"/>
      </w:pPr>
      <w:r>
        <w:t xml:space="preserve">Riou, E. M., Ghosh, S., Francoeur, E., &amp; Shevell, M. I. (2009). Global developmental delay and its relationship to cognitive skills.</w:t>
      </w:r>
      <w:r>
        <w:t xml:space="preserve"> </w:t>
      </w:r>
      <w:r>
        <w:rPr>
          <w:iCs/>
          <w:i/>
        </w:rPr>
        <w:t xml:space="preserve">Developmental Medicine &amp; Child Neurology</w:t>
      </w:r>
      <w:r>
        <w:t xml:space="preserve">,</w:t>
      </w:r>
      <w:r>
        <w:t xml:space="preserve"> </w:t>
      </w:r>
      <w:r>
        <w:rPr>
          <w:iCs/>
          <w:i/>
        </w:rPr>
        <w:t xml:space="preserve">51</w:t>
      </w:r>
      <w:r>
        <w:t xml:space="preserve">(8), 600–606.</w:t>
      </w:r>
    </w:p>
    <w:bookmarkEnd w:id="50"/>
    <w:bookmarkStart w:id="51" w:name="ref-singh2017ages"/>
    <w:p>
      <w:pPr>
        <w:pStyle w:val="Bibliografa"/>
      </w:pPr>
      <w:r>
        <w:t xml:space="preserve">Singh, A., Yeh, C. J., &amp; Blanchard, S. B. (2017). Ages and stages questionnaire: A global screening scale.</w:t>
      </w:r>
      <w:r>
        <w:t xml:space="preserve"> </w:t>
      </w:r>
      <w:r>
        <w:rPr>
          <w:iCs/>
          <w:i/>
        </w:rPr>
        <w:t xml:space="preserve">Bolet</w:t>
      </w:r>
      <w:r>
        <w:rPr>
          <w:iCs/>
          <w:i/>
        </w:rPr>
        <w:t xml:space="preserve">ı́</w:t>
      </w:r>
      <w:r>
        <w:rPr>
          <w:iCs/>
          <w:i/>
        </w:rPr>
        <w:t xml:space="preserve">n M</w:t>
      </w:r>
      <w:r>
        <w:rPr>
          <w:iCs/>
          <w:i/>
        </w:rPr>
        <w:t xml:space="preserve">é</w:t>
      </w:r>
      <w:r>
        <w:rPr>
          <w:iCs/>
          <w:i/>
        </w:rPr>
        <w:t xml:space="preserve">dico Del Hospital Infantil de M</w:t>
      </w:r>
      <w:r>
        <w:rPr>
          <w:iCs/>
          <w:i/>
        </w:rPr>
        <w:t xml:space="preserve">é</w:t>
      </w:r>
      <w:r>
        <w:rPr>
          <w:iCs/>
          <w:i/>
        </w:rPr>
        <w:t xml:space="preserve">xico (English Edition)</w:t>
      </w:r>
      <w:r>
        <w:t xml:space="preserve">,</w:t>
      </w:r>
      <w:r>
        <w:t xml:space="preserve"> </w:t>
      </w:r>
      <w:r>
        <w:rPr>
          <w:iCs/>
          <w:i/>
        </w:rPr>
        <w:t xml:space="preserve">74</w:t>
      </w:r>
      <w:r>
        <w:t xml:space="preserve">(1), 5–12.</w:t>
      </w:r>
    </w:p>
    <w:bookmarkEnd w:id="51"/>
    <w:bookmarkStart w:id="52" w:name="ref-thompson2002benign"/>
    <w:p>
      <w:pPr>
        <w:pStyle w:val="Bibliografa"/>
      </w:pPr>
      <w:r>
        <w:t xml:space="preserve">Thompson, C. E. (2002). Benign congenital hypotonia is not a diagnosis.</w:t>
      </w:r>
      <w:r>
        <w:t xml:space="preserve"> </w:t>
      </w:r>
      <w:r>
        <w:rPr>
          <w:iCs/>
          <w:i/>
        </w:rPr>
        <w:t xml:space="preserve">Developmental Medicine and Child Neurology</w:t>
      </w:r>
      <w:r>
        <w:t xml:space="preserve">,</w:t>
      </w:r>
      <w:r>
        <w:t xml:space="preserve"> </w:t>
      </w:r>
      <w:r>
        <w:rPr>
          <w:iCs/>
          <w:i/>
        </w:rPr>
        <w:t xml:space="preserve">44</w:t>
      </w:r>
      <w:r>
        <w:t xml:space="preserve">(4), 283–286.</w:t>
      </w:r>
    </w:p>
    <w:bookmarkEnd w:id="52"/>
    <w:bookmarkStart w:id="53" w:name="ref-walker2011inequality"/>
    <w:p>
      <w:pPr>
        <w:pStyle w:val="Bibliografa"/>
      </w:pPr>
      <w:r>
        <w:t xml:space="preserve">Walker, S. P., Wachs, T. D., Grantham-McGregor, S., Black, M. M., Nelson, C. A., Huffman, S. L., et al.others. (2011). Inequality in early childhood: Risk and protective factors for early child development.</w:t>
      </w:r>
      <w:r>
        <w:t xml:space="preserve"> </w:t>
      </w:r>
      <w:r>
        <w:rPr>
          <w:iCs/>
          <w:i/>
        </w:rPr>
        <w:t xml:space="preserve">The Lancet</w:t>
      </w:r>
      <w:r>
        <w:t xml:space="preserve">,</w:t>
      </w:r>
      <w:r>
        <w:t xml:space="preserve"> </w:t>
      </w:r>
      <w:r>
        <w:rPr>
          <w:iCs/>
          <w:i/>
        </w:rPr>
        <w:t xml:space="preserve">378</w:t>
      </w:r>
      <w:r>
        <w:t xml:space="preserve">(9799), 1325–1338.</w:t>
      </w:r>
    </w:p>
    <w:bookmarkEnd w:id="53"/>
    <w:bookmarkStart w:id="55" w:name="ref-hadley2016ggplot2"/>
    <w:p>
      <w:pPr>
        <w:pStyle w:val="Bibliografa"/>
      </w:pPr>
      <w:r>
        <w:t xml:space="preserve">Wickham, H. (2016).</w:t>
      </w:r>
      <w:r>
        <w:t xml:space="preserve"> </w:t>
      </w:r>
      <w:r>
        <w:rPr>
          <w:iCs/>
          <w:i/>
        </w:rPr>
        <w:t xml:space="preserve">ggplot2: Elegant graphics for data analysis</w:t>
      </w:r>
      <w:r>
        <w:t xml:space="preserve">. Springer-Verlag New York. Retrieved from</w:t>
      </w:r>
      <w:r>
        <w:t xml:space="preserve"> </w:t>
      </w:r>
      <w:hyperlink r:id="rId54">
        <w:r>
          <w:rPr>
            <w:rStyle w:val="Hipervnculo"/>
          </w:rPr>
          <w:t xml:space="preserve">https://ggplot2.tidyverse.org</w:t>
        </w:r>
      </w:hyperlink>
    </w:p>
    <w:bookmarkEnd w:id="55"/>
    <w:bookmarkStart w:id="56" w:name="ref-wood2003thin"/>
    <w:p>
      <w:pPr>
        <w:pStyle w:val="Bibliografa"/>
      </w:pPr>
      <w:r>
        <w:t xml:space="preserve">Wood, S. N. (2003). Thin-plate regression splines.</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56"/>
    <w:bookmarkStart w:id="57" w:name="ref-wood2011fast"/>
    <w:p>
      <w:pPr>
        <w:pStyle w:val="Bibliografa"/>
      </w:pPr>
      <w:r>
        <w:t xml:space="preserve">Wood, S. N. (2011). Fast stable restricted maximum likelihood and marginal likelihood estimation of semiparametric generalized linear models.</w:t>
      </w:r>
      <w:r>
        <w:t xml:space="preserve"> </w:t>
      </w:r>
      <w:r>
        <w:rPr>
          <w:iCs/>
          <w:i/>
        </w:rPr>
        <w:t xml:space="preserve">Journal of the Royal Statistical Society (B)</w:t>
      </w:r>
      <w:r>
        <w:t xml:space="preserve">,</w:t>
      </w:r>
      <w:r>
        <w:t xml:space="preserve"> </w:t>
      </w:r>
      <w:r>
        <w:rPr>
          <w:iCs/>
          <w:i/>
        </w:rPr>
        <w:t xml:space="preserve">73</w:t>
      </w:r>
      <w:r>
        <w:t xml:space="preserve">(1), 3–36.</w:t>
      </w:r>
    </w:p>
    <w:bookmarkEnd w:id="57"/>
    <w:bookmarkStart w:id="58" w:name="ref-wood2017generalized"/>
    <w:p>
      <w:pPr>
        <w:pStyle w:val="Bibliografa"/>
      </w:pPr>
      <w:r>
        <w:t xml:space="preserve">Wood, S. N. (2017).</w:t>
      </w:r>
      <w:r>
        <w:t xml:space="preserve"> </w:t>
      </w:r>
      <w:r>
        <w:rPr>
          <w:iCs/>
          <w:i/>
        </w:rPr>
        <w:t xml:space="preserve">Generalized additive models: An introduction with r</w:t>
      </w:r>
      <w:r>
        <w:t xml:space="preserve"> </w:t>
      </w:r>
      <w:r>
        <w:t xml:space="preserve">(2nd ed.). Chapman; Hall/CRC.</w:t>
      </w:r>
    </w:p>
    <w:bookmarkEnd w:id="58"/>
    <w:bookmarkStart w:id="59" w:name="ref-wood2016smoothing"/>
    <w:p>
      <w:pPr>
        <w:pStyle w:val="Bibliografa"/>
      </w:pPr>
      <w:r>
        <w:t xml:space="preserve">Wood, S. N., N., Pya, &amp; S"afken, B. (2016). Smoothing parameter and model selection for general smooth models (with discussion).</w:t>
      </w:r>
      <w:r>
        <w:t xml:space="preserve"> </w:t>
      </w:r>
      <w:r>
        <w:rPr>
          <w:iCs/>
          <w:i/>
        </w:rPr>
        <w:t xml:space="preserve">Journal of the American Statistical Association</w:t>
      </w:r>
      <w:r>
        <w:t xml:space="preserve">,</w:t>
      </w:r>
      <w:r>
        <w:t xml:space="preserve"> </w:t>
      </w:r>
      <w:r>
        <w:rPr>
          <w:iCs/>
          <w:i/>
        </w:rPr>
        <w:t xml:space="preserve">111</w:t>
      </w:r>
      <w:r>
        <w:t xml:space="preserve">, 1548–1575.</w:t>
      </w:r>
    </w:p>
    <w:bookmarkEnd w:id="59"/>
    <w:bookmarkEnd w:id="60"/>
    <w:p>
      <w:r>
        <w:br w:type="page"/>
      </w:r>
    </w:p>
    <w:p>
      <w:pPr>
        <w:pStyle w:val="Textoindependiente"/>
      </w:pPr>
      <w:bookmarkStart w:id="61" w:name="tab1"/>
      <w:r>
        <w:rPr>
          <w:bCs/>
          <w:b/>
        </w:rPr>
        <w:t xml:space="preserve">Table 1</w:t>
      </w:r>
      <w:bookmarkEnd w:id="61"/>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62" w:name="fig1"/>
      <w:r>
        <w:rPr>
          <w:bCs/>
          <w:b/>
        </w:rPr>
        <w:t xml:space="preserve">Figure 1</w:t>
      </w:r>
      <w:bookmarkEnd w:id="62"/>
      <w:r>
        <w:t xml:space="preserve">. Relationship between corrected age (in months) and developmental domains. Left panel: regression lines and shaded area represent predicted values estimated from GAM models and their CI</w:t>
      </w:r>
      <w:r>
        <w:rPr>
          <w:vertAlign w:val="subscript"/>
        </w:rPr>
        <w:t xml:space="preserve">95%</w:t>
      </w:r>
      <w:r>
        <w:t xml:space="preserve">, points and error bars represent the mean and standard error at 5-month age intervals. Right panel: effect derivatives representing how the effect of corrected age (in months) in developmental domains changes across corrected age. Significant areas consider CI</w:t>
      </w:r>
      <w:r>
        <w:rPr>
          <w:vertAlign w:val="subscript"/>
        </w:rPr>
        <w:t xml:space="preserve">95%</w:t>
      </w:r>
      <w:r>
        <w:t xml:space="preserve"> </w:t>
      </w:r>
      <w:r>
        <w:t xml:space="preserve">that did not cross zero.</w:t>
      </w:r>
    </w:p>
    <w:bookmarkEnd w:id="63"/>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21105/joss.03393" TargetMode="External" /><Relationship Type="http://schemas.openxmlformats.org/officeDocument/2006/relationships/hyperlink" Id="rId54" Target="https://ggplot2.tidyverse.org" TargetMode="External" /><Relationship Type="http://schemas.openxmlformats.org/officeDocument/2006/relationships/hyperlink" Id="rId46" Target="https://github.com/easystats/modelbased" TargetMode="External" /><Relationship Type="http://schemas.openxmlformats.org/officeDocument/2006/relationships/hyperlink" Id="rId4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21105/joss.03393" TargetMode="External" /><Relationship Type="http://schemas.openxmlformats.org/officeDocument/2006/relationships/hyperlink" Id="rId54" Target="https://ggplot2.tidyverse.org" TargetMode="External" /><Relationship Type="http://schemas.openxmlformats.org/officeDocument/2006/relationships/hyperlink" Id="rId46" Target="https://github.com/easystats/modelbased" TargetMode="External" /><Relationship Type="http://schemas.openxmlformats.org/officeDocument/2006/relationships/hyperlink" Id="rId48"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2022-06-28T09:53:38Z</dcterms:created>
  <dcterms:modified xsi:type="dcterms:W3CDTF">2022-06-28T09:53:38Z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link-citations">
    <vt:lpwstr>True</vt:lpwstr>
  </property>
  <property fmtid="{D5CDD505-2E9C-101B-9397-08002B2CF9AE}" pid="5" name="output">
    <vt:lpwstr/>
  </property>
</Properties>
</file>