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[title]</w:t>
      </w:r>
    </w:p>
    <w:p>
      <w:pPr>
        <w:pStyle w:val="Textoindependiente"/>
      </w:pPr>
      <w:r>
        <w:rPr>
          <w:bCs/>
          <w:b/>
        </w:rPr>
        <w:t xml:space="preserve">Authors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w:t>
      </w:r>
    </w:p>
    <w:p>
      <w:pPr>
        <w:pStyle w:val="Textoindependiente"/>
      </w:pPr>
      <w:r>
        <w:t xml:space="preserve">[…].</w:t>
      </w:r>
    </w:p>
    <w:p>
      <w:pPr>
        <w:pStyle w:val="Textoindependiente"/>
      </w:pPr>
      <w:r>
        <w:t xml:space="preserve">[…].</w:t>
      </w:r>
    </w:p>
    <w:bookmarkEnd w:id="22"/>
    <w:bookmarkStart w:id="29" w:name="material-y-methods"/>
    <w:p>
      <w:pPr>
        <w:pStyle w:val="Ttulo1"/>
      </w:pPr>
      <w:r>
        <w:t xml:space="preserve">Material y methods</w:t>
      </w:r>
    </w:p>
    <w:bookmarkStart w:id="23" w:name="participants"/>
    <w:p>
      <w:pPr>
        <w:pStyle w:val="Ttulo2"/>
      </w:pPr>
      <w:r>
        <w:t xml:space="preserve">Participants</w:t>
      </w:r>
    </w:p>
    <w:p>
      <w:pPr>
        <w:pStyle w:val="FirstParagraph"/>
      </w:pPr>
      <w:r>
        <w:t xml:space="preserve">[…].</w:t>
      </w:r>
    </w:p>
    <w:bookmarkEnd w:id="23"/>
    <w:bookmarkStart w:id="26" w:name="instruments"/>
    <w:p>
      <w:pPr>
        <w:pStyle w:val="Ttulo2"/>
      </w:pPr>
      <w:r>
        <w:t xml:space="preserve">Instruments</w:t>
      </w:r>
    </w:p>
    <w:bookmarkStart w:id="24" w:name="instrument-1"/>
    <w:p>
      <w:pPr>
        <w:pStyle w:val="Ttulo3"/>
      </w:pPr>
      <w:r>
        <w:t xml:space="preserve">Instrument 1</w:t>
      </w:r>
    </w:p>
    <w:p>
      <w:pPr>
        <w:pStyle w:val="FirstParagraph"/>
      </w:pPr>
      <w:r>
        <w:t xml:space="preserve">[…].</w:t>
      </w:r>
    </w:p>
    <w:bookmarkEnd w:id="24"/>
    <w:bookmarkStart w:id="25" w:name="instrument-2"/>
    <w:p>
      <w:pPr>
        <w:pStyle w:val="Ttulo3"/>
      </w:pPr>
      <w:r>
        <w:t xml:space="preserve">Instrument 2</w:t>
      </w:r>
    </w:p>
    <w:p>
      <w:pPr>
        <w:pStyle w:val="FirstParagraph"/>
      </w:pPr>
      <w:r>
        <w:t xml:space="preserve">[…].</w:t>
      </w:r>
    </w:p>
    <w:bookmarkEnd w:id="25"/>
    <w:bookmarkEnd w:id="26"/>
    <w:bookmarkStart w:id="27" w:name="procedures"/>
    <w:p>
      <w:pPr>
        <w:pStyle w:val="Ttulo2"/>
      </w:pPr>
      <w:r>
        <w:t xml:space="preserve">Procedures</w:t>
      </w:r>
    </w:p>
    <w:p>
      <w:pPr>
        <w:pStyle w:val="FirstParagraph"/>
      </w:pPr>
      <w:r>
        <w:t xml:space="preserve">[…].</w:t>
      </w:r>
    </w:p>
    <w:p>
      <w:pPr>
        <w:pStyle w:val="Textoindependiente"/>
      </w:pPr>
      <w:r>
        <w:t xml:space="preserve">[…].</w:t>
      </w:r>
    </w:p>
    <w:bookmarkEnd w:id="27"/>
    <w:bookmarkStart w:id="28"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the goodness-of-fit (</w:t>
      </w:r>
      <m:oMath>
        <m:sSubSup>
          <m:e>
            <m:r>
              <m:t>χ</m:t>
            </m:r>
          </m:e>
          <m:sub>
            <m:r>
              <m:t>g</m:t>
            </m:r>
            <m:r>
              <m:t>o</m:t>
            </m:r>
            <m:r>
              <m:t>f</m:t>
            </m:r>
          </m:sub>
          <m:sup>
            <m:r>
              <m:t>2</m:t>
            </m:r>
          </m:sup>
        </m:sSubSup>
      </m:oMath>
      <w:r>
        <w:t xml:space="preserve">) and the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1</w:t>
        </w:r>
      </w:hyperlink>
      <w:r>
        <w:t xml:space="preserve">)</w:t>
      </w:r>
      <w:r>
        <w:t xml:space="preserve">. Restricted maximum likelihood (i.e., REML) method was used for the estimation of the smoothing parameters, and thin-plate regression splines for smoothing basis, as they are the optimal smoother of any given basis dimension/rank</w:t>
      </w:r>
      <w:r>
        <w:t xml:space="preserve"> </w:t>
      </w:r>
      <w:r>
        <w:t xml:space="preserve">(</w:t>
      </w:r>
      <w:hyperlink w:anchor="ref-wood2003thin">
        <w:r>
          <w:rPr>
            <w:rStyle w:val="Hipervnculo"/>
          </w:rPr>
          <w:t xml:space="preserve">2</w:t>
        </w:r>
      </w:hyperlink>
      <w:r>
        <w:t xml:space="preserve">)</w:t>
      </w:r>
      <w:r>
        <w:t xml:space="preserve">. To describe the smooth terms by means of quasi-linear segments, we used approximative effect derivatives to summarise the trend with 95% confidence intervals.</w:t>
      </w:r>
    </w:p>
    <w:p>
      <w:pPr>
        <w:pStyle w:val="Textoindependiente"/>
      </w:pPr>
      <w:r>
        <w:t xml:space="preserve">To account for any source of variability coming from subject’s sex, evaluators and the type of relationship between the infants with the respondents, we incorporate them as random effects in the fitted models in the form of penalized parametric terms</w:t>
      </w:r>
      <w:r>
        <w:t xml:space="preserve"> </w:t>
      </w:r>
      <w:r>
        <w:t xml:space="preserve">(</w:t>
      </w:r>
      <w:hyperlink w:anchor="ref-wood2016smoothing">
        <w:r>
          <w:rPr>
            <w:rStyle w:val="Hipervnculo"/>
          </w:rPr>
          <w:t xml:space="preserve">3</w:t>
        </w:r>
      </w:hyperlink>
      <w:r>
        <w:t xml:space="preserve">)</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4</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with their corresponding documentation</w:t>
      </w:r>
      <w:r>
        <w:t xml:space="preserve"> </w:t>
      </w:r>
      <w:r>
        <w:t xml:space="preserve">(</w:t>
      </w:r>
      <w:hyperlink w:anchor="ref-wood2017generalized">
        <w:r>
          <w:rPr>
            <w:rStyle w:val="Hipervnculo"/>
          </w:rPr>
          <w:t xml:space="preserve">5</w:t>
        </w:r>
      </w:hyperlink>
      <w:r>
        <w:t xml:space="preserve">,</w:t>
      </w:r>
      <w:hyperlink w:anchor="ref-dominique2020estimation">
        <w:r>
          <w:rPr>
            <w:rStyle w:val="Hipervnculo"/>
          </w:rPr>
          <w:t xml:space="preserve">6</w:t>
        </w:r>
      </w:hyperlink>
      <w:r>
        <w:t xml:space="preserve">)</w:t>
      </w:r>
      <w:r>
        <w:t xml:space="preserve">. Complementary R packages were used for visualization purposes</w:t>
      </w:r>
      <w:r>
        <w:t xml:space="preserve"> </w:t>
      </w:r>
      <w:r>
        <w:t xml:space="preserve">(</w:t>
      </w:r>
      <w:hyperlink w:anchor="ref-hadley2016ggplot2">
        <w:r>
          <w:rPr>
            <w:rStyle w:val="Hipervnculo"/>
          </w:rPr>
          <w:t xml:space="preserve">7</w:t>
        </w:r>
      </w:hyperlink>
      <w:r>
        <w:t xml:space="preserve">,</w:t>
      </w:r>
      <w:hyperlink w:anchor="ref-daniel2021see">
        <w:r>
          <w:rPr>
            <w:rStyle w:val="Hipervnculo"/>
          </w:rPr>
          <w:t xml:space="preserve">8</w:t>
        </w:r>
      </w:hyperlink>
      <w:r>
        <w:t xml:space="preserve">)</w:t>
      </w:r>
      <w:r>
        <w:t xml:space="preserve">.</w:t>
      </w:r>
    </w:p>
    <w:bookmarkEnd w:id="28"/>
    <w:bookmarkEnd w:id="29"/>
    <w:bookmarkStart w:id="30"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corrected for prematurity on developmental domains, we observed a significant non-linear relationship on communication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1 to 7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and neither in the 18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w:t>
      </w:r>
    </w:p>
    <w:p>
      <w:pPr>
        <w:pStyle w:val="Textoindependiente"/>
      </w:pPr>
      <w:r>
        <w:t xml:space="preserve">When analyzing the motor skills domain we found a significant non-linear effect of corrected age on gross motor scores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nevertheless, the slope varied across age, whereas between the 0 to 7 age range this has a negative effect on gross motor score</w:t>
      </w:r>
      <w:r>
        <w:t xml:space="preserv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a positive effect was observed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meanwhile in the 7.3 to 9.2 (</w:t>
      </w:r>
      <m:oMath>
        <m:r>
          <m:t>β</m:t>
        </m:r>
      </m:oMath>
      <w:r>
        <w:t xml:space="preserve"> </w:t>
      </w:r>
      <w:r>
        <w:t xml:space="preserve">= 0.02, CI</w:t>
      </w:r>
      <w:r>
        <w:rPr>
          <w:vertAlign w:val="subscript"/>
        </w:rPr>
        <w:t xml:space="preserve">95%</w:t>
      </w:r>
      <w:r>
        <w:t xml:space="preserve">[-1.12, 1.17]) and 16 to 48 months old (</w:t>
      </w:r>
      <m:oMath>
        <m:r>
          <m:t>β</m:t>
        </m:r>
      </m:oMath>
      <w:r>
        <w:t xml:space="preserve"> </w:t>
      </w:r>
      <w:r>
        <w:t xml:space="preserve">= -0.02, CI</w:t>
      </w:r>
      <w:r>
        <w:rPr>
          <w:vertAlign w:val="subscript"/>
        </w:rPr>
        <w:t xml:space="preserve">95%</w:t>
      </w:r>
      <w:r>
        <w:t xml:space="preserve">[-2.05, 2.01]) the slope was non significant and practically cero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and</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 respectively).</w:t>
      </w:r>
    </w:p>
    <w:p>
      <w:pPr>
        <w:pStyle w:val="Textoindependiente"/>
      </w:pPr>
      <w:r>
        <w:t xml:space="preserve">The relationship between developmental domains and corrected age can be seen in</w:t>
      </w:r>
      <w:r>
        <w:t xml:space="preserve"> </w:t>
      </w:r>
      <w:hyperlink w:anchor="fig1">
        <w:r>
          <w:rPr>
            <w:rStyle w:val="Hipervnculo"/>
          </w:rPr>
          <w:t xml:space="preserve">Figure 1</w:t>
        </w:r>
      </w:hyperlink>
      <w:r>
        <w:t xml:space="preserve">.</w:t>
      </w:r>
    </w:p>
    <w:bookmarkEnd w:id="30"/>
    <w:bookmarkStart w:id="31"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1"/>
    <w:bookmarkStart w:id="32" w:name="conclusion"/>
    <w:p>
      <w:pPr>
        <w:pStyle w:val="Ttulo1"/>
      </w:pPr>
      <w:r>
        <w:t xml:space="preserve">Conclusion</w:t>
      </w:r>
    </w:p>
    <w:p>
      <w:pPr>
        <w:pStyle w:val="FirstParagraph"/>
      </w:pPr>
      <w:r>
        <w:t xml:space="preserve">[…].</w:t>
      </w:r>
    </w:p>
    <w:bookmarkEnd w:id="32"/>
    <w:bookmarkStart w:id="33" w:name="acknowledgment"/>
    <w:p>
      <w:pPr>
        <w:pStyle w:val="Ttulo1"/>
      </w:pPr>
      <w:r>
        <w:t xml:space="preserve">Acknowledgment</w:t>
      </w:r>
    </w:p>
    <w:p>
      <w:pPr>
        <w:pStyle w:val="FirstParagraph"/>
      </w:pPr>
      <w:r>
        <w:t xml:space="preserve">[…].</w:t>
      </w:r>
    </w:p>
    <w:bookmarkEnd w:id="33"/>
    <w:bookmarkStart w:id="34" w:name="conflicts-of-interest"/>
    <w:p>
      <w:pPr>
        <w:pStyle w:val="Ttulo1"/>
      </w:pPr>
      <w:r>
        <w:t xml:space="preserve">Conflicts of interest</w:t>
      </w:r>
    </w:p>
    <w:p>
      <w:pPr>
        <w:pStyle w:val="FirstParagraph"/>
      </w:pPr>
      <w:r>
        <w:t xml:space="preserve">[…].</w:t>
      </w:r>
    </w:p>
    <w:bookmarkEnd w:id="34"/>
    <w:bookmarkStart w:id="50" w:name="references"/>
    <w:p>
      <w:pPr>
        <w:pStyle w:val="Ttulo1"/>
      </w:pPr>
      <w:r>
        <w:t xml:space="preserve">References</w:t>
      </w:r>
    </w:p>
    <w:bookmarkStart w:id="47" w:name="refs"/>
    <w:bookmarkStart w:id="35" w:name="ref-wood2011fast"/>
    <w:p>
      <w:pPr>
        <w:pStyle w:val="Bibliografa"/>
      </w:pPr>
      <w:r>
        <w:t xml:space="preserve">1.</w:t>
      </w:r>
      <w:r>
        <w:t xml:space="preserve"> </w:t>
      </w:r>
      <w:r>
        <w:t xml:space="preserve">	</w:t>
      </w:r>
      <w:r>
        <w:t xml:space="preserve">Wood SN. Fast stable restricted maximum likelihood and marginal likelihood estimation of semiparametric generalized linear models. Journal of the Royal Statistical Society (B). 2011;73(1):3–6.</w:t>
      </w:r>
      <w:r>
        <w:t xml:space="preserve"> </w:t>
      </w:r>
    </w:p>
    <w:bookmarkEnd w:id="35"/>
    <w:bookmarkStart w:id="36" w:name="ref-wood2003thin"/>
    <w:p>
      <w:pPr>
        <w:pStyle w:val="Bibliografa"/>
      </w:pPr>
      <w:r>
        <w:t xml:space="preserve">2.</w:t>
      </w:r>
      <w:r>
        <w:t xml:space="preserve"> </w:t>
      </w:r>
      <w:r>
        <w:t xml:space="preserve">	</w:t>
      </w:r>
      <w:r>
        <w:t xml:space="preserve">Wood SN. Thin-plate regression splines. Journal of the Royal Statistical Society (B). 2003;65(1):95–114.</w:t>
      </w:r>
      <w:r>
        <w:t xml:space="preserve"> </w:t>
      </w:r>
    </w:p>
    <w:bookmarkEnd w:id="36"/>
    <w:bookmarkStart w:id="37" w:name="ref-wood2016smoothing"/>
    <w:p>
      <w:pPr>
        <w:pStyle w:val="Bibliografa"/>
      </w:pPr>
      <w:r>
        <w:t xml:space="preserve">3.</w:t>
      </w:r>
      <w:r>
        <w:t xml:space="preserve"> </w:t>
      </w:r>
      <w:r>
        <w:t xml:space="preserve">	</w:t>
      </w:r>
      <w:r>
        <w:t xml:space="preserve">Wood SN, N., Pya, S"afken B. Smoothing parameter and model selection for general smooth models (with discussion). Journal of the American Statistical Association. 2016;111:1548–75.</w:t>
      </w:r>
      <w:r>
        <w:t xml:space="preserve"> </w:t>
      </w:r>
    </w:p>
    <w:bookmarkEnd w:id="37"/>
    <w:bookmarkStart w:id="39" w:name="ref-rlanguage"/>
    <w:p>
      <w:pPr>
        <w:pStyle w:val="Bibliografa"/>
      </w:pPr>
      <w:r>
        <w:t xml:space="preserve">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38">
        <w:r>
          <w:rPr>
            <w:rStyle w:val="Hipervnculo"/>
          </w:rPr>
          <w:t xml:space="preserve">https://www.R-project.org/</w:t>
        </w:r>
      </w:hyperlink>
    </w:p>
    <w:bookmarkEnd w:id="39"/>
    <w:bookmarkStart w:id="40" w:name="ref-wood2017generalized"/>
    <w:p>
      <w:pPr>
        <w:pStyle w:val="Bibliografa"/>
      </w:pPr>
      <w:r>
        <w:t xml:space="preserve">5.</w:t>
      </w:r>
      <w:r>
        <w:t xml:space="preserve"> </w:t>
      </w:r>
      <w:r>
        <w:t xml:space="preserve">	</w:t>
      </w:r>
      <w:r>
        <w:t xml:space="preserve">Wood SN. Generalized additive models: An introduction with r. 2nd ed. Chapman; Hall/CRC; 2017.</w:t>
      </w:r>
      <w:r>
        <w:t xml:space="preserve"> </w:t>
      </w:r>
    </w:p>
    <w:bookmarkEnd w:id="40"/>
    <w:bookmarkStart w:id="42" w:name="ref-dominique2020estimation"/>
    <w:p>
      <w:pPr>
        <w:pStyle w:val="Bibliografa"/>
      </w:pPr>
      <w:r>
        <w:t xml:space="preserve">6.</w:t>
      </w:r>
      <w:r>
        <w:t xml:space="preserve"> </w:t>
      </w:r>
      <w:r>
        <w:t xml:space="preserve">	</w:t>
      </w:r>
      <w:r>
        <w:t xml:space="preserve">Makowski D, Ben-Shachar MS, Patil I, Lüdecke D. Estimation of model-based predictions, contrasts and means. CRAN [Internet]. 2020; Available from:</w:t>
      </w:r>
      <w:r>
        <w:t xml:space="preserve"> </w:t>
      </w:r>
      <w:hyperlink r:id="rId41">
        <w:r>
          <w:rPr>
            <w:rStyle w:val="Hipervnculo"/>
          </w:rPr>
          <w:t xml:space="preserve">https://github.com/easystats/modelbased</w:t>
        </w:r>
      </w:hyperlink>
    </w:p>
    <w:bookmarkEnd w:id="42"/>
    <w:bookmarkStart w:id="44" w:name="ref-hadley2016ggplot2"/>
    <w:p>
      <w:pPr>
        <w:pStyle w:val="Bibliografa"/>
      </w:pPr>
      <w:r>
        <w:t xml:space="preserve">7.</w:t>
      </w:r>
      <w:r>
        <w:t xml:space="preserve"> </w:t>
      </w:r>
      <w:r>
        <w:t xml:space="preserve">	</w:t>
      </w:r>
      <w:r>
        <w:t xml:space="preserve">Wickham H. ggplot2: Elegant graphics for data analysis [Internet]. Springer-Verlag New York; 2016. Available from:</w:t>
      </w:r>
      <w:r>
        <w:t xml:space="preserve"> </w:t>
      </w:r>
      <w:hyperlink r:id="rId43">
        <w:r>
          <w:rPr>
            <w:rStyle w:val="Hipervnculo"/>
          </w:rPr>
          <w:t xml:space="preserve">https://ggplot2.tidyverse.org</w:t>
        </w:r>
      </w:hyperlink>
    </w:p>
    <w:bookmarkEnd w:id="44"/>
    <w:bookmarkStart w:id="46" w:name="ref-daniel2021see"/>
    <w:p>
      <w:pPr>
        <w:pStyle w:val="Bibliografa"/>
      </w:pPr>
      <w:r>
        <w:t xml:space="preserve">8.</w:t>
      </w:r>
      <w:r>
        <w:t xml:space="preserve"> </w:t>
      </w:r>
      <w:r>
        <w:t xml:space="preserve">	</w:t>
      </w:r>
      <w:r>
        <w:t xml:space="preserve">Lüdecke D, Patil I, Ben-Shachar MS, Wiernik BM, Waggoner P, Makowski D.</w:t>
      </w:r>
      <w:r>
        <w:t xml:space="preserve"> </w:t>
      </w:r>
      <w:hyperlink r:id="rId45">
        <w:r>
          <w:rPr>
            <w:rStyle w:val="Hipervnculo"/>
          </w:rPr>
          <w:t xml:space="preserve">see</w:t>
        </w:r>
        <w:r>
          <w:rPr>
            <w:rStyle w:val="Hipervnculo"/>
          </w:rPr>
          <w:t xml:space="preserve">: An</w:t>
        </w:r>
        <w:r>
          <w:rPr>
            <w:rStyle w:val="Hipervnculo"/>
          </w:rPr>
          <w:t xml:space="preserve"> </w:t>
        </w:r>
        <w:r>
          <w:rPr>
            <w:rStyle w:val="Hipervnculo"/>
          </w:rPr>
          <w:t xml:space="preserve">R</w:t>
        </w:r>
        <w:r>
          <w:rPr>
            <w:rStyle w:val="Hipervnculo"/>
          </w:rPr>
          <w:t xml:space="preserve"> </w:t>
        </w:r>
        <w:r>
          <w:rPr>
            <w:rStyle w:val="Hipervnculo"/>
          </w:rPr>
          <w:t xml:space="preserve">package for visualizing statistical models</w:t>
        </w:r>
      </w:hyperlink>
      <w:r>
        <w:t xml:space="preserve">. Journal of Open Source Software. 2021;6(64):3393.</w:t>
      </w:r>
      <w:r>
        <w:t xml:space="preserve"> </w:t>
      </w:r>
    </w:p>
    <w:bookmarkEnd w:id="46"/>
    <w:bookmarkEnd w:id="47"/>
    <w:p>
      <w:r>
        <w:br w:type="page"/>
      </w:r>
    </w:p>
    <w:p>
      <w:pPr>
        <w:pStyle w:val="Textoindependiente"/>
      </w:pPr>
      <w:bookmarkStart w:id="48" w:name="tab1"/>
      <w:r>
        <w:rPr>
          <w:bCs/>
          <w:b/>
        </w:rPr>
        <w:t xml:space="preserve">Table 1</w:t>
      </w:r>
      <w:bookmarkEnd w:id="48"/>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derived from the</w:t>
      </w:r>
      <w:r>
        <w:t xml:space="preserve"> </w:t>
      </w:r>
      <w:r>
        <w:rPr>
          <w:iCs/>
          <w:i/>
        </w:rPr>
        <w:t xml:space="preserve">Wilcoxon</w:t>
      </w:r>
      <w:r>
        <w:t xml:space="preserve"> </w:t>
      </w:r>
      <w:r>
        <w:t xml:space="preserve">rank-sum test.</w:t>
      </w:r>
    </w:p>
    <w:p>
      <w:pPr>
        <w:pStyle w:val="Textoindependiente"/>
      </w:pPr>
      <w:bookmarkStart w:id="49" w:name="fig1"/>
      <w:r>
        <w:rPr>
          <w:bCs/>
          <w:b/>
        </w:rPr>
        <w:t xml:space="preserve">Figure 1</w:t>
      </w:r>
      <w:bookmarkEnd w:id="49"/>
      <w:r>
        <w:t xml:space="preserve">. Relationship between corrected age (in months) and developmental domains. Regression lines and shaded area represent predicted values estimated from GAM models and their 95% confidence interval. Points and error bars represent the mean and standard error at 5-month age intervals.</w:t>
      </w:r>
    </w:p>
    <w:bookmarkEnd w:id="50"/>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2022-06-20T21:41:09Z</dcterms:created>
  <dcterms:modified xsi:type="dcterms:W3CDTF">2022-06-20T21:41:09Z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