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benign congenital hypotonia in high southern latitudes: An observational cross-sectional trial.</w:t>
      </w:r>
    </w:p>
    <w:p>
      <w:pPr>
        <w:pStyle w:val="Textoindependiente"/>
      </w:pPr>
      <w:r>
        <w:rPr>
          <w:bCs/>
          <w:b/>
        </w:rPr>
        <w:t xml:space="preserve">Authors</w:t>
      </w:r>
      <w:r>
        <w:t xml:space="preserve">: Patricio Barría,</w:t>
      </w:r>
      <w:r>
        <w:rPr>
          <w:vertAlign w:val="superscript"/>
        </w:rPr>
        <w:t xml:space="preserve">1</w:t>
      </w:r>
      <w:r>
        <w:t xml:space="preserve"> </w:t>
      </w:r>
      <w:r>
        <w:t xml:space="preserve">Matías Castillo-Aguilar,</w:t>
      </w:r>
      <w:r>
        <w:rPr>
          <w:vertAlign w:val="superscript"/>
        </w:rPr>
        <w:t xml:space="preserve">2,3</w:t>
      </w:r>
      <w:r>
        <w:t xml:space="preserve"> </w:t>
      </w:r>
      <w:r>
        <w:t xml:space="preserve">…,</w:t>
      </w:r>
      <w:r>
        <w:rPr>
          <w:vertAlign w:val="superscript"/>
        </w:rPr>
        <w:t xml:space="preserve">4</w:t>
      </w:r>
      <w:r>
        <w:t xml:space="preserve"> </w:t>
      </w:r>
      <w:r>
        <w:t xml:space="preserve">Cristian Núñez-Espinoza,</w:t>
      </w:r>
      <w:r>
        <w:rPr>
          <w:vertAlign w:val="superscript"/>
        </w:rPr>
        <w:t xml:space="preserve">3,5</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scores in infants diagnosed with benign congenital hypotonia (BCH).</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(BCH)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BCH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BCH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known BCH across age. Therefore, our main objective in this study was to describe and model the relationship between sociodemographics, prematurity and neurodevelopmental levels based on ASQ-3 scores in infants with diagnosed BCH.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p>
      <w:pPr>
        <w:pStyle w:val="Textoindependiente"/>
      </w:pPr>
      <w:r>
        <w:rPr>
          <w:rStyle w:val="ErrorTok"/>
        </w:rPr>
        <w:t xml:space="preserve">¿Los datos vienen de algún grupo de estudio o de cohorte en particular?</w:t>
      </w:r>
    </w:p>
    <w:p>
      <w:pPr>
        <w:pStyle w:val="Textoindependiente"/>
      </w:pPr>
      <w:r>
        <w:rPr>
          <w:rStyle w:val="ErrorTok"/>
        </w:rPr>
        <w:t xml:space="preserve">¿Qué resguardos éticos se consideran? Comité de ética y otros permisos que sean pertinentes</w:t>
      </w:r>
    </w:p>
    <w:bookmarkEnd w:id="25"/>
    <w:bookmarkStart w:id="26" w:name="participants"/>
    <w:p>
      <w:pPr>
        <w:pStyle w:val="Ttulo2"/>
      </w:pPr>
      <w:r>
        <w:t xml:space="preserve">Participants</w:t>
      </w:r>
    </w:p>
    <w:p>
      <w:pPr>
        <w:pStyle w:val="FirstParagraph"/>
      </w:pPr>
      <w:r>
        <w:rPr>
          <w:rStyle w:val="ErrorTok"/>
        </w:rPr>
        <w:t xml:space="preserve">¿Cómo fueron reclutados los sujetos? Criterios de elegibilidad, tipo de muestreo, etc.</w:t>
      </w:r>
    </w:p>
    <w:p>
      <w:pPr>
        <w:pStyle w:val="Textoindependiente"/>
      </w:pPr>
      <w:r>
        <w:rPr>
          <w:rStyle w:val="ErrorTok"/>
        </w:rPr>
        <w:t xml:space="preserve">¿Cómo, cuando y quien hizo el diagnóstico de hipotonía congénita?</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 reported initial level developmental screening instrument consisting of 21 intervals, each with 30 items in five areas: i) communication (CM), ii) gross motor (GM), iii) fine motor (FM), iv) problem-solving (CG), and v) personal-social (PS). The ASQ is cost-effective and widely used in the United States and other countries. The ASQ has been translated into several languages, and the number of international studies on its psychometric properties with diverse cultural environments is increasing. It has excellent psychometric properties, test-retest reliability of 92%, sensitivity of 87.4% and specificity of 95.7%. Its validity has been examined across different cultures and communities across the world.</w:t>
      </w:r>
    </w:p>
    <w:bookmarkEnd w:id="27"/>
    <w:bookmarkEnd w:id="28"/>
    <w:bookmarkStart w:id="31" w:name="procedures"/>
    <w:p>
      <w:pPr>
        <w:pStyle w:val="Ttulo2"/>
      </w:pPr>
      <w:r>
        <w:t xml:space="preserve">Procedures</w:t>
      </w:r>
    </w:p>
    <w:bookmarkStart w:id="29" w:name="collection-of-demographic-data"/>
    <w:p>
      <w:pPr>
        <w:pStyle w:val="Ttulo3"/>
      </w:pPr>
      <w:r>
        <w:t xml:space="preserve">Collection of demographic data</w:t>
      </w:r>
    </w:p>
    <w:p>
      <w:pPr>
        <w:pStyle w:val="FirstParagraph"/>
      </w:pPr>
      <w:r>
        <w:rPr>
          <w:rStyle w:val="ErrorTok"/>
        </w:rPr>
        <w:t xml:space="preserve">¿Como, cuando y quién recolectó los datos demográficos?</w:t>
      </w:r>
    </w:p>
    <w:bookmarkEnd w:id="29"/>
    <w:bookmarkStart w:id="30" w:name="assessment-with-asq-3"/>
    <w:p>
      <w:pPr>
        <w:pStyle w:val="Ttulo3"/>
      </w:pPr>
      <w:r>
        <w:t xml:space="preserve">Assessment with ASQ-3</w:t>
      </w:r>
    </w:p>
    <w:p>
      <w:pPr>
        <w:pStyle w:val="FirstParagraph"/>
      </w:pPr>
      <w:r>
        <w:rPr>
          <w:rStyle w:val="ErrorTok"/>
        </w:rPr>
        <w:t xml:space="preserve">¿Cómo se evaluó el ASQ-3? ¿Con qué protocolo? ¿Que consideraciones se tuvieron en la evaluación? ¿Algo más que podría ser relevante para agregar respecto a la evaluación o corrección del cuestionario?</w:t>
      </w:r>
    </w:p>
    <w:bookmarkEnd w:id="30"/>
    <w:bookmarkEnd w:id="31"/>
    <w:bookmarkStart w:id="32"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each with well documented functions and methods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BCH. Our main findings suggest a non-linear effect of age, corrected for prematurity, with a marked decrease in scores for all neurodevelopmental traits at different age frames, even after adjusting for caregiver relationship, sex and inter-rater influence. However in the personal-individual domain, there was no variation observed across corrected age.</w:t>
      </w:r>
    </w:p>
    <w:p>
      <w:pPr>
        <w:pStyle w:val="Textoindependiente"/>
      </w:pPr>
      <w:r>
        <w:t xml:space="preserve">This could be associated with the described motor impairments of hypotonia in the early stages of life, which could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 The results found in our study are congruent with what other authors have discussed in relation to the role of gross and FM skills in language development</w:t>
      </w:r>
      <w:r>
        <w:t xml:space="preserve"> </w:t>
      </w:r>
      <w:r>
        <w:t xml:space="preserve">(</w:t>
      </w:r>
      <w:hyperlink w:anchor="ref-gonzalez2019gross">
        <w:r>
          <w:rPr>
            <w:rStyle w:val="Hipervnculo"/>
          </w:rPr>
          <w:t xml:space="preserve">Gonzalez, Alvarez, &amp; Nelson, 2019</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model and capture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gender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6"/>
    <w:bookmarkStart w:id="37" w:name="acknowledgment"/>
    <w:p>
      <w:pPr>
        <w:pStyle w:val="Ttulo1"/>
      </w:pPr>
      <w:r>
        <w:t xml:space="preserve">Acknowledgment</w:t>
      </w:r>
    </w:p>
    <w:p>
      <w:pPr>
        <w:pStyle w:val="FirstParagraph"/>
      </w:pPr>
      <w:r>
        <w:t xml:space="preserve">[…].</w:t>
      </w:r>
    </w:p>
    <w:bookmarkEnd w:id="37"/>
    <w:bookmarkStart w:id="38"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38"/>
    <w:bookmarkStart w:id="67" w:name="references"/>
    <w:p>
      <w:pPr>
        <w:pStyle w:val="Ttulo1"/>
      </w:pPr>
      <w:r>
        <w:t xml:space="preserve">References</w:t>
      </w:r>
    </w:p>
    <w:bookmarkStart w:id="64" w:name="refs"/>
    <w:bookmarkStart w:id="39"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39"/>
    <w:bookmarkStart w:id="40"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0"/>
    <w:bookmarkStart w:id="41"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1"/>
    <w:bookmarkStart w:id="42"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2"/>
    <w:bookmarkStart w:id="43"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3"/>
    <w:bookmarkStart w:id="44"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4"/>
    <w:bookmarkStart w:id="45"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5"/>
    <w:bookmarkStart w:id="46"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6"/>
    <w:bookmarkStart w:id="47"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47"/>
    <w:bookmarkStart w:id="49"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48">
        <w:r>
          <w:rPr>
            <w:rStyle w:val="Hipervnculo"/>
          </w:rPr>
          <w:t xml:space="preserve">https://doi.org/10.21105/joss.03393</w:t>
        </w:r>
      </w:hyperlink>
    </w:p>
    <w:bookmarkEnd w:id="49"/>
    <w:bookmarkStart w:id="51"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0">
        <w:r>
          <w:rPr>
            <w:rStyle w:val="Hipervnculo"/>
          </w:rPr>
          <w:t xml:space="preserve">https://github.com/easystats/modelbased</w:t>
        </w:r>
      </w:hyperlink>
    </w:p>
    <w:bookmarkEnd w:id="51"/>
    <w:bookmarkStart w:id="53"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2">
        <w:r>
          <w:rPr>
            <w:rStyle w:val="Hipervnculo"/>
          </w:rPr>
          <w:t xml:space="preserve">https://www.R-project.org/</w:t>
        </w:r>
      </w:hyperlink>
    </w:p>
    <w:bookmarkEnd w:id="53"/>
    <w:bookmarkStart w:id="54"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4"/>
    <w:bookmarkStart w:id="55"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55"/>
    <w:bookmarkStart w:id="56"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56"/>
    <w:bookmarkStart w:id="57"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57"/>
    <w:bookmarkStart w:id="59"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58">
        <w:r>
          <w:rPr>
            <w:rStyle w:val="Hipervnculo"/>
          </w:rPr>
          <w:t xml:space="preserve">https://ggplot2.tidyverse.org</w:t>
        </w:r>
      </w:hyperlink>
    </w:p>
    <w:bookmarkEnd w:id="59"/>
    <w:bookmarkStart w:id="60"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0"/>
    <w:bookmarkStart w:id="61"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1"/>
    <w:bookmarkStart w:id="62"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62"/>
    <w:bookmarkStart w:id="63"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63"/>
    <w:bookmarkEnd w:id="64"/>
    <w:p>
      <w:r>
        <w:br w:type="page"/>
      </w:r>
    </w:p>
    <w:p>
      <w:pPr>
        <w:pStyle w:val="Textoindependiente"/>
      </w:pPr>
      <w:bookmarkStart w:id="65" w:name="tab1"/>
      <w:r>
        <w:rPr>
          <w:bCs/>
          <w:b/>
        </w:rPr>
        <w:t xml:space="preserve">Table 1</w:t>
      </w:r>
      <w:bookmarkEnd w:id="65"/>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66" w:name="fig1"/>
      <w:r>
        <w:rPr>
          <w:bCs/>
          <w:b/>
        </w:rPr>
        <w:t xml:space="preserve">Figure 1</w:t>
      </w:r>
      <w:bookmarkEnd w:id="66"/>
      <w:r>
        <w:t xml:space="preserve">. Relationship between corrected age (in months) and developmental domains. Left panel: regression lines and shaded area represent predicted values estimated from GAM models and their CI</w:t>
      </w:r>
      <w:r>
        <w:rPr>
          <w:vertAlign w:val="subscript"/>
        </w:rPr>
        <w:t xml:space="preserve">95%</w:t>
      </w:r>
      <w:r>
        <w:t xml:space="preserve">, points and error bars represent the mean and standard error at 5-month age intervals. Right panel: effect derivatives representing how the effect of corrected age (in months) in developmental domains changes across corrected age. Significant areas consider CI</w:t>
      </w:r>
      <w:r>
        <w:rPr>
          <w:vertAlign w:val="subscript"/>
        </w:rPr>
        <w:t xml:space="preserve">95%</w:t>
      </w:r>
      <w:r>
        <w:t xml:space="preserve"> </w:t>
      </w:r>
      <w:r>
        <w:t xml:space="preserve">that did not cross zero.</w:t>
      </w:r>
    </w:p>
    <w:bookmarkEnd w:id="67"/>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21105/joss.03393" TargetMode="External" /><Relationship Type="http://schemas.openxmlformats.org/officeDocument/2006/relationships/hyperlink" Id="rId58" Target="https://ggplot2.tidyverse.org" TargetMode="External" /><Relationship Type="http://schemas.openxmlformats.org/officeDocument/2006/relationships/hyperlink" Id="rId50"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2"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21105/joss.03393" TargetMode="External" /><Relationship Type="http://schemas.openxmlformats.org/officeDocument/2006/relationships/hyperlink" Id="rId58" Target="https://ggplot2.tidyverse.org" TargetMode="External" /><Relationship Type="http://schemas.openxmlformats.org/officeDocument/2006/relationships/hyperlink" Id="rId50"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2"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2022-07-02T14:20:28Z</dcterms:created>
  <dcterms:modified xsi:type="dcterms:W3CDTF">2022-07-02T14:20:28Z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