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in high southern latitudes: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Cristian Núñez-Espinosa</w:t>
      </w:r>
      <w:r>
        <w:rPr>
          <w:vertAlign w:val="superscript"/>
        </w:rPr>
        <w:t xml:space="preserve">4,5,</w:t>
      </w:r>
      <w:r>
        <w:t xml:space="preserve">*</w:t>
      </w:r>
    </w:p>
    <w:p>
      <w:pPr>
        <w:pStyle w:val="Afiliation"/>
      </w:pPr>
      <w:r>
        <w:rPr>
          <w:vertAlign w:val="superscript"/>
        </w:rPr>
        <w:t xml:space="preserve">1</w:t>
      </w:r>
      <w:r>
        <w:t xml:space="preserve"> </w:t>
      </w:r>
      <w:r>
        <w:t xml:space="preserve">Unidad de Investigación, Corporación de Rehabilitación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5</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(ASQ-3) scores in infants diagnosed with congenital hypotonia (CH).</w:t>
      </w:r>
      <w:r>
        <w:t xml:space="preserve"> </w:t>
      </w:r>
      <w:r>
        <w:rPr>
          <w:bCs/>
          <w:b/>
        </w:rPr>
        <w:t xml:space="preserve">Material and methods</w:t>
      </w:r>
      <w:r>
        <w:t xml:space="preserve">: A total of 234 patients diagnosed with CH were enrolled in a rehabilitation programme led by the Rehabilitation Centre of Punta Arenas (Chile). Neurodevelopmental status was assessed with the ASQ-3 at admission, as well as sociodemographic and obstetric data obtained through the initial clinical interview.</w:t>
      </w:r>
      <w:r>
        <w:t xml:space="preserve"> </w:t>
      </w:r>
      <w:r>
        <w:rPr>
          <w:bCs/>
          <w:b/>
        </w:rPr>
        <w:t xml:space="preserve">Results</w:t>
      </w:r>
      <w:r>
        <w:t xml:space="preserve">: When modelling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w:t>
      </w:r>
      <w:r>
        <w:t xml:space="preserve"> </w:t>
      </w:r>
      <w:r>
        <w:rPr>
          <w:bCs/>
          <w:b/>
        </w:rPr>
        <w:t xml:space="preserve">Conclusion</w:t>
      </w:r>
      <w:r>
        <w:t xml:space="preserve">: After adjusting for possible confounders, we found between-subjects fluctuations in neurodevelopmental traits across age in hypotonic infants. These fluctuations were present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Developmental traits, Congenital hypotonia, Ages and Stages Questionnaire (ASQ), Infants.</w:t>
      </w:r>
    </w:p>
    <w:p>
      <w:r>
        <w:br w:type="page"/>
      </w:r>
    </w:p>
    <w:bookmarkEnd w:id="23"/>
    <w:bookmarkStart w:id="24" w:name="introduction"/>
    <w:p>
      <w:pPr>
        <w:pStyle w:val="Ttulo1"/>
      </w:pPr>
      <w:r>
        <w:t xml:space="preserve">Introduction</w:t>
      </w:r>
    </w:p>
    <w:p>
      <w:pPr>
        <w:pStyle w:val="FirstParagraph"/>
      </w:pPr>
      <w:r>
        <w:t xml:space="preserve">The physical and psychological signs of early childhood development are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Therefore, both can be used in screening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many tools have been proposed to assess the developmental continuum of infants. In this sense, the Ages and Stages Questionnaire, Third Edition (ASQ-3) has been submitted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and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Multiple forms of neuromuscular, metabolic and genetic conditions are associated with hypotonia and may be a sign of neurodevelopmental delay, which may predispose to cognitive impairment in some cases</w:t>
      </w:r>
      <w:r>
        <w:t xml:space="preserve"> </w:t>
      </w:r>
      <w:r>
        <w:t xml:space="preserve">(</w:t>
      </w:r>
      <w:hyperlink w:anchor="ref-riou2009global">
        <w:r>
          <w:rPr>
            <w:rStyle w:val="Hipervnculo"/>
          </w:rPr>
          <w:t xml:space="preserve">Riou, Ghosh, Francoeur, &amp; Shevell, 2009</w:t>
        </w:r>
      </w:hyperlink>
      <w:r>
        <w:t xml:space="preserve">)</w:t>
      </w:r>
      <w:r>
        <w:t xml:space="preserve">. Hypotonia has been defined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The congenital hypotonia (CH) is usually considered an exclusion diagnosis, and is generally made in the absence of other signs and symptoms, after every other evaluative resource has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suggests that 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CH is a non-progressive neuromuscular disorder but tends to improve with time and early intervention</w:t>
      </w:r>
      <w:r>
        <w:t xml:space="preserve"> </w:t>
      </w:r>
      <w:r>
        <w:t xml:space="preserve">(</w:t>
      </w:r>
      <w:hyperlink w:anchor="ref-gabis2021weak">
        <w:r>
          <w:rPr>
            <w:rStyle w:val="Hipervnculo"/>
          </w:rPr>
          <w:t xml:space="preserve">Gabis et al., 2021</w:t>
        </w:r>
      </w:hyperlink>
      <w:r>
        <w:t xml:space="preserve">)</w:t>
      </w:r>
      <w:r>
        <w:t xml:space="preserve">.</w:t>
      </w:r>
    </w:p>
    <w:p>
      <w:pPr>
        <w:pStyle w:val="Textoindependiente"/>
      </w:pPr>
      <w:r>
        <w:t xml:space="preserve">Nevertheless, to the best of our knowledge, there is no robust evidence characterising the observed variation in developmental traits in infants with diagnosed CH across ages. Therefore, our main objective in this study was to describe and model the relationship between sociodemographics, prematurity and neurodevelopmental levels based on ASQ-3 scores in infants with diagnosed CH.</w:t>
      </w:r>
    </w:p>
    <w:bookmarkEnd w:id="24"/>
    <w:bookmarkStart w:id="33" w:name="material-y-methods"/>
    <w:p>
      <w:pPr>
        <w:pStyle w:val="Ttulo1"/>
      </w:pPr>
      <w:r>
        <w:t xml:space="preserve">Material y methods</w:t>
      </w:r>
    </w:p>
    <w:bookmarkStart w:id="25" w:name="study-design"/>
    <w:p>
      <w:pPr>
        <w:pStyle w:val="Ttulo2"/>
      </w:pPr>
      <w:r>
        <w:t xml:space="preserve">Study design</w:t>
      </w:r>
    </w:p>
    <w:p>
      <w:pPr>
        <w:pStyle w:val="FirstParagraph"/>
      </w:pPr>
      <w:r>
        <w:t xml:space="preserve">We conducted an observational, cross-sectional study under a quantitative approach.</w:t>
      </w:r>
    </w:p>
    <w:bookmarkEnd w:id="25"/>
    <w:bookmarkStart w:id="26" w:name="participants"/>
    <w:p>
      <w:pPr>
        <w:pStyle w:val="Ttulo2"/>
      </w:pPr>
      <w:r>
        <w:t xml:space="preserve">Participants</w:t>
      </w:r>
    </w:p>
    <w:p>
      <w:pPr>
        <w:pStyle w:val="FirstParagraph"/>
      </w:pPr>
      <w:r>
        <w:t xml:space="preserve">A total of 234 patients were enrolled as part of an intervention programme carried out by the</w:t>
      </w:r>
      <w:r>
        <w:t xml:space="preserve"> </w:t>
      </w:r>
      <w:r>
        <w:rPr>
          <w:iCs/>
          <w:i/>
        </w:rPr>
        <w:t xml:space="preserve">Cruz del Sur</w:t>
      </w:r>
      <w:r>
        <w:t xml:space="preserve"> </w:t>
      </w:r>
      <w:r>
        <w:t xml:space="preserve">Rehabilitation Centre (Punta Arenas, Chile), admitted from one month to 60 months, and assessed at admission, control and discharge. The total records of patients diagnosed with CH admitted to the institution’s programme were analysed, and the assessment of the subjects was conducted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four sources: 1) primary care paediatrician, who refers the diagnosis to the institution where admission to the programme is made; 2) paediatricians from private clinics, who refer the diagnosis; 3) neuropaediatricians from the clinical hospital, who refer the diagnosis to the programme; 4) physiatrist from the institution, who assigns the diagnosis if it corresponds to the semiology.</w:t>
      </w:r>
    </w:p>
    <w:bookmarkEnd w:id="26"/>
    <w:bookmarkStart w:id="28" w:name="measures"/>
    <w:p>
      <w:pPr>
        <w:pStyle w:val="Ttulo2"/>
      </w:pPr>
      <w:r>
        <w:t xml:space="preserve">Measures</w:t>
      </w:r>
    </w:p>
    <w:bookmarkStart w:id="27"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r>
        <w:t xml:space="preserve"> </w:t>
      </w:r>
      <w:r>
        <w:t xml:space="preserve">(</w:t>
      </w:r>
      <w:hyperlink w:anchor="ref-squires2009ages">
        <w:r>
          <w:rPr>
            <w:rStyle w:val="Hipervnculo"/>
          </w:rPr>
          <w:t xml:space="preserve">Squires, Bricker, Twombly, et al., 2009</w:t>
        </w:r>
      </w:hyperlink>
      <w:r>
        <w:t xml:space="preserve">)</w:t>
      </w:r>
      <w:r>
        <w:t xml:space="preserve">. The ASQ is cost-effective and widely used in the United States and other countries</w:t>
      </w:r>
      <w:r>
        <w:t xml:space="preserve"> </w:t>
      </w:r>
      <w:r>
        <w:t xml:space="preserve">(</w:t>
      </w:r>
      <w:hyperlink w:anchor="ref-heo2008cross">
        <w:r>
          <w:rPr>
            <w:rStyle w:val="Hipervnculo"/>
          </w:rPr>
          <w:t xml:space="preserve">Heo, Squires, &amp; Yovanoff, 2008</w:t>
        </w:r>
      </w:hyperlink>
      <w:r>
        <w:t xml:space="preserve">;</w:t>
      </w:r>
      <w:r>
        <w:t xml:space="preserve"> </w:t>
      </w:r>
      <w:hyperlink w:anchor="ref-sarmiento2011universal">
        <w:r>
          <w:rPr>
            <w:rStyle w:val="Hipervnculo"/>
          </w:rPr>
          <w:t xml:space="preserve">Sarmiento Campos, Squires, &amp; Ponte, 2011</w:t>
        </w:r>
      </w:hyperlink>
      <w:r>
        <w:t xml:space="preserve">)</w:t>
      </w:r>
      <w:r>
        <w:t xml:space="preserve">. It has been translated into several languages, and international studies on its psychometric properties in diverse cultural environments are increasing</w:t>
      </w:r>
      <w:r>
        <w:t xml:space="preserve"> </w:t>
      </w:r>
      <w:r>
        <w:t xml:space="preserve">(</w:t>
      </w:r>
      <w:hyperlink w:anchor="ref-heo2008cross">
        <w:r>
          <w:rPr>
            <w:rStyle w:val="Hipervnculo"/>
          </w:rPr>
          <w:t xml:space="preserve">Heo et al., 2008</w:t>
        </w:r>
      </w:hyperlink>
      <w:r>
        <w:t xml:space="preserve">;</w:t>
      </w:r>
      <w:r>
        <w:t xml:space="preserve"> </w:t>
      </w:r>
      <w:hyperlink w:anchor="ref-sarmiento2011universal">
        <w:r>
          <w:rPr>
            <w:rStyle w:val="Hipervnculo"/>
          </w:rPr>
          <w:t xml:space="preserve">Sarmiento Campos et al., 2011</w:t>
        </w:r>
      </w:hyperlink>
      <w:r>
        <w:t xml:space="preserve">)</w:t>
      </w:r>
      <w:r>
        <w:t xml:space="preserve">. It has shown good psychometric properties (75% sensitivity and 81% specificity) in Chilean term and preterm infants</w:t>
      </w:r>
      <w:r>
        <w:t xml:space="preserve"> </w:t>
      </w:r>
      <w:r>
        <w:t xml:space="preserve">(</w:t>
      </w:r>
      <w:hyperlink w:anchor="ref-schonhaut2013validity">
        <w:r>
          <w:rPr>
            <w:rStyle w:val="Hipervnculo"/>
          </w:rPr>
          <w:t xml:space="preserve">Schonhaut, Armijo, Schönstedt, Alvarez, &amp; Cordero, 2013</w:t>
        </w:r>
      </w:hyperlink>
      <w:r>
        <w:t xml:space="preserve">)</w:t>
      </w:r>
      <w:r>
        <w:t xml:space="preserve">.</w:t>
      </w:r>
    </w:p>
    <w:bookmarkEnd w:id="27"/>
    <w:bookmarkEnd w:id="28"/>
    <w:bookmarkStart w:id="31" w:name="procedures"/>
    <w:p>
      <w:pPr>
        <w:pStyle w:val="Ttulo2"/>
      </w:pPr>
      <w:r>
        <w:t xml:space="preserve">Procedures</w:t>
      </w:r>
    </w:p>
    <w:p>
      <w:pPr>
        <w:pStyle w:val="FirstParagraph"/>
      </w:pPr>
      <w:r>
        <w:t xml:space="preserve">For the collection of research data, authorisation consent was obtained for the use of instrumental clinical data as well as the clinical record of each patient. Subsequently, and following national research regulations, written authorisation was obtained from the institutional director to use the forms and database for research purposes. To this end, the data were anonymised during data processing and subsequent analyses.</w:t>
      </w:r>
    </w:p>
    <w:bookmarkStart w:id="29" w:name="collection-of-demographic-data"/>
    <w:p>
      <w:pPr>
        <w:pStyle w:val="Ttulo3"/>
      </w:pPr>
      <w:r>
        <w:t xml:space="preserve">Collection of demographic data</w:t>
      </w:r>
    </w:p>
    <w:p>
      <w:pPr>
        <w:pStyle w:val="FirstParagraph"/>
      </w:pPr>
      <w:r>
        <w:t xml:space="preserve">Each patient’s demographic data were collected and made available throughout the study by the institutional electronic systems at the time of entry to the programme. The administrative registration was done by the secretaries of the user coordination unit, recording name, ID number, date of birth and diagnosis. In addition, age data was automatically updated by the computer system’s algorithms.</w:t>
      </w:r>
    </w:p>
    <w:bookmarkEnd w:id="29"/>
    <w:bookmarkStart w:id="30"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the programme nurse administered. Some important considerations of the administration are that i) the primary caregiver must respond, ii) in case of doubts of the caregiver about the assessed behaviour, the information is corroborated by in situ tests with the user, and iii) in relation to the correction, the test itself standardises these procedures.</w:t>
      </w:r>
    </w:p>
    <w:bookmarkEnd w:id="30"/>
    <w:bookmarkEnd w:id="31"/>
    <w:bookmarkStart w:id="32" w:name="statistical-analysis"/>
    <w:p>
      <w:pPr>
        <w:pStyle w:val="Ttulo2"/>
      </w:pPr>
      <w:r>
        <w:t xml:space="preserve">Statistical analysis</w:t>
      </w:r>
    </w:p>
    <w:p>
      <w:pPr>
        <w:pStyle w:val="FirstParagraph"/>
      </w:pPr>
      <w:r>
        <w:t xml:space="preserve">Data are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measured outcomes, assessed through analytical and graphical methods, did not follow a Gaussian distribution.</w:t>
      </w:r>
    </w:p>
    <w:p>
      <w:pPr>
        <w:pStyle w:val="Textoindependiente"/>
      </w:pPr>
      <w:r>
        <w:t xml:space="preserve">In order to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The restricted maximum likelihood method was used to estimate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We used approximative derivatives with 95% confidence intervals (CI95%) to describe the smooth terms by means of quasi-linear segments.</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calculated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Although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the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PS,</w:t>
      </w:r>
      <w:r>
        <w:t xml:space="preserve"> </w:t>
      </w:r>
      <w:r>
        <w:rPr>
          <w:iCs/>
          <w:i/>
        </w:rPr>
        <w:t xml:space="preserve">p</w:t>
      </w:r>
      <w:r>
        <w:t xml:space="preserve"> </w:t>
      </w:r>
      <w:r>
        <w:t xml:space="preserve">= 0.131).</w:t>
      </w:r>
    </w:p>
    <w:bookmarkEnd w:id="34"/>
    <w:bookmarkStart w:id="35"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in the PS domain, there was no variation observed across corrected age.</w:t>
      </w:r>
    </w:p>
    <w:p>
      <w:pPr>
        <w:pStyle w:val="Textoindependiente"/>
      </w:pPr>
      <w:r>
        <w:t xml:space="preserve">These findings might be associated with the described motor impairments of hypotonia in the early stages of life, which compromise the infant’s ability to explore and interact with their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those mentioned above would be expressed in altered development of GM function in the first months of life, with a consequent limitation in FM skills later on, which would have a subsequent negative impact on the communicative competence of infants, secondary to reduced interaction with their environment and peers</w:t>
      </w:r>
      <w:r>
        <w:t xml:space="preserve"> </w:t>
      </w:r>
      <w:r>
        <w:t xml:space="preserve">(</w:t>
      </w:r>
      <w:hyperlink w:anchor="ref-bodensteiner2008evaluation">
        <w:r>
          <w:rPr>
            <w:rStyle w:val="Hipervnculo"/>
          </w:rPr>
          <w:t xml:space="preserve">Bodensteiner, 2008</w:t>
        </w:r>
      </w:hyperlink>
      <w:r>
        <w:t xml:space="preserve">)</w:t>
      </w:r>
      <w:r>
        <w:t xml:space="preserve">. In a recent systematic review</w:t>
      </w:r>
      <w:r>
        <w:t xml:space="preserve"> </w:t>
      </w:r>
      <w:r>
        <w:t xml:space="preserve">(</w:t>
      </w:r>
      <w:hyperlink w:anchor="ref-gonzalez2019gross">
        <w:r>
          <w:rPr>
            <w:rStyle w:val="Hipervnculo"/>
          </w:rPr>
          <w:t xml:space="preserve">Gonzalez, Alvarez, &amp; Nelson, 2019</w:t>
        </w:r>
      </w:hyperlink>
      <w:r>
        <w:t xml:space="preserve">)</w:t>
      </w:r>
      <w:r>
        <w:t xml:space="preserve">, differences in the predictive abilities of gross and FM skills on communication skills in infants and early childhood were reported, whereas GM skills, such as crawling and walking, favour exploration with their environment and caregivers, while FM skills, expressed through tasks such as drawing and handling utensils, could lead to improvements in language through mechanisms yet to be explored</w:t>
      </w:r>
      <w:r>
        <w:t xml:space="preserve"> </w:t>
      </w:r>
      <w:r>
        <w:t xml:space="preserve">(</w:t>
      </w:r>
      <w:hyperlink w:anchor="ref-gonzalez2019gross">
        <w:r>
          <w:rPr>
            <w:rStyle w:val="Hipervnculo"/>
          </w:rPr>
          <w:t xml:space="preserve">Gonzalez et al., 2019</w:t>
        </w:r>
      </w:hyperlink>
      <w:r>
        <w:t xml:space="preserve">)</w:t>
      </w:r>
      <w:r>
        <w:t xml:space="preserve">. These milestones may be impaired in the face of poorer head and trunk control in CH, which have been shown to delay the achievement of key motor milestones in infants</w:t>
      </w:r>
      <w:r>
        <w:t xml:space="preserve"> </w:t>
      </w:r>
      <w:r>
        <w:t xml:space="preserve">(</w:t>
      </w:r>
      <w:hyperlink w:anchor="ref-bodensteiner2008evaluation">
        <w:r>
          <w:rPr>
            <w:rStyle w:val="Hipervnculo"/>
          </w:rPr>
          <w:t xml:space="preserve">Bodensteiner, 2008</w:t>
        </w:r>
      </w:hyperlink>
      <w:r>
        <w:t xml:space="preserve">;</w:t>
      </w:r>
      <w:r>
        <w:t xml:space="preserve"> </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of congenital myopathies, with robust statistical methods that made it possible to capture and model the complex relationships seen early in life.</w:t>
      </w:r>
    </w:p>
    <w:bookmarkEnd w:id="35"/>
    <w:bookmarkStart w:id="36"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other populations.</w:t>
      </w:r>
    </w:p>
    <w:bookmarkEnd w:id="36"/>
    <w:bookmarkStart w:id="3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37"/>
    <w:bookmarkStart w:id="38"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8"/>
    <w:bookmarkStart w:id="39" w:name="conflicts-of-interest"/>
    <w:p>
      <w:pPr>
        <w:pStyle w:val="Ttulo1"/>
      </w:pPr>
      <w:r>
        <w:t xml:space="preserve">Conflicts of interest</w:t>
      </w:r>
    </w:p>
    <w:p>
      <w:pPr>
        <w:pStyle w:val="FirstParagraph"/>
      </w:pPr>
      <w:r>
        <w:t xml:space="preserve">The authors declare that the research was conducted without any commercial or financial relationships that could be construed as a potential conflict of interest.</w:t>
      </w:r>
    </w:p>
    <w:bookmarkEnd w:id="39"/>
    <w:bookmarkStart w:id="73" w:name="references"/>
    <w:p>
      <w:pPr>
        <w:pStyle w:val="Ttulo1"/>
      </w:pPr>
      <w:r>
        <w:t xml:space="preserve">References</w:t>
      </w:r>
    </w:p>
    <w:bookmarkStart w:id="70" w:name="refs"/>
    <w:bookmarkStart w:id="40"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40"/>
    <w:bookmarkStart w:id="41" w:name="ref-bodensteiner2008evaluation"/>
    <w:p>
      <w:pPr>
        <w:pStyle w:val="Bibliografa"/>
      </w:pPr>
      <w:r>
        <w:t xml:space="preserve">Bodensteiner, J. B. (2008). The evaluation of the hypotonic infant.</w:t>
      </w:r>
      <w:r>
        <w:t xml:space="preserve"> </w:t>
      </w:r>
      <w:r>
        <w:rPr>
          <w:iCs/>
          <w:i/>
        </w:rPr>
        <w:t xml:space="preserve">Seminars in Pediatric Neurology</w:t>
      </w:r>
      <w:r>
        <w:t xml:space="preserve">,</w:t>
      </w:r>
      <w:r>
        <w:t xml:space="preserve"> </w:t>
      </w:r>
      <w:r>
        <w:rPr>
          <w:iCs/>
          <w:i/>
        </w:rPr>
        <w:t xml:space="preserve">15</w:t>
      </w:r>
      <w:r>
        <w:t xml:space="preserve">, 10–20. Elsevier.</w:t>
      </w:r>
    </w:p>
    <w:bookmarkEnd w:id="41"/>
    <w:bookmarkStart w:id="42"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42"/>
    <w:bookmarkStart w:id="43"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3"/>
    <w:bookmarkStart w:id="44"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4"/>
    <w:bookmarkStart w:id="45"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5"/>
    <w:bookmarkStart w:id="46"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6"/>
    <w:bookmarkStart w:id="47"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7"/>
    <w:bookmarkStart w:id="48" w:name="ref-heo2008cross"/>
    <w:p>
      <w:pPr>
        <w:pStyle w:val="Bibliografa"/>
      </w:pPr>
      <w:r>
        <w:t xml:space="preserve">Heo, K. H., Squires, J., &amp; Yovanoff, P. (2008). Cross-cultural adaptation of a pre-school screening instrument: Comparison of korean and US populations.</w:t>
      </w:r>
      <w:r>
        <w:t xml:space="preserve"> </w:t>
      </w:r>
      <w:r>
        <w:rPr>
          <w:iCs/>
          <w:i/>
        </w:rPr>
        <w:t xml:space="preserve">Journal of Intellectual Disability Research</w:t>
      </w:r>
      <w:r>
        <w:t xml:space="preserve">,</w:t>
      </w:r>
      <w:r>
        <w:t xml:space="preserve"> </w:t>
      </w:r>
      <w:r>
        <w:rPr>
          <w:iCs/>
          <w:i/>
        </w:rPr>
        <w:t xml:space="preserve">52</w:t>
      </w:r>
      <w:r>
        <w:t xml:space="preserve">(3), 195–206.</w:t>
      </w:r>
    </w:p>
    <w:bookmarkEnd w:id="48"/>
    <w:bookmarkStart w:id="49"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9"/>
    <w:bookmarkStart w:id="50"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50"/>
    <w:bookmarkStart w:id="52"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51">
        <w:r>
          <w:rPr>
            <w:rStyle w:val="Hipervnculo"/>
          </w:rPr>
          <w:t xml:space="preserve">https://doi.org/10.21105/joss.03393</w:t>
        </w:r>
      </w:hyperlink>
    </w:p>
    <w:bookmarkEnd w:id="52"/>
    <w:bookmarkStart w:id="54"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53">
        <w:r>
          <w:rPr>
            <w:rStyle w:val="Hipervnculo"/>
          </w:rPr>
          <w:t xml:space="preserve">https://github.com/easystats/modelbased</w:t>
        </w:r>
      </w:hyperlink>
    </w:p>
    <w:bookmarkEnd w:id="54"/>
    <w:bookmarkStart w:id="56"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5">
        <w:r>
          <w:rPr>
            <w:rStyle w:val="Hipervnculo"/>
          </w:rPr>
          <w:t xml:space="preserve">https://www.R-project.org/</w:t>
        </w:r>
      </w:hyperlink>
    </w:p>
    <w:bookmarkEnd w:id="56"/>
    <w:bookmarkStart w:id="57"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7"/>
    <w:bookmarkStart w:id="58" w:name="ref-sarmiento2011universal"/>
    <w:p>
      <w:pPr>
        <w:pStyle w:val="Bibliografa"/>
      </w:pPr>
      <w:r>
        <w:t xml:space="preserve">Sarmiento Campos, J. A., Squires, J., &amp; Ponte, J. (2011). Universal developmental screening: Preliminary studies in galicia, spain.</w:t>
      </w:r>
      <w:r>
        <w:t xml:space="preserve"> </w:t>
      </w:r>
      <w:r>
        <w:rPr>
          <w:iCs/>
          <w:i/>
        </w:rPr>
        <w:t xml:space="preserve">Early Child Development and Care</w:t>
      </w:r>
      <w:r>
        <w:t xml:space="preserve">,</w:t>
      </w:r>
      <w:r>
        <w:t xml:space="preserve"> </w:t>
      </w:r>
      <w:r>
        <w:rPr>
          <w:iCs/>
          <w:i/>
        </w:rPr>
        <w:t xml:space="preserve">181</w:t>
      </w:r>
      <w:r>
        <w:t xml:space="preserve">(4), 475–485.</w:t>
      </w:r>
    </w:p>
    <w:bookmarkEnd w:id="58"/>
    <w:bookmarkStart w:id="59" w:name="ref-schonhaut2013validity"/>
    <w:p>
      <w:pPr>
        <w:pStyle w:val="Bibliografa"/>
      </w:pPr>
      <w:r>
        <w:t xml:space="preserve">Schonhaut, L., Armijo, I., Schönstedt, M., Alvarez, J., &amp; Cordero, M. (2013). Validity of the ages and stages questionnaires in term and preterm infants.</w:t>
      </w:r>
      <w:r>
        <w:t xml:space="preserve"> </w:t>
      </w:r>
      <w:r>
        <w:rPr>
          <w:iCs/>
          <w:i/>
        </w:rPr>
        <w:t xml:space="preserve">Pediatrics</w:t>
      </w:r>
      <w:r>
        <w:t xml:space="preserve">,</w:t>
      </w:r>
      <w:r>
        <w:t xml:space="preserve"> </w:t>
      </w:r>
      <w:r>
        <w:rPr>
          <w:iCs/>
          <w:i/>
        </w:rPr>
        <w:t xml:space="preserve">131</w:t>
      </w:r>
      <w:r>
        <w:t xml:space="preserve">(5), e1468–e1474.</w:t>
      </w:r>
    </w:p>
    <w:bookmarkEnd w:id="59"/>
    <w:bookmarkStart w:id="60"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60"/>
    <w:bookmarkStart w:id="61" w:name="ref-squires2009ages"/>
    <w:p>
      <w:pPr>
        <w:pStyle w:val="Bibliografa"/>
      </w:pPr>
      <w:r>
        <w:t xml:space="preserve">Squires, J., Bricker, D. D., Twombly, E., et al. (2009).</w:t>
      </w:r>
      <w:r>
        <w:t xml:space="preserve"> </w:t>
      </w:r>
      <w:r>
        <w:rPr>
          <w:iCs/>
          <w:i/>
        </w:rPr>
        <w:t xml:space="preserve">Ages &amp; stages questionnaires</w:t>
      </w:r>
      <w:r>
        <w:t xml:space="preserve">. Paul H. Brookes Baltimore, MD.</w:t>
      </w:r>
    </w:p>
    <w:bookmarkEnd w:id="61"/>
    <w:bookmarkStart w:id="62"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62"/>
    <w:bookmarkStart w:id="63"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63"/>
    <w:bookmarkStart w:id="65"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64">
        <w:r>
          <w:rPr>
            <w:rStyle w:val="Hipervnculo"/>
          </w:rPr>
          <w:t xml:space="preserve">https://ggplot2.tidyverse.org</w:t>
        </w:r>
      </w:hyperlink>
    </w:p>
    <w:bookmarkEnd w:id="65"/>
    <w:bookmarkStart w:id="66"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66"/>
    <w:bookmarkStart w:id="67"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7"/>
    <w:bookmarkStart w:id="68"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68"/>
    <w:bookmarkStart w:id="69"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69"/>
    <w:bookmarkEnd w:id="70"/>
    <w:p>
      <w:r>
        <w:br w:type="page"/>
      </w:r>
    </w:p>
    <w:p>
      <w:pPr>
        <w:pStyle w:val="Textoindependiente"/>
      </w:pPr>
      <w:bookmarkStart w:id="71" w:name="tab1"/>
      <w:r>
        <w:rPr>
          <w:bCs/>
          <w:b/>
        </w:rPr>
        <w:t xml:space="preserve">Table 1</w:t>
      </w:r>
      <w:bookmarkEnd w:id="71"/>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72" w:name="fig1"/>
      <w:r>
        <w:rPr>
          <w:bCs/>
          <w:b/>
        </w:rPr>
        <w:t xml:space="preserve">Figure 1</w:t>
      </w:r>
      <w:bookmarkEnd w:id="72"/>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bookmarkEnd w:id="73"/>
    <w:sectPr w:rsidR="00C83DAD"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21105/joss.03393" TargetMode="External" /><Relationship Type="http://schemas.openxmlformats.org/officeDocument/2006/relationships/hyperlink" Id="rId64" Target="https://ggplot2.tidyverse.org" TargetMode="External" /><Relationship Type="http://schemas.openxmlformats.org/officeDocument/2006/relationships/hyperlink" Id="rId53"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5"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21105/joss.03393" TargetMode="External" /><Relationship Type="http://schemas.openxmlformats.org/officeDocument/2006/relationships/hyperlink" Id="rId64" Target="https://ggplot2.tidyverse.org" TargetMode="External" /><Relationship Type="http://schemas.openxmlformats.org/officeDocument/2006/relationships/hyperlink" Id="rId53"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5"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2022-07-27T19:12:17Z</dcterms:created>
  <dcterms:modified xsi:type="dcterms:W3CDTF">2022-07-27T19:12:17Z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