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[title]</w:t>
      </w:r>
    </w:p>
    <w:p>
      <w:pPr>
        <w:pStyle w:val="Textoindependiente"/>
      </w:pPr>
      <w:r>
        <w:rPr>
          <w:bCs/>
          <w:b/>
        </w:rPr>
        <w:t xml:space="preserve">Authors</w:t>
      </w:r>
      <w:r>
        <w:t xml:space="preserve">: Primer autor,</w:t>
      </w:r>
      <w:r>
        <w:rPr>
          <w:vertAlign w:val="superscript"/>
        </w:rPr>
        <w:t xml:space="preserve">1</w:t>
      </w:r>
      <w:r>
        <w:t xml:space="preserve"> </w:t>
      </w:r>
      <w:r>
        <w:t xml:space="preserve">Segundo autor,</w:t>
      </w:r>
      <w:r>
        <w:rPr>
          <w:vertAlign w:val="superscript"/>
        </w:rPr>
        <w:t xml:space="preserve">2</w:t>
      </w:r>
      <w:r>
        <w:t xml:space="preserve"> </w:t>
      </w:r>
      <w:r>
        <w:t xml:space="preserve">Tercer autor,</w:t>
      </w:r>
      <w:r>
        <w:rPr>
          <w:vertAlign w:val="superscript"/>
        </w:rPr>
        <w:t xml:space="preserve">3</w:t>
      </w:r>
      <w:r>
        <w:t xml:space="preserve"> </w:t>
      </w:r>
      <w:r>
        <w:t xml:space="preserve">Cuarto autor,</w:t>
      </w:r>
      <w:r>
        <w:rPr>
          <w:vertAlign w:val="superscript"/>
        </w:rPr>
        <w:t xml:space="preserve">4</w:t>
      </w:r>
      <w:r>
        <w:t xml:space="preserve"> </w:t>
      </w:r>
      <w:r>
        <w:t xml:space="preserve">Quinto autor,</w:t>
      </w:r>
      <w:r>
        <w:rPr>
          <w:vertAlign w:val="superscript"/>
        </w:rPr>
        <w:t xml:space="preserve">5</w:t>
      </w:r>
      <w:r>
        <w:t xml:space="preserve"> </w:t>
      </w:r>
      <w:r>
        <w:t xml:space="preserve">Sexto 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Afiliación, lugar.</w:t>
      </w:r>
    </w:p>
    <w:p>
      <w:pPr>
        <w:pStyle w:val="Afiliation"/>
      </w:pPr>
      <w:r>
        <w:rPr>
          <w:vertAlign w:val="superscript"/>
        </w:rPr>
        <w:t xml:space="preserve">2</w:t>
      </w:r>
      <w:r>
        <w:t xml:space="preserve"> </w:t>
      </w:r>
      <w:r>
        <w:t xml:space="preserve">Afiliación, lugar.</w:t>
      </w:r>
    </w:p>
    <w:p>
      <w:pPr>
        <w:pStyle w:val="Afiliation"/>
      </w:pPr>
      <w:r>
        <w:rPr>
          <w:vertAlign w:val="superscript"/>
        </w:rPr>
        <w:t xml:space="preserve">3</w:t>
      </w:r>
      <w:r>
        <w:t xml:space="preserve"> </w:t>
      </w:r>
      <w:r>
        <w:t xml:space="preserve">Afiliación, lugar.</w:t>
      </w:r>
    </w:p>
    <w:p>
      <w:pPr>
        <w:pStyle w:val="Afiliation"/>
      </w:pPr>
      <w:r>
        <w:rPr>
          <w:vertAlign w:val="superscript"/>
        </w:rPr>
        <w:t xml:space="preserve">4</w:t>
      </w:r>
      <w:r>
        <w:t xml:space="preserve"> </w:t>
      </w:r>
      <w:r>
        <w:t xml:space="preserve">Afiliación, lugar.</w:t>
      </w:r>
    </w:p>
    <w:p>
      <w:pPr>
        <w:pStyle w:val="Afiliation"/>
      </w:pPr>
      <w:r>
        <w:rPr>
          <w:vertAlign w:val="superscript"/>
        </w:rPr>
        <w:t xml:space="preserve">5</w:t>
      </w:r>
      <w:r>
        <w:t xml:space="preserve"> </w:t>
      </w:r>
      <w:r>
        <w:t xml:space="preserve">Afiliación, lugar.</w:t>
      </w:r>
    </w:p>
    <w:p>
      <w:pPr>
        <w:pStyle w:val="Afiliation"/>
      </w:pPr>
      <w:r>
        <w:rPr>
          <w:vertAlign w:val="superscript"/>
        </w:rPr>
        <w:t xml:space="preserve">6</w:t>
      </w:r>
      <w:r>
        <w:t xml:space="preserve"> </w:t>
      </w:r>
      <w:r>
        <w:t xml:space="preserve">Afiliación, lugar.</w:t>
      </w:r>
    </w:p>
    <w:bookmarkStart w:id="20" w:name="autor-de-correspondencia"/>
    <w:p>
      <w:pPr>
        <w:pStyle w:val="Ttulo3"/>
      </w:pPr>
      <w:r>
        <w:t xml:space="preserve">*Autor de correspondencia</w:t>
      </w:r>
    </w:p>
    <w:p>
      <w:pPr>
        <w:pStyle w:val="FirstParagraph"/>
      </w:pPr>
      <w:r>
        <w:t xml:space="preserve">Autor, Afiliación, lugar. e-mail: autor@mail.com.</w:t>
      </w:r>
      <w:r>
        <w:t xml:space="preserve"> </w:t>
      </w:r>
      <w:r>
        <w:t xml:space="preserve">Dirección: XXXX. Teléfono: XXXX.</w:t>
      </w:r>
    </w:p>
    <w:p>
      <w:r>
        <w:br w:type="page"/>
      </w:r>
    </w:p>
    <w:bookmarkEnd w:id="20"/>
    <w:bookmarkStart w:id="21" w:name="abstract"/>
    <w:p>
      <w:pPr>
        <w:pStyle w:val="Ttulo2"/>
      </w:pPr>
      <w:r>
        <w:t xml:space="preserve">Abstract</w:t>
      </w:r>
    </w:p>
    <w:p>
      <w:pPr>
        <w:pStyle w:val="FirstParagraph"/>
      </w:pPr>
      <w:r>
        <w:rPr>
          <w:bCs/>
          <w:b/>
        </w:rPr>
        <w:t xml:space="preserve">Objective</w:t>
      </w:r>
      <w:r>
        <w:t xml:space="preserve">: […].</w:t>
      </w:r>
      <w:r>
        <w:t xml:space="preserve"> </w:t>
      </w:r>
      <w:r>
        <w:rPr>
          <w:bCs/>
          <w:b/>
        </w:rPr>
        <w:t xml:space="preserve">Material and methods</w:t>
      </w:r>
      <w:r>
        <w:t xml:space="preserve">: […].</w:t>
      </w:r>
      <w:r>
        <w:t xml:space="preserve"> </w:t>
      </w:r>
      <w:r>
        <w:rPr>
          <w:bCs/>
          <w:b/>
        </w:rPr>
        <w:t xml:space="preserve">Results</w:t>
      </w:r>
      <w:r>
        <w:t xml:space="preserve">: […].</w:t>
      </w:r>
      <w:r>
        <w:t xml:space="preserve"> </w:t>
      </w:r>
      <w:r>
        <w:rPr>
          <w:bCs/>
          <w:b/>
        </w:rPr>
        <w:t xml:space="preserve">Conclusion</w:t>
      </w:r>
      <w:r>
        <w:t xml:space="preserve">: […].</w:t>
      </w:r>
    </w:p>
    <w:p>
      <w:pPr>
        <w:pStyle w:val="Textoindependiente"/>
      </w:pPr>
      <w:r>
        <w:rPr>
          <w:bCs/>
          <w:b/>
        </w:rPr>
        <w:t xml:space="preserve">Keywords</w:t>
      </w:r>
      <w:r>
        <w:t xml:space="preserve">: […].</w:t>
      </w:r>
    </w:p>
    <w:p>
      <w:r>
        <w:br w:type="page"/>
      </w:r>
    </w:p>
    <w:bookmarkEnd w:id="21"/>
    <w:bookmarkStart w:id="22" w:name="introduction"/>
    <w:p>
      <w:pPr>
        <w:pStyle w:val="Ttulo1"/>
      </w:pPr>
      <w:r>
        <w:t xml:space="preserve">Introduction</w:t>
      </w:r>
    </w:p>
    <w:p>
      <w:pPr>
        <w:pStyle w:val="FirstParagraph"/>
      </w:pPr>
      <w:r>
        <w:t xml:space="preserve">[…].</w:t>
      </w:r>
    </w:p>
    <w:p>
      <w:pPr>
        <w:pStyle w:val="Textoindependiente"/>
      </w:pPr>
      <w:r>
        <w:t xml:space="preserve">[…].</w:t>
      </w:r>
    </w:p>
    <w:p>
      <w:pPr>
        <w:pStyle w:val="Textoindependiente"/>
      </w:pPr>
      <w:r>
        <w:t xml:space="preserve">[…].</w:t>
      </w:r>
    </w:p>
    <w:bookmarkEnd w:id="22"/>
    <w:bookmarkStart w:id="29" w:name="material-y-methods"/>
    <w:p>
      <w:pPr>
        <w:pStyle w:val="Ttulo1"/>
      </w:pPr>
      <w:r>
        <w:t xml:space="preserve">Material y methods</w:t>
      </w:r>
    </w:p>
    <w:bookmarkStart w:id="23" w:name="participants"/>
    <w:p>
      <w:pPr>
        <w:pStyle w:val="Ttulo2"/>
      </w:pPr>
      <w:r>
        <w:t xml:space="preserve">Participants</w:t>
      </w:r>
    </w:p>
    <w:p>
      <w:pPr>
        <w:pStyle w:val="FirstParagraph"/>
      </w:pPr>
      <w:r>
        <w:t xml:space="preserve">[…].</w:t>
      </w:r>
    </w:p>
    <w:bookmarkEnd w:id="23"/>
    <w:bookmarkStart w:id="26" w:name="instruments"/>
    <w:p>
      <w:pPr>
        <w:pStyle w:val="Ttulo2"/>
      </w:pPr>
      <w:r>
        <w:t xml:space="preserve">Instruments</w:t>
      </w:r>
    </w:p>
    <w:bookmarkStart w:id="24" w:name="instrument-1"/>
    <w:p>
      <w:pPr>
        <w:pStyle w:val="Ttulo3"/>
      </w:pPr>
      <w:r>
        <w:t xml:space="preserve">Instrument 1</w:t>
      </w:r>
    </w:p>
    <w:p>
      <w:pPr>
        <w:pStyle w:val="FirstParagraph"/>
      </w:pPr>
      <w:r>
        <w:t xml:space="preserve">[…].</w:t>
      </w:r>
    </w:p>
    <w:bookmarkEnd w:id="24"/>
    <w:bookmarkStart w:id="25" w:name="instrument-2"/>
    <w:p>
      <w:pPr>
        <w:pStyle w:val="Ttulo3"/>
      </w:pPr>
      <w:r>
        <w:t xml:space="preserve">Instrument 2</w:t>
      </w:r>
    </w:p>
    <w:p>
      <w:pPr>
        <w:pStyle w:val="FirstParagraph"/>
      </w:pPr>
      <w:r>
        <w:t xml:space="preserve">[…].</w:t>
      </w:r>
    </w:p>
    <w:bookmarkEnd w:id="25"/>
    <w:bookmarkEnd w:id="26"/>
    <w:bookmarkStart w:id="27" w:name="procedures"/>
    <w:p>
      <w:pPr>
        <w:pStyle w:val="Ttulo2"/>
      </w:pPr>
      <w:r>
        <w:t xml:space="preserve">Procedures</w:t>
      </w:r>
    </w:p>
    <w:p>
      <w:pPr>
        <w:pStyle w:val="FirstParagraph"/>
      </w:pPr>
      <w:r>
        <w:t xml:space="preserve">[…].</w:t>
      </w:r>
    </w:p>
    <w:p>
      <w:pPr>
        <w:pStyle w:val="Textoindependiente"/>
      </w:pPr>
      <w:r>
        <w:t xml:space="preserve">[…].</w:t>
      </w:r>
    </w:p>
    <w:bookmarkEnd w:id="27"/>
    <w:bookmarkStart w:id="28" w:name="statistical-analysis"/>
    <w:p>
      <w:pPr>
        <w:pStyle w:val="Ttulo2"/>
      </w:pPr>
      <w:r>
        <w:t xml:space="preserve">Statistical analysis</w:t>
      </w:r>
    </w:p>
    <w:p>
      <w:pPr>
        <w:pStyle w:val="FirstParagraph"/>
      </w:pPr>
      <w:r>
        <w:t xml:space="preserve">Data is presented as median (</w:t>
      </w:r>
      <w:r>
        <w:rPr>
          <w:iCs/>
          <w:i/>
        </w:rPr>
        <w:t xml:space="preserve">Mdn</w:t>
      </w:r>
      <w:r>
        <w:t xml:space="preserve">) and interquartile range (</w:t>
      </w:r>
      <w:r>
        <w:rPr>
          <w:iCs/>
          <w:i/>
        </w:rPr>
        <w:t xml:space="preserve">IQR</w:t>
      </w:r>
      <w:r>
        <w:t xml:space="preserve">) for continuous variables; for categorical/discrete variables, the absolute and relative sample size was reported.</w:t>
      </w:r>
    </w:p>
    <w:p>
      <w:pPr>
        <w:pStyle w:val="Textoindependiente"/>
      </w:pPr>
      <w:r>
        <w:t xml:space="preserve">A non-parametric approach was used since the underlying distribution of continuous measured outcomes, assessed through analytical and graphical methods, did not follow a Gaussian distribution.</w:t>
      </w:r>
    </w:p>
    <w:p>
      <w:pPr>
        <w:pStyle w:val="Textoindependiente"/>
      </w:pPr>
      <w:r>
        <w:t xml:space="preserve">In order assess the differences in developmental scores between males and females, the</w:t>
      </w:r>
      <w:r>
        <w:t xml:space="preserve"> </w:t>
      </w:r>
      <w:r>
        <w:rPr>
          <w:iCs/>
          <w:i/>
        </w:rPr>
        <w:t xml:space="preserve">Wilcoxon</w:t>
      </w:r>
      <w:r>
        <w:t xml:space="preserve"> </w:t>
      </w:r>
      <w:r>
        <w:t xml:space="preserve">rank-sum test was used, meanwhile the chi-square test (</w:t>
      </w:r>
      <m:oMath>
        <m:sSup>
          <m:e>
            <m:r>
              <m:t>χ</m:t>
            </m:r>
          </m:e>
          <m:sup>
            <m:r>
              <m:t>2</m:t>
            </m:r>
          </m:sup>
        </m:sSup>
      </m:oMath>
      <w:r>
        <w:t xml:space="preserve">) was used to evaluate the goodness-of-fit (</w:t>
      </w:r>
      <m:oMath>
        <m:sSubSup>
          <m:e>
            <m:r>
              <m:t>χ</m:t>
            </m:r>
          </m:e>
          <m:sub>
            <m:r>
              <m:t>g</m:t>
            </m:r>
            <m:r>
              <m:t>o</m:t>
            </m:r>
            <m:r>
              <m:t>f</m:t>
            </m:r>
          </m:sub>
          <m:sup>
            <m:r>
              <m:t>2</m:t>
            </m:r>
          </m:sup>
        </m:sSubSup>
      </m:oMath>
      <w:r>
        <w:t xml:space="preserve">) and the independence of factors (</w:t>
      </w:r>
      <m:oMath>
        <m:sSubSup>
          <m:e>
            <m:r>
              <m:t>χ</m:t>
            </m:r>
          </m:e>
          <m:sub>
            <m:r>
              <m:t>P</m:t>
            </m:r>
            <m:r>
              <m:t>e</m:t>
            </m:r>
            <m:r>
              <m:t>a</m:t>
            </m:r>
            <m:r>
              <m:t>r</m:t>
            </m:r>
            <m:r>
              <m:t>s</m:t>
            </m:r>
            <m:r>
              <m:t>o</m:t>
            </m:r>
            <m:r>
              <m:t>n</m:t>
            </m:r>
          </m:sub>
          <m:sup>
            <m:r>
              <m:t>2</m:t>
            </m:r>
          </m:sup>
        </m:sSubSup>
      </m:oMath>
      <w:r>
        <w:t xml:space="preserve">).</w:t>
      </w:r>
    </w:p>
    <w:p>
      <w:pPr>
        <w:pStyle w:val="Textoindependiente"/>
      </w:pPr>
      <w:r>
        <w:t xml:space="preserve">Generalized additive models (GAM) were used to describe linear and non-linear relationships in the form of smooth terms between developmental characteristics, represented through penalized regression splines</w:t>
      </w:r>
      <w:r>
        <w:t xml:space="preserve"> </w:t>
      </w:r>
      <w:r>
        <w:t xml:space="preserve">(</w:t>
      </w:r>
      <w:hyperlink w:anchor="ref-wood2011fast">
        <w:r>
          <w:rPr>
            <w:rStyle w:val="Hipervnculo"/>
          </w:rPr>
          <w:t xml:space="preserve">1</w:t>
        </w:r>
      </w:hyperlink>
      <w:r>
        <w:t xml:space="preserve">)</w:t>
      </w:r>
      <w:r>
        <w:t xml:space="preserve">. Restricted maximum likelihood (i.e., REML) method was used for the estimation of the smoothing parameters, and thin-plate regression splines for smoothing basis, as they are the optimal smoother of any given basis dimension/rank</w:t>
      </w:r>
      <w:r>
        <w:t xml:space="preserve"> </w:t>
      </w:r>
      <w:r>
        <w:t xml:space="preserve">(</w:t>
      </w:r>
      <w:hyperlink w:anchor="ref-wood2003thin">
        <w:r>
          <w:rPr>
            <w:rStyle w:val="Hipervnculo"/>
          </w:rPr>
          <w:t xml:space="preserve">2</w:t>
        </w:r>
      </w:hyperlink>
      <w:r>
        <w:t xml:space="preserve">)</w:t>
      </w:r>
      <w:r>
        <w:t xml:space="preserve">. To describe the smooth terms by means of quasi-linear segments, we used approximative effect derivatives to summarise the trend with 95% confidence intervals.</w:t>
      </w:r>
    </w:p>
    <w:p>
      <w:pPr>
        <w:pStyle w:val="Textoindependiente"/>
      </w:pPr>
      <w:r>
        <w:t xml:space="preserve">To account for any source of variability coming from subject’s sex, evaluators and the type of relationship between the infants with the respondents, we incorporate them as random effects in the fitted models in the form of penalized parametric terms</w:t>
      </w:r>
      <w:r>
        <w:t xml:space="preserve"> </w:t>
      </w:r>
      <w:r>
        <w:t xml:space="preserve">(</w:t>
      </w:r>
      <w:hyperlink w:anchor="ref-wood2016smoothing">
        <w:r>
          <w:rPr>
            <w:rStyle w:val="Hipervnculo"/>
          </w:rPr>
          <w:t xml:space="preserve">3</w:t>
        </w:r>
      </w:hyperlink>
      <w:r>
        <w:t xml:space="preserve">)</w:t>
      </w:r>
      <w:r>
        <w:t xml:space="preserve">.</w:t>
      </w:r>
    </w:p>
    <w:p>
      <w:pPr>
        <w:pStyle w:val="Textoindependiente"/>
      </w:pPr>
      <w:r>
        <w:t xml:space="preserve">A probability of committing a type I (</w:t>
      </w:r>
      <m:oMath>
        <m:r>
          <m:t>α</m:t>
        </m:r>
      </m:oMath>
      <w:r>
        <w:t xml:space="preserve">) error of less than 5% (</w:t>
      </w:r>
      <w:r>
        <w:rPr>
          <w:iCs/>
          <w:i/>
        </w:rPr>
        <w:t xml:space="preserve">p</w:t>
      </w:r>
      <w:r>
        <w:t xml:space="preserve"> </w:t>
      </w:r>
      <w:r>
        <w:t xml:space="preserve">&lt; 0.05), was considered sufficient evidence for statistical significance in hypothesis testing. All the statistical analyses were computed and implemented in the R programming language</w:t>
      </w:r>
      <w:r>
        <w:t xml:space="preserve"> </w:t>
      </w:r>
      <w:r>
        <w:t xml:space="preserve">(</w:t>
      </w:r>
      <w:hyperlink w:anchor="ref-rlanguage">
        <w:r>
          <w:rPr>
            <w:rStyle w:val="Hipervnculo"/>
          </w:rPr>
          <w:t xml:space="preserve">4</w:t>
        </w:r>
      </w:hyperlink>
      <w:r>
        <w:t xml:space="preserve">)</w:t>
      </w:r>
      <w:r>
        <w:t xml:space="preserve">. GAMs and the corresponding model estimates were computed using the</w:t>
      </w:r>
      <w:r>
        <w:t xml:space="preserve"> </w:t>
      </w:r>
      <w:r>
        <w:rPr>
          <w:iCs/>
          <w:i/>
        </w:rPr>
        <w:t xml:space="preserve">mgcv</w:t>
      </w:r>
      <w:r>
        <w:t xml:space="preserve"> </w:t>
      </w:r>
      <w:r>
        <w:t xml:space="preserve">and</w:t>
      </w:r>
      <w:r>
        <w:t xml:space="preserve"> </w:t>
      </w:r>
      <w:r>
        <w:rPr>
          <w:iCs/>
          <w:i/>
        </w:rPr>
        <w:t xml:space="preserve">modelbased</w:t>
      </w:r>
      <w:r>
        <w:t xml:space="preserve"> </w:t>
      </w:r>
      <w:r>
        <w:t xml:space="preserve">packages with their corresponding documentation</w:t>
      </w:r>
      <w:r>
        <w:t xml:space="preserve"> </w:t>
      </w:r>
      <w:r>
        <w:t xml:space="preserve">(</w:t>
      </w:r>
      <w:hyperlink w:anchor="ref-wood2017generalized">
        <w:r>
          <w:rPr>
            <w:rStyle w:val="Hipervnculo"/>
          </w:rPr>
          <w:t xml:space="preserve">5</w:t>
        </w:r>
      </w:hyperlink>
      <w:r>
        <w:t xml:space="preserve">,</w:t>
      </w:r>
      <w:hyperlink w:anchor="ref-dominique2020estimation">
        <w:r>
          <w:rPr>
            <w:rStyle w:val="Hipervnculo"/>
          </w:rPr>
          <w:t xml:space="preserve">6</w:t>
        </w:r>
      </w:hyperlink>
      <w:r>
        <w:t xml:space="preserve">)</w:t>
      </w:r>
      <w:r>
        <w:t xml:space="preserve">. Complementary R packages were used for visualization purposes</w:t>
      </w:r>
      <w:r>
        <w:t xml:space="preserve"> </w:t>
      </w:r>
      <w:r>
        <w:t xml:space="preserve">(</w:t>
      </w:r>
      <w:hyperlink w:anchor="ref-hadley2016ggplot2">
        <w:r>
          <w:rPr>
            <w:rStyle w:val="Hipervnculo"/>
          </w:rPr>
          <w:t xml:space="preserve">7</w:t>
        </w:r>
      </w:hyperlink>
      <w:r>
        <w:t xml:space="preserve">,</w:t>
      </w:r>
      <w:hyperlink w:anchor="ref-daniel2021see">
        <w:r>
          <w:rPr>
            <w:rStyle w:val="Hipervnculo"/>
          </w:rPr>
          <w:t xml:space="preserve">8</w:t>
        </w:r>
      </w:hyperlink>
      <w:r>
        <w:t xml:space="preserve">)</w:t>
      </w:r>
      <w:r>
        <w:t xml:space="preserve">.</w:t>
      </w:r>
    </w:p>
    <w:bookmarkEnd w:id="28"/>
    <w:bookmarkEnd w:id="29"/>
    <w:bookmarkStart w:id="30" w:name="results"/>
    <w:p>
      <w:pPr>
        <w:pStyle w:val="Ttulo1"/>
      </w:pPr>
      <w:r>
        <w:t xml:space="preserve">Results</w:t>
      </w:r>
    </w:p>
    <w:p>
      <w:pPr>
        <w:pStyle w:val="FirstParagraph"/>
      </w:pPr>
      <w:r>
        <w:t xml:space="preserve">From a total of 234 subjects with congenital hypotonia, 94 (40.2%) were females and 140 (59.8%) males (</w:t>
      </w:r>
      <m:oMath>
        <m:sSubSup>
          <m:e>
            <m:r>
              <m:t>χ</m:t>
            </m:r>
          </m:e>
          <m:sub>
            <m:r>
              <m:t>g</m:t>
            </m:r>
            <m:r>
              <m:t>o</m:t>
            </m:r>
            <m:r>
              <m:t>f</m:t>
            </m:r>
          </m:sub>
          <m:sup>
            <m:r>
              <m:t>2</m:t>
            </m:r>
          </m:sup>
        </m:sSubSup>
      </m:oMath>
      <w:r>
        <w:t xml:space="preserve"> </w:t>
      </w:r>
      <w:r>
        <w:t xml:space="preserve">(1) = 9.04,</w:t>
      </w:r>
      <w:r>
        <w:t xml:space="preserve"> </w:t>
      </w:r>
      <w:r>
        <w:rPr>
          <w:iCs/>
          <w:i/>
        </w:rPr>
        <w:t xml:space="preserve">p</w:t>
      </w:r>
      <w:r>
        <w:t xml:space="preserve"> </w:t>
      </w:r>
      <w:r>
        <w:t xml:space="preserve">= 0.003,</w:t>
      </w:r>
      <w:r>
        <w:t xml:space="preserve"> </w:t>
      </w:r>
      <m:oMath>
        <m:sSub>
          <m:e>
            <m:r>
              <m:t>C</m:t>
            </m:r>
          </m:e>
          <m:sub>
            <m:r>
              <m:t>P</m:t>
            </m:r>
            <m:r>
              <m:t>e</m:t>
            </m:r>
            <m:r>
              <m:t>a</m:t>
            </m:r>
            <m:r>
              <m:t>r</m:t>
            </m:r>
            <m:r>
              <m:t>s</m:t>
            </m:r>
            <m:r>
              <m:t>o</m:t>
            </m:r>
            <m:r>
              <m:t>n</m:t>
            </m:r>
          </m:sub>
        </m:sSub>
      </m:oMath>
      <w:r>
        <w:t xml:space="preserve"> </w:t>
      </w:r>
      <w:r>
        <w:t xml:space="preserve">= 0.19, CI</w:t>
      </w:r>
      <w:r>
        <w:rPr>
          <w:vertAlign w:val="subscript"/>
        </w:rPr>
        <w:t xml:space="preserve">0.95%</w:t>
      </w:r>
      <w:r>
        <w:t xml:space="preserve">[0.09, 1]). The developmental characteristics of the sample can be seen in</w:t>
      </w:r>
      <w:r>
        <w:t xml:space="preserve"> </w:t>
      </w:r>
      <w:hyperlink w:anchor="tab1">
        <w:r>
          <w:rPr>
            <w:rStyle w:val="Hipervnculo"/>
          </w:rPr>
          <w:t xml:space="preserve">Table 1</w:t>
        </w:r>
      </w:hyperlink>
      <w:r>
        <w:t xml:space="preserve">.</w:t>
      </w:r>
    </w:p>
    <w:p>
      <w:pPr>
        <w:pStyle w:val="Textoindependiente"/>
      </w:pPr>
      <w:r>
        <w:t xml:space="preserve">When modelling the effect of chronological age corrected for prematurity on developmental domains, we observed a significant non-linear relationship on communication scores (</w:t>
      </w:r>
      <m:oMath>
        <m:sSub>
          <m:e>
            <m:r>
              <m:t>F</m:t>
            </m:r>
          </m:e>
          <m:sub>
            <m:r>
              <m:t>s</m:t>
            </m:r>
            <m:r>
              <m:t>m</m:t>
            </m:r>
            <m:r>
              <m:t>o</m:t>
            </m:r>
            <m:r>
              <m:t>o</m:t>
            </m:r>
            <m:r>
              <m:t>t</m:t>
            </m:r>
            <m:r>
              <m:t>h</m:t>
            </m:r>
          </m:sub>
        </m:sSub>
      </m:oMath>
      <w:r>
        <w:t xml:space="preserve"> </w:t>
      </w:r>
      <w:r>
        <w:t xml:space="preserve">(5.2, 224.04) = 13.43,</w:t>
      </w:r>
      <w:r>
        <w:t xml:space="preserve"> </w:t>
      </w:r>
      <w:r>
        <w:rPr>
          <w:iCs/>
          <w:i/>
        </w:rPr>
        <w:t xml:space="preserve">p</w:t>
      </w:r>
      <w:r>
        <w:t xml:space="preserve"> </w:t>
      </w:r>
      <w:r>
        <w:t xml:space="preserve">&lt; 0.001), that reflect an overall negative marginal effect (</w:t>
      </w:r>
      <m:oMath>
        <m:r>
          <m:t>β</m:t>
        </m:r>
      </m:oMath>
      <w:r>
        <w:t xml:space="preserve"> </w:t>
      </w:r>
      <w:r>
        <w:t xml:space="preserve">= -2.36, CI</w:t>
      </w:r>
      <w:r>
        <w:rPr>
          <w:vertAlign w:val="subscript"/>
        </w:rPr>
        <w:t xml:space="preserve">95%</w:t>
      </w:r>
      <w:r>
        <w:t xml:space="preserve">[-3.47, -1.25],</w:t>
      </w:r>
      <w:r>
        <w:t xml:space="preserve"> </w:t>
      </w:r>
      <m:oMath>
        <m:sSub>
          <m:e>
            <m:r>
              <m:t>t</m:t>
            </m:r>
          </m:e>
          <m:sub>
            <m:r>
              <m:t>s</m:t>
            </m:r>
            <m:r>
              <m:t>t</m:t>
            </m:r>
            <m:r>
              <m:t>u</m:t>
            </m:r>
            <m:r>
              <m:t>d</m:t>
            </m:r>
            <m:r>
              <m:t>e</m:t>
            </m:r>
            <m:r>
              <m:t>n</m:t>
            </m:r>
            <m:r>
              <m:t>t</m:t>
            </m:r>
          </m:sub>
        </m:sSub>
      </m:oMath>
      <w:r>
        <w:t xml:space="preserve"> </w:t>
      </w:r>
      <w:r>
        <w:t xml:space="preserve">(224.04) = -4.2,</w:t>
      </w:r>
      <w:r>
        <w:t xml:space="preserve"> </w:t>
      </w:r>
      <w:r>
        <w:rPr>
          <w:iCs/>
          <w:i/>
        </w:rPr>
        <w:t xml:space="preserve">p</w:t>
      </w:r>
      <w:r>
        <w:t xml:space="preserve"> </w:t>
      </w:r>
      <w:r>
        <w:t xml:space="preserve">&lt; 0.001), however, this was not true when assessing the direction of the effect in the age range between 1 to 7 (</w:t>
      </w:r>
      <m:oMath>
        <m:r>
          <m:t>β</m:t>
        </m:r>
      </m:oMath>
      <w:r>
        <w:t xml:space="preserve"> </w:t>
      </w:r>
      <w:r>
        <w:t xml:space="preserve">= 0.49, CI</w:t>
      </w:r>
      <w:r>
        <w:rPr>
          <w:vertAlign w:val="subscript"/>
        </w:rPr>
        <w:t xml:space="preserve">95%</w:t>
      </w:r>
      <w:r>
        <w:t xml:space="preserve">[-0.89, 1.86],</w:t>
      </w:r>
      <w:r>
        <w:t xml:space="preserve"> </w:t>
      </w:r>
      <m:oMath>
        <m:sSub>
          <m:e>
            <m:r>
              <m:t>t</m:t>
            </m:r>
          </m:e>
          <m:sub>
            <m:r>
              <m:t>s</m:t>
            </m:r>
            <m:r>
              <m:t>t</m:t>
            </m:r>
            <m:r>
              <m:t>u</m:t>
            </m:r>
            <m:r>
              <m:t>d</m:t>
            </m:r>
            <m:r>
              <m:t>e</m:t>
            </m:r>
            <m:r>
              <m:t>n</m:t>
            </m:r>
            <m:r>
              <m:t>t</m:t>
            </m:r>
          </m:sub>
        </m:sSub>
      </m:oMath>
      <w:r>
        <w:t xml:space="preserve"> </w:t>
      </w:r>
      <w:r>
        <w:t xml:space="preserve">(224.04) = 0.45,</w:t>
      </w:r>
      <w:r>
        <w:t xml:space="preserve"> </w:t>
      </w:r>
      <w:r>
        <w:rPr>
          <w:iCs/>
          <w:i/>
        </w:rPr>
        <w:t xml:space="preserve">p</w:t>
      </w:r>
      <w:r>
        <w:t xml:space="preserve"> </w:t>
      </w:r>
      <w:r>
        <w:t xml:space="preserve">= 0.319), and neither in the 18 to 48 months old group (</w:t>
      </w:r>
      <m:oMath>
        <m:r>
          <m:t>β</m:t>
        </m:r>
      </m:oMath>
      <w:r>
        <w:t xml:space="preserve"> </w:t>
      </w:r>
      <w:r>
        <w:t xml:space="preserve">= 0.45, CI</w:t>
      </w:r>
      <w:r>
        <w:rPr>
          <w:vertAlign w:val="subscript"/>
        </w:rPr>
        <w:t xml:space="preserve">95%</w:t>
      </w:r>
      <w:r>
        <w:t xml:space="preserve">[-1.32, 2.23],</w:t>
      </w:r>
      <w:r>
        <w:t xml:space="preserve"> </w:t>
      </w:r>
      <m:oMath>
        <m:sSub>
          <m:e>
            <m:r>
              <m:t>t</m:t>
            </m:r>
          </m:e>
          <m:sub>
            <m:r>
              <m:t>s</m:t>
            </m:r>
            <m:r>
              <m:t>t</m:t>
            </m:r>
            <m:r>
              <m:t>u</m:t>
            </m:r>
            <m:r>
              <m:t>d</m:t>
            </m:r>
            <m:r>
              <m:t>e</m:t>
            </m:r>
            <m:r>
              <m:t>n</m:t>
            </m:r>
            <m:r>
              <m:t>t</m:t>
            </m:r>
          </m:sub>
        </m:sSub>
      </m:oMath>
      <w:r>
        <w:t xml:space="preserve"> </w:t>
      </w:r>
      <w:r>
        <w:t xml:space="preserve">(224.04) = 0.42,</w:t>
      </w:r>
      <w:r>
        <w:t xml:space="preserve"> </w:t>
      </w:r>
      <w:r>
        <w:rPr>
          <w:iCs/>
          <w:i/>
        </w:rPr>
        <w:t xml:space="preserve">p</w:t>
      </w:r>
      <w:r>
        <w:t xml:space="preserve"> </w:t>
      </w:r>
      <w:r>
        <w:t xml:space="preserve">= 0.593), whereas the effect tend to be positive but non-significant.</w:t>
      </w:r>
    </w:p>
    <w:p>
      <w:pPr>
        <w:pStyle w:val="Textoindependiente"/>
      </w:pPr>
      <w:r>
        <w:t xml:space="preserve">When analysing the motor skills domain, we found a significant non-linear effect of corrected age on gross motor scores (</w:t>
      </w:r>
      <m:oMath>
        <m:sSub>
          <m:e>
            <m:r>
              <m:t>F</m:t>
            </m:r>
          </m:e>
          <m:sub>
            <m:r>
              <m:t>s</m:t>
            </m:r>
            <m:r>
              <m:t>m</m:t>
            </m:r>
            <m:r>
              <m:t>o</m:t>
            </m:r>
            <m:r>
              <m:t>o</m:t>
            </m:r>
            <m:r>
              <m:t>t</m:t>
            </m:r>
            <m:r>
              <m:t>h</m:t>
            </m:r>
          </m:sub>
        </m:sSub>
      </m:oMath>
      <w:r>
        <w:t xml:space="preserve"> </w:t>
      </w:r>
      <w:r>
        <w:t xml:space="preserve">(5.24, 226.75) = 6.19,</w:t>
      </w:r>
      <w:r>
        <w:t xml:space="preserve"> </w:t>
      </w:r>
      <w:r>
        <w:rPr>
          <w:iCs/>
          <w:i/>
        </w:rPr>
        <w:t xml:space="preserve">p</w:t>
      </w:r>
      <w:r>
        <w:t xml:space="preserve"> </w:t>
      </w:r>
      <w:r>
        <w:t xml:space="preserve">&lt; 0.001), which had an overall positive effect (</w:t>
      </w:r>
      <m:oMath>
        <m:r>
          <m:t>β</m:t>
        </m:r>
      </m:oMath>
      <w:r>
        <w:t xml:space="preserve"> </w:t>
      </w:r>
      <w:r>
        <w:t xml:space="preserve">= 1. 95, CI</w:t>
      </w:r>
      <w:r>
        <w:rPr>
          <w:vertAlign w:val="subscript"/>
        </w:rPr>
        <w:t xml:space="preserve">95%</w:t>
      </w:r>
      <w:r>
        <w:t xml:space="preserve">[0.66, 3.25],</w:t>
      </w:r>
      <w:r>
        <w:t xml:space="preserve"> </w:t>
      </w:r>
      <m:oMath>
        <m:sSub>
          <m:e>
            <m:r>
              <m:t>t</m:t>
            </m:r>
          </m:e>
          <m:sub>
            <m:r>
              <m:t>s</m:t>
            </m:r>
            <m:r>
              <m:t>t</m:t>
            </m:r>
            <m:r>
              <m:t>u</m:t>
            </m:r>
            <m:r>
              <m:t>d</m:t>
            </m:r>
            <m:r>
              <m:t>e</m:t>
            </m:r>
            <m:r>
              <m:t>n</m:t>
            </m:r>
            <m:r>
              <m:t>t</m:t>
            </m:r>
          </m:sub>
        </m:sSub>
      </m:oMath>
      <w:r>
        <w:t xml:space="preserve"> </w:t>
      </w:r>
      <w:r>
        <w:t xml:space="preserve">(226.75) = 2.97,</w:t>
      </w:r>
      <w:r>
        <w:t xml:space="preserve"> </w:t>
      </w:r>
      <w:r>
        <w:rPr>
          <w:iCs/>
          <w:i/>
        </w:rPr>
        <w:t xml:space="preserve">p</w:t>
      </w:r>
      <w:r>
        <w:t xml:space="preserve"> </w:t>
      </w:r>
      <w:r>
        <w:t xml:space="preserve">= 0.003), however, the slope varied as a function of age, with a negative effect on gross motor score</w:t>
      </w:r>
      <w:r>
        <w:t xml:space="preserve"> </w:t>
      </w:r>
      <m:oMath>
        <m:r>
          <m:t>β</m:t>
        </m:r>
      </m:oMath>
      <w:r>
        <w:t xml:space="preserve"> </w:t>
      </w:r>
      <w:r>
        <w:t xml:space="preserve">= -2.94, CI</w:t>
      </w:r>
      <w:r>
        <w:rPr>
          <w:vertAlign w:val="subscript"/>
        </w:rPr>
        <w:t xml:space="preserve">95%</w:t>
      </w:r>
      <w:r>
        <w:t xml:space="preserve">[-4.55, -1. 34],</w:t>
      </w:r>
      <w:r>
        <w:t xml:space="preserve"> </w:t>
      </w:r>
      <m:oMath>
        <m:sSub>
          <m:e>
            <m:r>
              <m:t>t</m:t>
            </m:r>
          </m:e>
          <m:sub>
            <m:r>
              <m:t>s</m:t>
            </m:r>
            <m:r>
              <m:t>t</m:t>
            </m:r>
            <m:r>
              <m:t>u</m:t>
            </m:r>
            <m:r>
              <m:t>d</m:t>
            </m:r>
            <m:r>
              <m:t>e</m:t>
            </m:r>
            <m:r>
              <m:t>n</m:t>
            </m:r>
            <m:r>
              <m:t>t</m:t>
            </m:r>
          </m:sub>
        </m:sSub>
      </m:oMath>
      <w:r>
        <w:t xml:space="preserve">$ (226.75) = -3.7,</w:t>
      </w:r>
      <w:r>
        <w:t xml:space="preserve"> </w:t>
      </w:r>
      <w:r>
        <w:rPr>
          <w:iCs/>
          <w:i/>
        </w:rPr>
        <w:t xml:space="preserve">p</w:t>
      </w:r>
      <w:r>
        <w:t xml:space="preserve"> </w:t>
      </w:r>
      <w:r>
        <w:t xml:space="preserve">= 0.004, but in the range 9.7 to 15.5 a positive effect was observed (</w:t>
      </w:r>
      <m:oMath>
        <m:r>
          <m:t>β</m:t>
        </m:r>
      </m:oMath>
      <w:r>
        <w:t xml:space="preserve"> </w:t>
      </w:r>
      <w:r>
        <w:t xml:space="preserve">= 1.86, CI</w:t>
      </w:r>
      <w:r>
        <w:rPr>
          <w:vertAlign w:val="subscript"/>
        </w:rPr>
        <w:t xml:space="preserve">95%</w:t>
      </w:r>
      <w:r>
        <w:t xml:space="preserve">[0.61, 3.11],</w:t>
      </w:r>
      <w:r>
        <w:t xml:space="preserve"> </w:t>
      </w:r>
      <m:oMath>
        <m:sSub>
          <m:e>
            <m:r>
              <m:t>t</m:t>
            </m:r>
          </m:e>
          <m:sub>
            <m:r>
              <m:t>s</m:t>
            </m:r>
            <m:r>
              <m:t>t</m:t>
            </m:r>
            <m:r>
              <m:t>u</m:t>
            </m:r>
            <m:r>
              <m:t>d</m:t>
            </m:r>
            <m:r>
              <m:t>e</m:t>
            </m:r>
            <m:r>
              <m:t>n</m:t>
            </m:r>
            <m:r>
              <m:t>t</m:t>
            </m:r>
          </m:sub>
        </m:sSub>
      </m:oMath>
      <w:r>
        <w:t xml:space="preserve"> </w:t>
      </w:r>
      <w:r>
        <w:t xml:space="preserve">(226.75) = 2.93,</w:t>
      </w:r>
      <w:r>
        <w:t xml:space="preserve"> </w:t>
      </w:r>
      <w:r>
        <w:rPr>
          <w:iCs/>
          <w:i/>
        </w:rPr>
        <w:t xml:space="preserve">p</w:t>
      </w:r>
      <w:r>
        <w:t xml:space="preserve"> </w:t>
      </w:r>
      <w:r>
        <w:t xml:space="preserve">= 0.009), while in the range 7.3 to 9.2 (</w:t>
      </w:r>
      <m:oMath>
        <m:r>
          <m:t>β</m:t>
        </m:r>
      </m:oMath>
      <w:r>
        <w:t xml:space="preserve"> </w:t>
      </w:r>
      <w:r>
        <w:t xml:space="preserve">= 0.02, CI</w:t>
      </w:r>
      <w:r>
        <w:rPr>
          <w:vertAlign w:val="subscript"/>
        </w:rPr>
        <w:t xml:space="preserve">95%</w:t>
      </w:r>
      <w:r>
        <w:t xml:space="preserve">[-1. 12, 1.17]) and 16 to 48 months (</w:t>
      </w:r>
      <m:oMath>
        <m:r>
          <m:t>β</m:t>
        </m:r>
      </m:oMath>
      <w:r>
        <w:t xml:space="preserve"> </w:t>
      </w:r>
      <w:r>
        <w:t xml:space="preserve">= -0.02, CI</w:t>
      </w:r>
      <w:r>
        <w:rPr>
          <w:vertAlign w:val="subscript"/>
        </w:rPr>
        <w:t xml:space="preserve">95%</w:t>
      </w:r>
      <w:r>
        <w:t xml:space="preserve">[-2.05, 2.01]) the slope was non-significant and virtually zero (</w:t>
      </w:r>
      <m:oMath>
        <m:sSub>
          <m:e>
            <m:r>
              <m:t>t</m:t>
            </m:r>
          </m:e>
          <m:sub>
            <m:r>
              <m:t>s</m:t>
            </m:r>
            <m:r>
              <m:t>t</m:t>
            </m:r>
            <m:r>
              <m:t>u</m:t>
            </m:r>
            <m:r>
              <m:t>d</m:t>
            </m:r>
            <m:r>
              <m:t>e</m:t>
            </m:r>
            <m:r>
              <m:t>n</m:t>
            </m:r>
            <m:r>
              <m:t>t</m:t>
            </m:r>
          </m:sub>
        </m:sSub>
      </m:oMath>
      <w:r>
        <w:t xml:space="preserve"> </w:t>
      </w:r>
      <w:r>
        <w:t xml:space="preserve">(226.75) = 0.06,</w:t>
      </w:r>
      <w:r>
        <w:t xml:space="preserve"> </w:t>
      </w:r>
      <w:r>
        <w:rPr>
          <w:iCs/>
          <w:i/>
        </w:rPr>
        <w:t xml:space="preserve">p</w:t>
      </w:r>
      <w:r>
        <w:t xml:space="preserve"> </w:t>
      </w:r>
      <w:r>
        <w:t xml:space="preserve">= 0.45, and</w:t>
      </w:r>
      <w:r>
        <w:t xml:space="preserve"> </w:t>
      </w:r>
      <m:oMath>
        <m:sSub>
          <m:e>
            <m:r>
              <m:t>t</m:t>
            </m:r>
          </m:e>
          <m:sub>
            <m:r>
              <m:t>s</m:t>
            </m:r>
            <m:r>
              <m:t>t</m:t>
            </m:r>
            <m:r>
              <m:t>u</m:t>
            </m:r>
            <m:r>
              <m:t>d</m:t>
            </m:r>
            <m:r>
              <m:t>e</m:t>
            </m:r>
            <m:r>
              <m:t>n</m:t>
            </m:r>
            <m:r>
              <m:t>t</m:t>
            </m:r>
          </m:sub>
        </m:sSub>
      </m:oMath>
      <w:r>
        <w:t xml:space="preserve"> </w:t>
      </w:r>
      <w:r>
        <w:t xml:space="preserve">(226.75) = 0.07,</w:t>
      </w:r>
      <w:r>
        <w:t xml:space="preserve"> </w:t>
      </w:r>
      <w:r>
        <w:rPr>
          <w:iCs/>
          <w:i/>
        </w:rPr>
        <w:t xml:space="preserve">p</w:t>
      </w:r>
      <w:r>
        <w:t xml:space="preserve"> </w:t>
      </w:r>
      <w:r>
        <w:t xml:space="preserve">= 0.646 respectively).</w:t>
      </w:r>
    </w:p>
    <w:p>
      <w:pPr>
        <w:pStyle w:val="Textoindependiente"/>
      </w:pPr>
      <w:r>
        <w:t xml:space="preserve">The relationship between developmental domains and corrected age can be seen in</w:t>
      </w:r>
      <w:r>
        <w:t xml:space="preserve"> </w:t>
      </w:r>
      <w:hyperlink w:anchor="fig1">
        <w:r>
          <w:rPr>
            <w:rStyle w:val="Hipervnculo"/>
          </w:rPr>
          <w:t xml:space="preserve">Figure 1</w:t>
        </w:r>
      </w:hyperlink>
      <w:r>
        <w:t xml:space="preserve">.</w:t>
      </w:r>
    </w:p>
    <w:bookmarkEnd w:id="30"/>
    <w:bookmarkStart w:id="31" w:name="discussion"/>
    <w:p>
      <w:pPr>
        <w:pStyle w:val="Ttulo1"/>
      </w:pPr>
      <w:r>
        <w:t xml:space="preserve">Discussion</w:t>
      </w:r>
    </w:p>
    <w:p>
      <w:pPr>
        <w:pStyle w:val="FirstParagraph"/>
      </w:pPr>
      <w:r>
        <w:t xml:space="preserve">[…].</w:t>
      </w:r>
    </w:p>
    <w:p>
      <w:pPr>
        <w:pStyle w:val="Textoindependiente"/>
      </w:pPr>
      <w:r>
        <w:t xml:space="preserve">[…].</w:t>
      </w:r>
    </w:p>
    <w:p>
      <w:pPr>
        <w:pStyle w:val="Textoindependiente"/>
      </w:pPr>
      <w:r>
        <w:t xml:space="preserve">[…].</w:t>
      </w:r>
    </w:p>
    <w:bookmarkEnd w:id="31"/>
    <w:bookmarkStart w:id="32" w:name="conclusion"/>
    <w:p>
      <w:pPr>
        <w:pStyle w:val="Ttulo1"/>
      </w:pPr>
      <w:r>
        <w:t xml:space="preserve">Conclusion</w:t>
      </w:r>
    </w:p>
    <w:p>
      <w:pPr>
        <w:pStyle w:val="FirstParagraph"/>
      </w:pPr>
      <w:r>
        <w:t xml:space="preserve">[…].</w:t>
      </w:r>
    </w:p>
    <w:bookmarkEnd w:id="32"/>
    <w:bookmarkStart w:id="33" w:name="acknowledgment"/>
    <w:p>
      <w:pPr>
        <w:pStyle w:val="Ttulo1"/>
      </w:pPr>
      <w:r>
        <w:t xml:space="preserve">Acknowledgment</w:t>
      </w:r>
    </w:p>
    <w:p>
      <w:pPr>
        <w:pStyle w:val="FirstParagraph"/>
      </w:pPr>
      <w:r>
        <w:t xml:space="preserve">[…].</w:t>
      </w:r>
    </w:p>
    <w:bookmarkEnd w:id="33"/>
    <w:bookmarkStart w:id="34" w:name="conflicts-of-interest"/>
    <w:p>
      <w:pPr>
        <w:pStyle w:val="Ttulo1"/>
      </w:pPr>
      <w:r>
        <w:t xml:space="preserve">Conflicts of interest</w:t>
      </w:r>
    </w:p>
    <w:p>
      <w:pPr>
        <w:pStyle w:val="FirstParagraph"/>
      </w:pPr>
      <w:r>
        <w:t xml:space="preserve">[…].</w:t>
      </w:r>
    </w:p>
    <w:bookmarkEnd w:id="34"/>
    <w:bookmarkStart w:id="50" w:name="references"/>
    <w:p>
      <w:pPr>
        <w:pStyle w:val="Ttulo1"/>
      </w:pPr>
      <w:r>
        <w:t xml:space="preserve">References</w:t>
      </w:r>
    </w:p>
    <w:bookmarkStart w:id="47" w:name="refs"/>
    <w:bookmarkStart w:id="35" w:name="ref-wood2011fast"/>
    <w:p>
      <w:pPr>
        <w:pStyle w:val="Bibliografa"/>
      </w:pPr>
      <w:r>
        <w:t xml:space="preserve">1.</w:t>
      </w:r>
      <w:r>
        <w:t xml:space="preserve"> </w:t>
      </w:r>
      <w:r>
        <w:t xml:space="preserve">	</w:t>
      </w:r>
      <w:r>
        <w:t xml:space="preserve">Wood SN. Fast stable restricted maximum likelihood and marginal likelihood estimation of semiparametric generalized linear models. Journal of the Royal Statistical Society (B). 2011;73(1):3–6.</w:t>
      </w:r>
      <w:r>
        <w:t xml:space="preserve"> </w:t>
      </w:r>
    </w:p>
    <w:bookmarkEnd w:id="35"/>
    <w:bookmarkStart w:id="36" w:name="ref-wood2003thin"/>
    <w:p>
      <w:pPr>
        <w:pStyle w:val="Bibliografa"/>
      </w:pPr>
      <w:r>
        <w:t xml:space="preserve">2.</w:t>
      </w:r>
      <w:r>
        <w:t xml:space="preserve"> </w:t>
      </w:r>
      <w:r>
        <w:t xml:space="preserve">	</w:t>
      </w:r>
      <w:r>
        <w:t xml:space="preserve">Wood SN. Thin-plate regression splines. Journal of the Royal Statistical Society (B). 2003;65(1):95–114.</w:t>
      </w:r>
      <w:r>
        <w:t xml:space="preserve"> </w:t>
      </w:r>
    </w:p>
    <w:bookmarkEnd w:id="36"/>
    <w:bookmarkStart w:id="37" w:name="ref-wood2016smoothing"/>
    <w:p>
      <w:pPr>
        <w:pStyle w:val="Bibliografa"/>
      </w:pPr>
      <w:r>
        <w:t xml:space="preserve">3.</w:t>
      </w:r>
      <w:r>
        <w:t xml:space="preserve"> </w:t>
      </w:r>
      <w:r>
        <w:t xml:space="preserve">	</w:t>
      </w:r>
      <w:r>
        <w:t xml:space="preserve">Wood SN, N., Pya, S"afken B. Smoothing parameter and model selection for general smooth models (with discussion). Journal of the American Statistical Association. 2016;111:1548–75.</w:t>
      </w:r>
      <w:r>
        <w:t xml:space="preserve"> </w:t>
      </w:r>
    </w:p>
    <w:bookmarkEnd w:id="37"/>
    <w:bookmarkStart w:id="39" w:name="ref-rlanguage"/>
    <w:p>
      <w:pPr>
        <w:pStyle w:val="Bibliografa"/>
      </w:pPr>
      <w:r>
        <w:t xml:space="preserve">4.</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38">
        <w:r>
          <w:rPr>
            <w:rStyle w:val="Hipervnculo"/>
          </w:rPr>
          <w:t xml:space="preserve">https://www.R-project.org/</w:t>
        </w:r>
      </w:hyperlink>
    </w:p>
    <w:bookmarkEnd w:id="39"/>
    <w:bookmarkStart w:id="40" w:name="ref-wood2017generalized"/>
    <w:p>
      <w:pPr>
        <w:pStyle w:val="Bibliografa"/>
      </w:pPr>
      <w:r>
        <w:t xml:space="preserve">5.</w:t>
      </w:r>
      <w:r>
        <w:t xml:space="preserve"> </w:t>
      </w:r>
      <w:r>
        <w:t xml:space="preserve">	</w:t>
      </w:r>
      <w:r>
        <w:t xml:space="preserve">Wood SN. Generalized additive models: An introduction with r. 2nd ed. Chapman; Hall/CRC; 2017.</w:t>
      </w:r>
      <w:r>
        <w:t xml:space="preserve"> </w:t>
      </w:r>
    </w:p>
    <w:bookmarkEnd w:id="40"/>
    <w:bookmarkStart w:id="42" w:name="ref-dominique2020estimation"/>
    <w:p>
      <w:pPr>
        <w:pStyle w:val="Bibliografa"/>
      </w:pPr>
      <w:r>
        <w:t xml:space="preserve">6.</w:t>
      </w:r>
      <w:r>
        <w:t xml:space="preserve"> </w:t>
      </w:r>
      <w:r>
        <w:t xml:space="preserve">	</w:t>
      </w:r>
      <w:r>
        <w:t xml:space="preserve">Makowski D, Ben-Shachar MS, Patil I, Lüdecke D. Estimation of model-based predictions, contrasts and means. CRAN [Internet]. 2020; Available from:</w:t>
      </w:r>
      <w:r>
        <w:t xml:space="preserve"> </w:t>
      </w:r>
      <w:hyperlink r:id="rId41">
        <w:r>
          <w:rPr>
            <w:rStyle w:val="Hipervnculo"/>
          </w:rPr>
          <w:t xml:space="preserve">https://github.com/easystats/modelbased</w:t>
        </w:r>
      </w:hyperlink>
    </w:p>
    <w:bookmarkEnd w:id="42"/>
    <w:bookmarkStart w:id="44" w:name="ref-hadley2016ggplot2"/>
    <w:p>
      <w:pPr>
        <w:pStyle w:val="Bibliografa"/>
      </w:pPr>
      <w:r>
        <w:t xml:space="preserve">7.</w:t>
      </w:r>
      <w:r>
        <w:t xml:space="preserve"> </w:t>
      </w:r>
      <w:r>
        <w:t xml:space="preserve">	</w:t>
      </w:r>
      <w:r>
        <w:t xml:space="preserve">Wickham H. ggplot2: Elegant graphics for data analysis [Internet]. Springer-Verlag New York; 2016. Available from:</w:t>
      </w:r>
      <w:r>
        <w:t xml:space="preserve"> </w:t>
      </w:r>
      <w:hyperlink r:id="rId43">
        <w:r>
          <w:rPr>
            <w:rStyle w:val="Hipervnculo"/>
          </w:rPr>
          <w:t xml:space="preserve">https://ggplot2.tidyverse.org</w:t>
        </w:r>
      </w:hyperlink>
    </w:p>
    <w:bookmarkEnd w:id="44"/>
    <w:bookmarkStart w:id="46" w:name="ref-daniel2021see"/>
    <w:p>
      <w:pPr>
        <w:pStyle w:val="Bibliografa"/>
      </w:pPr>
      <w:r>
        <w:t xml:space="preserve">8.</w:t>
      </w:r>
      <w:r>
        <w:t xml:space="preserve"> </w:t>
      </w:r>
      <w:r>
        <w:t xml:space="preserve">	</w:t>
      </w:r>
      <w:r>
        <w:t xml:space="preserve">Lüdecke D, Patil I, Ben-Shachar MS, Wiernik BM, Waggoner P, Makowski D.</w:t>
      </w:r>
      <w:r>
        <w:t xml:space="preserve"> </w:t>
      </w:r>
      <w:hyperlink r:id="rId45">
        <w:r>
          <w:rPr>
            <w:rStyle w:val="Hipervnculo"/>
          </w:rPr>
          <w:t xml:space="preserve">see</w:t>
        </w:r>
        <w:r>
          <w:rPr>
            <w:rStyle w:val="Hipervnculo"/>
          </w:rPr>
          <w:t xml:space="preserve">: An</w:t>
        </w:r>
        <w:r>
          <w:rPr>
            <w:rStyle w:val="Hipervnculo"/>
          </w:rPr>
          <w:t xml:space="preserve"> </w:t>
        </w:r>
        <w:r>
          <w:rPr>
            <w:rStyle w:val="Hipervnculo"/>
          </w:rPr>
          <w:t xml:space="preserve">R</w:t>
        </w:r>
        <w:r>
          <w:rPr>
            <w:rStyle w:val="Hipervnculo"/>
          </w:rPr>
          <w:t xml:space="preserve"> </w:t>
        </w:r>
        <w:r>
          <w:rPr>
            <w:rStyle w:val="Hipervnculo"/>
          </w:rPr>
          <w:t xml:space="preserve">package for visualizing statistical models</w:t>
        </w:r>
      </w:hyperlink>
      <w:r>
        <w:t xml:space="preserve">. Journal of Open Source Software. 2021;6(64):3393.</w:t>
      </w:r>
      <w:r>
        <w:t xml:space="preserve"> </w:t>
      </w:r>
    </w:p>
    <w:bookmarkEnd w:id="46"/>
    <w:bookmarkEnd w:id="47"/>
    <w:p>
      <w:r>
        <w:br w:type="page"/>
      </w:r>
    </w:p>
    <w:p>
      <w:pPr>
        <w:pStyle w:val="Textoindependiente"/>
      </w:pPr>
      <w:bookmarkStart w:id="48" w:name="tab1"/>
      <w:r>
        <w:rPr>
          <w:bCs/>
          <w:b/>
        </w:rPr>
        <w:t xml:space="preserve">Table 1</w:t>
      </w:r>
      <w:bookmarkEnd w:id="48"/>
      <w:r>
        <w:t xml:space="preserve">. Overall baseline and developmental characteristics of the sample and grouped by sex.</w:t>
      </w:r>
      <w:r>
        <w:t xml:space="preserve"> </w:t>
      </w:r>
      <w:r>
        <w:rPr>
          <w:vertAlign w:val="superscript"/>
        </w:rPr>
        <w:t xml:space="preserve">1</w:t>
      </w:r>
      <w:r>
        <w:t xml:space="preserve"> </w:t>
      </w:r>
      <w:r>
        <w:t xml:space="preserve">Data is presented as sample size, and</w:t>
      </w:r>
      <w:r>
        <w:t xml:space="preserve"> </w:t>
      </w:r>
      <w:r>
        <w:rPr>
          <w:iCs/>
          <w:i/>
        </w:rPr>
        <w:t xml:space="preserve">Mdn</w:t>
      </w:r>
      <w:r>
        <w:t xml:space="preserve"> </w:t>
      </w:r>
      <w:r>
        <w:t xml:space="preserve">(</w:t>
      </w:r>
      <w:r>
        <w:rPr>
          <w:iCs/>
          <w:i/>
        </w:rPr>
        <w:t xml:space="preserve">IQR</w:t>
      </w:r>
      <w:r>
        <w:t xml:space="preserve">);</w:t>
      </w:r>
      <w:r>
        <w:t xml:space="preserve"> </w:t>
      </w:r>
      <w:r>
        <w:rPr>
          <w:vertAlign w:val="superscript"/>
        </w:rPr>
        <w:t xml:space="preserve">2</w:t>
      </w:r>
      <w:r>
        <w:t xml:space="preserve"> </w:t>
      </w:r>
      <w:r>
        <w:t xml:space="preserve">P-values derived from the</w:t>
      </w:r>
      <w:r>
        <w:t xml:space="preserve"> </w:t>
      </w:r>
      <w:r>
        <w:rPr>
          <w:iCs/>
          <w:i/>
        </w:rPr>
        <w:t xml:space="preserve">Wilcoxon</w:t>
      </w:r>
      <w:r>
        <w:t xml:space="preserve"> </w:t>
      </w:r>
      <w:r>
        <w:t xml:space="preserve">rank-sum test.</w:t>
      </w:r>
    </w:p>
    <w:p>
      <w:pPr>
        <w:pStyle w:val="Textoindependiente"/>
      </w:pPr>
      <w:bookmarkStart w:id="49" w:name="fig1"/>
      <w:r>
        <w:rPr>
          <w:bCs/>
          <w:b/>
        </w:rPr>
        <w:t xml:space="preserve">Figure 1</w:t>
      </w:r>
      <w:bookmarkEnd w:id="49"/>
      <w:r>
        <w:t xml:space="preserve">. Relationship between corrected age (in months) and developmental domains. Regression lines and shaded area represent predicted values estimated from GAM models and their 95% confidence interval. Points and error bars represent the mean and standard error at 5-month age intervals.</w:t>
      </w:r>
    </w:p>
    <w:bookmarkEnd w:id="50"/>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21105/joss.03393" TargetMode="External" /><Relationship Type="http://schemas.openxmlformats.org/officeDocument/2006/relationships/hyperlink" Id="rId43" Target="https://ggplot2.tidyverse.org" TargetMode="External" /><Relationship Type="http://schemas.openxmlformats.org/officeDocument/2006/relationships/hyperlink" Id="rId41" Target="https://github.com/easystats/modelbased" TargetMode="External" /><Relationship Type="http://schemas.openxmlformats.org/officeDocument/2006/relationships/hyperlink" Id="rId3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21105/joss.03393" TargetMode="External" /><Relationship Type="http://schemas.openxmlformats.org/officeDocument/2006/relationships/hyperlink" Id="rId43" Target="https://ggplot2.tidyverse.org" TargetMode="External" /><Relationship Type="http://schemas.openxmlformats.org/officeDocument/2006/relationships/hyperlink" Id="rId41" Target="https://github.com/easystats/modelbased" TargetMode="External" /><Relationship Type="http://schemas.openxmlformats.org/officeDocument/2006/relationships/hyperlink" Id="rId38" Target="https://www.R-project.org/"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2022-06-21T21:29:21Z</dcterms:created>
  <dcterms:modified xsi:type="dcterms:W3CDTF">2022-06-21T21:29:21Z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misc/vancouver.csl</vt:lpwstr>
  </property>
  <property fmtid="{D5CDD505-2E9C-101B-9397-08002B2CF9AE}" pid="4" name="link-citations">
    <vt:lpwstr>True</vt:lpwstr>
  </property>
  <property fmtid="{D5CDD505-2E9C-101B-9397-08002B2CF9AE}" pid="5" name="output">
    <vt:lpwstr/>
  </property>
</Properties>
</file>