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SwarmOps Cloud</w:t>
      </w:r>
    </w:p>
    <w:p>
      <w:pPr>
        <w:pStyle w:val="Subtitle"/>
      </w:pPr>
      <w:r>
        <w:t xml:space="preserve">Software Architecture Document</w:t>
      </w:r>
    </w:p>
    <w:p>
      <w:pPr>
        <w:pStyle w:val="Date"/>
      </w:pPr>
      <w:r>
        <w:t xml:space="preserve">September 2026</w:t>
      </w:r>
    </w:p>
    <w:p>
      <w:pPr>
        <w:pStyle w:val="AbstractTitle"/>
      </w:pPr>
      <w:r>
        <w:t xml:space="preserve">Abstract</w:t>
      </w:r>
    </w:p>
    <w:p>
      <w:pPr>
        <w:pStyle w:val="Abstract"/>
      </w:pPr>
      <w:r>
        <w:t xml:space="preserve">This document explains how SwarmOps Cloud is built and why. It follows the arc42 template: goals and constraints, context, solution strategy, building blocks, runtime scenarios, deployment, cross-cutting concepts, decisions, quality scenarios, and risks. The structural views are drawn with the C4 model and given in full in the separate C4 Architecture Model; this document refers to them and adds the behaviour, the rationale and the trade-offs. The central architectural idea is that the command queue and the wallet ledger share one relational database. That makes paying for an application and requesting its deployment a single local transaction.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3" w:name="introduction-and-goals"/>
    <w:p>
      <w:pPr>
        <w:pStyle w:val="Heading1"/>
      </w:pPr>
      <w:r>
        <w:rPr>
          <w:rStyle w:val="SectionNumber"/>
        </w:rPr>
        <w:t xml:space="preserve">1</w:t>
      </w:r>
      <w:r>
        <w:tab/>
      </w:r>
      <w:r>
        <w:t xml:space="preserve">Introduction and goals</w:t>
      </w:r>
    </w:p>
    <w:bookmarkStart w:id="20" w:name="requirements-overview"/>
    <w:p>
      <w:pPr>
        <w:pStyle w:val="Heading2"/>
      </w:pPr>
      <w:r>
        <w:rPr>
          <w:rStyle w:val="SectionNumber"/>
        </w:rPr>
        <w:t xml:space="preserve">1.1</w:t>
      </w:r>
      <w:r>
        <w:tab/>
      </w:r>
      <w:r>
        <w:t xml:space="preserve">Requirements overview</w:t>
      </w:r>
    </w:p>
    <w:p>
      <w:pPr>
        <w:pStyle w:val="FirstParagraph"/>
      </w:pPr>
      <w:r>
        <w:t xml:space="preserve">SwarmOps Cloud sells container hosting. Customers top up a wallet and order plans; administrators confirm orders; the platform deploys each application to Docker Swarm and bills it hourly. The Software Requirements Specification states the requirements in full.</w:t>
      </w:r>
    </w:p>
    <w:bookmarkEnd w:id="20"/>
    <w:bookmarkStart w:id="21" w:name="quality-goals"/>
    <w:p>
      <w:pPr>
        <w:pStyle w:val="Heading2"/>
      </w:pPr>
      <w:r>
        <w:rPr>
          <w:rStyle w:val="SectionNumber"/>
        </w:rPr>
        <w:t xml:space="preserve">1.2</w:t>
      </w:r>
      <w:r>
        <w:tab/>
      </w:r>
      <w:r>
        <w:t xml:space="preserve">Quality goals</w:t>
      </w:r>
    </w:p>
    <w:p>
      <w:pPr>
        <w:pStyle w:val="TableCaption"/>
      </w:pPr>
      <w:r>
        <w:t xml:space="preserve">Quality goals</w:t>
      </w:r>
    </w:p>
    <w:tbl>
      <w:tblPr>
        <w:tblStyle w:val="Table"/>
        <w:tblW w:type="pct" w:w="5000"/>
        <w:tblLayout w:type="fixed"/>
        <w:tblLook w:firstRow="1" w:lastRow="0" w:firstColumn="0" w:lastColumn="0" w:noHBand="0" w:noVBand="0" w:val="0020"/>
        <w:tblCaption w:val="Quality goals"/>
      </w:tblPr>
      <w:tblGrid>
        <w:gridCol w:w="2640"/>
        <w:gridCol w:w="2640"/>
        <w:gridCol w:w="2640"/>
      </w:tblGrid>
      <w:tr>
        <w:trPr>
          <w:tblHeader w:val="on"/>
        </w:trPr>
        <w:tc>
          <w:tcPr/>
          <w:p>
            <w:pPr>
              <w:pStyle w:val="Compact"/>
            </w:pPr>
            <w:r>
              <w:t xml:space="preserve">Priority</w:t>
            </w:r>
          </w:p>
        </w:tc>
        <w:tc>
          <w:tcPr/>
          <w:p>
            <w:pPr>
              <w:pStyle w:val="Compact"/>
            </w:pPr>
            <w:r>
              <w:t xml:space="preserve">Quality goal</w:t>
            </w:r>
          </w:p>
        </w:tc>
        <w:tc>
          <w:tcPr/>
          <w:p>
            <w:pPr>
              <w:pStyle w:val="Compact"/>
            </w:pPr>
            <w:r>
              <w:t xml:space="preserve">Motivation</w:t>
            </w:r>
          </w:p>
        </w:tc>
      </w:tr>
      <w:tr>
        <w:tc>
          <w:tcPr/>
          <w:p>
            <w:pPr>
              <w:pStyle w:val="Compact"/>
            </w:pPr>
            <w:r>
              <w:t xml:space="preserve">1</w:t>
            </w:r>
          </w:p>
        </w:tc>
        <w:tc>
          <w:tcPr/>
          <w:p>
            <w:pPr>
              <w:pStyle w:val="Compact"/>
            </w:pPr>
            <w:r>
              <w:rPr>
                <w:b/>
                <w:bCs/>
              </w:rPr>
              <w:t xml:space="preserve">Integrity of money</w:t>
            </w:r>
          </w:p>
        </w:tc>
        <w:tc>
          <w:tcPr/>
          <w:p>
            <w:pPr>
              <w:pStyle w:val="Compact"/>
            </w:pPr>
            <w:r>
              <w:t xml:space="preserve">A balance must never be negative or drift from its ledger, and no request may charge or credit twice.</w:t>
            </w:r>
          </w:p>
        </w:tc>
      </w:tr>
      <w:tr>
        <w:tc>
          <w:tcPr/>
          <w:p>
            <w:pPr>
              <w:pStyle w:val="Compact"/>
            </w:pPr>
            <w:r>
              <w:t xml:space="preserve">2</w:t>
            </w:r>
          </w:p>
        </w:tc>
        <w:tc>
          <w:tcPr/>
          <w:p>
            <w:pPr>
              <w:pStyle w:val="Compact"/>
            </w:pPr>
            <w:r>
              <w:rPr>
                <w:b/>
                <w:bCs/>
              </w:rPr>
              <w:t xml:space="preserve">Atomic provisioning</w:t>
            </w:r>
          </w:p>
        </w:tc>
        <w:tc>
          <w:tcPr/>
          <w:p>
            <w:pPr>
              <w:pStyle w:val="Compact"/>
            </w:pPr>
            <w:r>
              <w:t xml:space="preserve">A customer must never pay for a deployment that was not requested, nor receive one that was not paid for.</w:t>
            </w:r>
          </w:p>
        </w:tc>
      </w:tr>
      <w:tr>
        <w:tc>
          <w:tcPr/>
          <w:p>
            <w:pPr>
              <w:pStyle w:val="Compact"/>
            </w:pPr>
            <w:r>
              <w:t xml:space="preserve">3</w:t>
            </w:r>
          </w:p>
        </w:tc>
        <w:tc>
          <w:tcPr/>
          <w:p>
            <w:pPr>
              <w:pStyle w:val="Compact"/>
            </w:pPr>
            <w:r>
              <w:rPr>
                <w:b/>
                <w:bCs/>
              </w:rPr>
              <w:t xml:space="preserve">Security</w:t>
            </w:r>
          </w:p>
        </w:tc>
        <w:tc>
          <w:tcPr/>
          <w:p>
            <w:pPr>
              <w:pStyle w:val="Compact"/>
            </w:pPr>
            <w:r>
              <w:t xml:space="preserve">Customers must be isolated from each other and from administration; secrets must stay encrypted.</w:t>
            </w:r>
          </w:p>
        </w:tc>
      </w:tr>
      <w:tr>
        <w:tc>
          <w:tcPr/>
          <w:p>
            <w:pPr>
              <w:pStyle w:val="Compact"/>
            </w:pPr>
            <w:r>
              <w:t xml:space="preserve">4</w:t>
            </w:r>
          </w:p>
        </w:tc>
        <w:tc>
          <w:tcPr/>
          <w:p>
            <w:pPr>
              <w:pStyle w:val="Compact"/>
            </w:pPr>
            <w:r>
              <w:rPr>
                <w:b/>
                <w:bCs/>
              </w:rPr>
              <w:t xml:space="preserve">Portability</w:t>
            </w:r>
          </w:p>
        </w:tc>
        <w:tc>
          <w:tcPr/>
          <w:p>
            <w:pPr>
              <w:pStyle w:val="Compact"/>
            </w:pPr>
            <w:r>
              <w:t xml:space="preserve">The system must run on both MariaDB 11.4 and MySQL 8.4.</w:t>
            </w:r>
          </w:p>
        </w:tc>
      </w:tr>
      <w:tr>
        <w:tc>
          <w:tcPr/>
          <w:p>
            <w:pPr>
              <w:pStyle w:val="Compact"/>
            </w:pPr>
            <w:r>
              <w:t xml:space="preserve">5</w:t>
            </w:r>
          </w:p>
        </w:tc>
        <w:tc>
          <w:tcPr/>
          <w:p>
            <w:pPr>
              <w:pStyle w:val="Compact"/>
            </w:pPr>
            <w:r>
              <w:rPr>
                <w:b/>
                <w:bCs/>
              </w:rPr>
              <w:t xml:space="preserve">Operability</w:t>
            </w:r>
          </w:p>
        </w:tc>
        <w:tc>
          <w:tcPr/>
          <w:p>
            <w:pPr>
              <w:pStyle w:val="Compact"/>
            </w:pPr>
            <w:r>
              <w:t xml:space="preserve">Failures must be visible, explained and recoverable by an administrator, and every change must be audited.</w:t>
            </w:r>
          </w:p>
        </w:tc>
      </w:tr>
    </w:tbl>
    <w:bookmarkEnd w:id="21"/>
    <w:bookmarkStart w:id="22" w:name="stakeholders"/>
    <w:p>
      <w:pPr>
        <w:pStyle w:val="Heading2"/>
      </w:pPr>
      <w:r>
        <w:rPr>
          <w:rStyle w:val="SectionNumber"/>
        </w:rPr>
        <w:t xml:space="preserve">1.3</w:t>
      </w:r>
      <w:r>
        <w:tab/>
      </w:r>
      <w:r>
        <w:t xml:space="preserve">Stakeholders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Stakeholder</w:t>
            </w:r>
          </w:p>
        </w:tc>
        <w:tc>
          <w:tcPr/>
          <w:p>
            <w:pPr>
              <w:pStyle w:val="Compact"/>
            </w:pPr>
            <w:r>
              <w:t xml:space="preserve">Expectation</w:t>
            </w:r>
          </w:p>
        </w:tc>
      </w:tr>
      <w:tr>
        <w:tc>
          <w:tcPr/>
          <w:p>
            <w:pPr>
              <w:pStyle w:val="Compact"/>
            </w:pPr>
            <w:r>
              <w:t xml:space="preserve">Reviewer</w:t>
            </w:r>
          </w:p>
        </w:tc>
        <w:tc>
          <w:tcPr/>
          <w:p>
            <w:pPr>
              <w:pStyle w:val="Compact"/>
            </w:pPr>
            <w:r>
              <w:t xml:space="preserve">A complete, correct system using SQL, with an administration panel and a storefront, documented thoroughly.</w:t>
            </w:r>
          </w:p>
        </w:tc>
      </w:tr>
      <w:tr>
        <w:tc>
          <w:tcPr/>
          <w:p>
            <w:pPr>
              <w:pStyle w:val="Compact"/>
            </w:pPr>
            <w:r>
              <w:t xml:space="preserve">Customers</w:t>
            </w:r>
          </w:p>
        </w:tc>
        <w:tc>
          <w:tcPr/>
          <w:p>
            <w:pPr>
              <w:pStyle w:val="Compact"/>
            </w:pPr>
            <w:r>
              <w:t xml:space="preserve">A simple, trustworthy way to run an image and pay only for what runs.</w:t>
            </w:r>
          </w:p>
        </w:tc>
      </w:tr>
      <w:tr>
        <w:tc>
          <w:tcPr/>
          <w:p>
            <w:pPr>
              <w:pStyle w:val="Compact"/>
            </w:pPr>
            <w:r>
              <w:t xml:space="preserve">Administrators</w:t>
            </w:r>
          </w:p>
        </w:tc>
        <w:tc>
          <w:tcPr/>
          <w:p>
            <w:pPr>
              <w:pStyle w:val="Compact"/>
            </w:pPr>
            <w:r>
              <w:t xml:space="preserve">Control over orders, prices, money and the platform, with evidence for every decision.</w:t>
            </w:r>
          </w:p>
        </w:tc>
      </w:tr>
      <w:tr>
        <w:tc>
          <w:tcPr/>
          <w:p>
            <w:pPr>
              <w:pStyle w:val="Compact"/>
            </w:pPr>
            <w:r>
              <w:t xml:space="preserve">Developers</w:t>
            </w:r>
          </w:p>
        </w:tc>
        <w:tc>
          <w:tcPr/>
          <w:p>
            <w:pPr>
              <w:pStyle w:val="Compact"/>
            </w:pPr>
            <w:r>
              <w:t xml:space="preserve">Clear module boundaries, tests on both engines, and diagrams that match the code.</w:t>
            </w:r>
          </w:p>
        </w:tc>
      </w:tr>
    </w:tbl>
    <w:bookmarkEnd w:id="22"/>
    <w:bookmarkEnd w:id="23"/>
    <w:bookmarkStart w:id="27" w:name="constraints"/>
    <w:p>
      <w:pPr>
        <w:pStyle w:val="Heading1"/>
      </w:pPr>
      <w:r>
        <w:rPr>
          <w:rStyle w:val="SectionNumber"/>
        </w:rPr>
        <w:t xml:space="preserve">2</w:t>
      </w:r>
      <w:r>
        <w:tab/>
      </w:r>
      <w:r>
        <w:t xml:space="preserve">Constraints</w:t>
      </w:r>
    </w:p>
    <w:bookmarkStart w:id="24" w:name="technical-constraints"/>
    <w:p>
      <w:pPr>
        <w:pStyle w:val="Heading2"/>
      </w:pPr>
      <w:r>
        <w:rPr>
          <w:rStyle w:val="SectionNumber"/>
        </w:rPr>
        <w:t xml:space="preserve">2.1</w:t>
      </w:r>
      <w:r>
        <w:tab/>
      </w:r>
      <w:r>
        <w:t xml:space="preserve">Technical constraints</w:t>
      </w:r>
    </w:p>
    <w:p>
      <w:pPr>
        <w:pStyle w:val="Compact"/>
        <w:numPr>
          <w:ilvl w:val="0"/>
          <w:numId w:val="1001"/>
        </w:numPr>
      </w:pPr>
      <w:r>
        <w:rPr>
          <w:b/>
          <w:bCs/>
        </w:rPr>
        <w:t xml:space="preserve">TC-1</w:t>
      </w:r>
      <w:r>
        <w:t xml:space="preserve"> </w:t>
      </w:r>
      <w:r>
        <w:t xml:space="preserve">Go for the server, React with the existing component kit for the interfaces.</w:t>
      </w:r>
    </w:p>
    <w:p>
      <w:pPr>
        <w:pStyle w:val="Compact"/>
        <w:numPr>
          <w:ilvl w:val="0"/>
          <w:numId w:val="1001"/>
        </w:numPr>
      </w:pPr>
      <w:r>
        <w:rPr>
          <w:b/>
          <w:bCs/>
        </w:rPr>
        <w:t xml:space="preserve">TC-2</w:t>
      </w:r>
      <w:r>
        <w:t xml:space="preserve"> </w:t>
      </w:r>
      <w:r>
        <w:t xml:space="preserve">MySQL or MariaDB for all controller state, restricted to features both engines share.</w:t>
      </w:r>
    </w:p>
    <w:p>
      <w:pPr>
        <w:pStyle w:val="Compact"/>
        <w:numPr>
          <w:ilvl w:val="0"/>
          <w:numId w:val="1001"/>
        </w:numPr>
      </w:pPr>
      <w:r>
        <w:rPr>
          <w:b/>
          <w:bCs/>
        </w:rPr>
        <w:t xml:space="preserve">TC-3</w:t>
      </w:r>
      <w:r>
        <w:t xml:space="preserve"> </w:t>
      </w:r>
      <w:r>
        <w:t xml:space="preserve">The existing public interfaces of the SwarmOps stores are preserved.</w:t>
      </w:r>
    </w:p>
    <w:p>
      <w:pPr>
        <w:pStyle w:val="Compact"/>
        <w:numPr>
          <w:ilvl w:val="0"/>
          <w:numId w:val="1001"/>
        </w:numPr>
      </w:pPr>
      <w:r>
        <w:rPr>
          <w:b/>
          <w:bCs/>
        </w:rPr>
        <w:t xml:space="preserve">TC-4</w:t>
      </w:r>
      <w:r>
        <w:t xml:space="preserve"> </w:t>
      </w:r>
      <w:r>
        <w:t xml:space="preserve">The data-encryption key is never stored in the database.</w:t>
      </w:r>
    </w:p>
    <w:p>
      <w:pPr>
        <w:pStyle w:val="Compact"/>
        <w:numPr>
          <w:ilvl w:val="0"/>
          <w:numId w:val="1001"/>
        </w:numPr>
      </w:pPr>
      <w:r>
        <w:rPr>
          <w:b/>
          <w:bCs/>
        </w:rPr>
        <w:t xml:space="preserve">TC-5</w:t>
      </w:r>
      <w:r>
        <w:t xml:space="preserve"> </w:t>
      </w:r>
      <w:r>
        <w:t xml:space="preserve">One active core acts on the cluster at a time.</w:t>
      </w:r>
    </w:p>
    <w:bookmarkEnd w:id="24"/>
    <w:bookmarkStart w:id="25" w:name="organisational-constraints"/>
    <w:p>
      <w:pPr>
        <w:pStyle w:val="Heading2"/>
      </w:pPr>
      <w:r>
        <w:rPr>
          <w:rStyle w:val="SectionNumber"/>
        </w:rPr>
        <w:t xml:space="preserve">2.2</w:t>
      </w:r>
      <w:r>
        <w:tab/>
      </w:r>
      <w:r>
        <w:t xml:space="preserve">Organisational constraints</w:t>
      </w:r>
    </w:p>
    <w:p>
      <w:pPr>
        <w:pStyle w:val="Compact"/>
        <w:numPr>
          <w:ilvl w:val="0"/>
          <w:numId w:val="1002"/>
        </w:numPr>
      </w:pPr>
      <w:r>
        <w:rPr>
          <w:b/>
          <w:bCs/>
        </w:rPr>
        <w:t xml:space="preserve">OC-1</w:t>
      </w:r>
      <w:r>
        <w:t xml:space="preserve"> </w:t>
      </w:r>
      <w:r>
        <w:t xml:space="preserve">One developer, within a single development cycle.</w:t>
      </w:r>
    </w:p>
    <w:p>
      <w:pPr>
        <w:pStyle w:val="Compact"/>
        <w:numPr>
          <w:ilvl w:val="0"/>
          <w:numId w:val="1002"/>
        </w:numPr>
      </w:pPr>
      <w:r>
        <w:rPr>
          <w:b/>
          <w:bCs/>
        </w:rPr>
        <w:t xml:space="preserve">OC-2</w:t>
      </w:r>
      <w:r>
        <w:t xml:space="preserve"> </w:t>
      </w:r>
      <w:r>
        <w:t xml:space="preserve">Everything must be demonstrable on a laptop: a single-node Swarm, local databases, a loopback machine agent.</w:t>
      </w:r>
    </w:p>
    <w:p>
      <w:pPr>
        <w:pStyle w:val="Compact"/>
        <w:numPr>
          <w:ilvl w:val="0"/>
          <w:numId w:val="1002"/>
        </w:numPr>
      </w:pPr>
      <w:r>
        <w:rPr>
          <w:b/>
          <w:bCs/>
        </w:rPr>
        <w:t xml:space="preserve">OC-3</w:t>
      </w:r>
      <w:r>
        <w:t xml:space="preserve"> </w:t>
      </w:r>
      <w:r>
        <w:t xml:space="preserve">No real payment provider may be contacted.</w:t>
      </w:r>
    </w:p>
    <w:bookmarkEnd w:id="25"/>
    <w:bookmarkStart w:id="26" w:name="conventions"/>
    <w:p>
      <w:pPr>
        <w:pStyle w:val="Heading2"/>
      </w:pPr>
      <w:r>
        <w:rPr>
          <w:rStyle w:val="SectionNumber"/>
        </w:rPr>
        <w:t xml:space="preserve">2.3</w:t>
      </w:r>
      <w:r>
        <w:tab/>
      </w:r>
      <w:r>
        <w:t xml:space="preserve">Conventions</w:t>
      </w:r>
    </w:p>
    <w:p>
      <w:pPr>
        <w:pStyle w:val="Compact"/>
        <w:numPr>
          <w:ilvl w:val="0"/>
          <w:numId w:val="1003"/>
        </w:numPr>
      </w:pPr>
      <w:r>
        <w:t xml:space="preserve">Go code follows the repository’s existing style and is checked with</w:t>
      </w:r>
      <w:r>
        <w:t xml:space="preserve"> </w:t>
      </w:r>
      <w:r>
        <w:rPr>
          <w:rStyle w:val="VerbatimChar"/>
        </w:rPr>
        <w:t xml:space="preserve">go vet</w:t>
      </w:r>
      <w:r>
        <w:t xml:space="preserve">.</w:t>
      </w:r>
    </w:p>
    <w:p>
      <w:pPr>
        <w:pStyle w:val="Compact"/>
        <w:numPr>
          <w:ilvl w:val="0"/>
          <w:numId w:val="1003"/>
        </w:numPr>
      </w:pPr>
      <w:r>
        <w:t xml:space="preserve">The console follows its information-architecture rules, enforced by</w:t>
      </w:r>
      <w:r>
        <w:t xml:space="preserve"> </w:t>
      </w:r>
      <w:r>
        <w:rPr>
          <w:rStyle w:val="VerbatimChar"/>
        </w:rPr>
        <w:t xml:space="preserve">operator-workflows.test.mjs</w:t>
      </w:r>
      <w:r>
        <w:t xml:space="preserve">. There is one navigation registry, every page has a route, destructive actions need a typed confirmation phrase, and dates and money are formatted in one module.</w:t>
      </w:r>
    </w:p>
    <w:p>
      <w:pPr>
        <w:pStyle w:val="Compact"/>
        <w:numPr>
          <w:ilvl w:val="0"/>
          <w:numId w:val="1003"/>
        </w:numPr>
      </w:pPr>
      <w:r>
        <w:t xml:space="preserve">Money is stored as whole rials in</w:t>
      </w:r>
      <w:r>
        <w:t xml:space="preserve"> </w:t>
      </w:r>
      <w:r>
        <w:rPr>
          <w:rStyle w:val="VerbatimChar"/>
        </w:rPr>
        <w:t xml:space="preserve">BIGINT</w:t>
      </w:r>
      <w:r>
        <w:t xml:space="preserve"> </w:t>
      </w:r>
      <w:r>
        <w:t xml:space="preserve">columns and never as floating-point numbers.</w:t>
      </w:r>
    </w:p>
    <w:bookmarkEnd w:id="26"/>
    <w:bookmarkEnd w:id="27"/>
    <w:bookmarkStart w:id="30" w:name="context-and-scope"/>
    <w:p>
      <w:pPr>
        <w:pStyle w:val="Heading1"/>
      </w:pPr>
      <w:r>
        <w:rPr>
          <w:rStyle w:val="SectionNumber"/>
        </w:rPr>
        <w:t xml:space="preserve">3</w:t>
      </w:r>
      <w:r>
        <w:tab/>
      </w:r>
      <w:r>
        <w:t xml:space="preserve">Context and scope</w:t>
      </w:r>
    </w:p>
    <w:bookmarkStart w:id="28" w:name="business-context"/>
    <w:p>
      <w:pPr>
        <w:pStyle w:val="Heading2"/>
      </w:pPr>
      <w:r>
        <w:rPr>
          <w:rStyle w:val="SectionNumber"/>
        </w:rPr>
        <w:t xml:space="preserve">3.1</w:t>
      </w:r>
      <w:r>
        <w:tab/>
      </w:r>
      <w:r>
        <w:t xml:space="preserve">Business context</w:t>
      </w:r>
    </w:p>
    <w:p>
      <w:pPr>
        <w:pStyle w:val="FirstParagraph"/>
      </w:pPr>
      <w:r>
        <w:t xml:space="preserve">Figure 1 of the C4 Architecture Model shows the business context. Customers and administrators use SwarmOps Cloud. It deploys to a Docker Swarm cluster, which pulls images from registries and obtains certificates from an ACME authority.</w:t>
      </w:r>
    </w:p>
    <w:bookmarkEnd w:id="28"/>
    <w:bookmarkStart w:id="29" w:name="technical-context"/>
    <w:p>
      <w:pPr>
        <w:pStyle w:val="Heading2"/>
      </w:pPr>
      <w:r>
        <w:rPr>
          <w:rStyle w:val="SectionNumber"/>
        </w:rPr>
        <w:t xml:space="preserve">3.2</w:t>
      </w:r>
      <w:r>
        <w:tab/>
      </w:r>
      <w:r>
        <w:t xml:space="preserve">Technical context</w:t>
      </w:r>
    </w:p>
    <w:p>
      <w:pPr>
        <w:pStyle w:val="TableCaption"/>
      </w:pPr>
      <w:r>
        <w:t xml:space="preserve">Technical context</w:t>
      </w:r>
    </w:p>
    <w:tbl>
      <w:tblPr>
        <w:tblStyle w:val="Table"/>
        <w:tblW w:type="pct" w:w="5000"/>
        <w:tblLayout w:type="fixed"/>
        <w:tblLook w:firstRow="1" w:lastRow="0" w:firstColumn="0" w:lastColumn="0" w:noHBand="0" w:noVBand="0" w:val="0020"/>
        <w:tblCaption w:val="Technical context"/>
      </w:tblPr>
      <w:tblGrid>
        <w:gridCol w:w="2640"/>
        <w:gridCol w:w="2640"/>
        <w:gridCol w:w="2640"/>
      </w:tblGrid>
      <w:tr>
        <w:trPr>
          <w:tblHeader w:val="on"/>
        </w:trPr>
        <w:tc>
          <w:tcPr/>
          <w:p>
            <w:pPr>
              <w:pStyle w:val="Compact"/>
            </w:pPr>
            <w:r>
              <w:t xml:space="preserve">Channel</w:t>
            </w:r>
          </w:p>
        </w:tc>
        <w:tc>
          <w:tcPr/>
          <w:p>
            <w:pPr>
              <w:pStyle w:val="Compact"/>
            </w:pPr>
            <w:r>
              <w:t xml:space="preserve">Protocol and format</w:t>
            </w:r>
          </w:p>
        </w:tc>
        <w:tc>
          <w:tcPr/>
          <w:p>
            <w:pPr>
              <w:pStyle w:val="Compact"/>
            </w:pPr>
            <w:r>
              <w:t xml:space="preserve">Authentication</w:t>
            </w:r>
          </w:p>
        </w:tc>
      </w:tr>
      <w:tr>
        <w:tc>
          <w:tcPr/>
          <w:p>
            <w:pPr>
              <w:pStyle w:val="Compact"/>
            </w:pPr>
            <w:r>
              <w:t xml:space="preserve">Browser → Core (storefront)</w:t>
            </w:r>
          </w:p>
        </w:tc>
        <w:tc>
          <w:tcPr/>
          <w:p>
            <w:pPr>
              <w:pStyle w:val="Compact"/>
            </w:pPr>
            <w:r>
              <w:t xml:space="preserve">HTTPS, JSON,</w:t>
            </w:r>
            <w:r>
              <w:t xml:space="preserve"> </w:t>
            </w:r>
            <w:r>
              <w:rPr>
                <w:rStyle w:val="VerbatimChar"/>
              </w:rPr>
              <w:t xml:space="preserve">/api/store/v1</w:t>
            </w:r>
          </w:p>
        </w:tc>
        <w:tc>
          <w:tcPr/>
          <w:p>
            <w:pPr>
              <w:pStyle w:val="Compact"/>
            </w:pPr>
            <w:r>
              <w:t xml:space="preserve">Session cookie</w:t>
            </w:r>
            <w:r>
              <w:t xml:space="preserve"> </w:t>
            </w:r>
            <w:r>
              <w:rPr>
                <w:rStyle w:val="VerbatimChar"/>
              </w:rPr>
              <w:t xml:space="preserve">swarmops_store_session</w:t>
            </w:r>
            <w:r>
              <w:t xml:space="preserve"> </w:t>
            </w:r>
            <w:r>
              <w:t xml:space="preserve">and</w:t>
            </w:r>
            <w:r>
              <w:t xml:space="preserve"> </w:t>
            </w:r>
            <w:r>
              <w:rPr>
                <w:rStyle w:val="VerbatimChar"/>
              </w:rPr>
              <w:t xml:space="preserve">X-CSRF-Token</w:t>
            </w:r>
            <w:r>
              <w:t xml:space="preserve"> </w:t>
            </w:r>
            <w:r>
              <w:t xml:space="preserve">header</w:t>
            </w:r>
          </w:p>
        </w:tc>
      </w:tr>
      <w:tr>
        <w:tc>
          <w:tcPr/>
          <w:p>
            <w:pPr>
              <w:pStyle w:val="Compact"/>
            </w:pPr>
            <w:r>
              <w:t xml:space="preserve">Browser → Core (console)</w:t>
            </w:r>
          </w:p>
        </w:tc>
        <w:tc>
          <w:tcPr/>
          <w:p>
            <w:pPr>
              <w:pStyle w:val="Compact"/>
            </w:pPr>
            <w:r>
              <w:t xml:space="preserve">HTTPS, JSON,</w:t>
            </w:r>
            <w:r>
              <w:t xml:space="preserve"> </w:t>
            </w:r>
            <w:r>
              <w:rPr>
                <w:rStyle w:val="VerbatimChar"/>
              </w:rPr>
              <w:t xml:space="preserve">/api/v1</w:t>
            </w:r>
          </w:p>
        </w:tc>
        <w:tc>
          <w:tcPr/>
          <w:p>
            <w:pPr>
              <w:pStyle w:val="Compact"/>
            </w:pPr>
            <w:r>
              <w:t xml:space="preserve">Operator session cookie and CSRF token</w:t>
            </w:r>
          </w:p>
        </w:tc>
      </w:tr>
      <w:tr>
        <w:tc>
          <w:tcPr/>
          <w:p>
            <w:pPr>
              <w:pStyle w:val="Compact"/>
            </w:pPr>
            <w:r>
              <w:t xml:space="preserve">Core → database</w:t>
            </w:r>
          </w:p>
        </w:tc>
        <w:tc>
          <w:tcPr/>
          <w:p>
            <w:pPr>
              <w:pStyle w:val="Compact"/>
            </w:pPr>
            <w:r>
              <w:t xml:space="preserve">MySQL protocol over TCP</w:t>
            </w:r>
          </w:p>
        </w:tc>
        <w:tc>
          <w:tcPr/>
          <w:p>
            <w:pPr>
              <w:pStyle w:val="Compact"/>
            </w:pPr>
            <w:r>
              <w:t xml:space="preserve">DSN from a protected file</w:t>
            </w:r>
          </w:p>
        </w:tc>
      </w:tr>
      <w:tr>
        <w:tc>
          <w:tcPr/>
          <w:p>
            <w:pPr>
              <w:pStyle w:val="Compact"/>
            </w:pPr>
            <w:r>
              <w:t xml:space="preserve">Core → machine agent</w:t>
            </w:r>
          </w:p>
        </w:tc>
        <w:tc>
          <w:tcPr/>
          <w:p>
            <w:pPr>
              <w:pStyle w:val="Compact"/>
            </w:pPr>
            <w:r>
              <w:t xml:space="preserve">HTTPS, JSON</w:t>
            </w:r>
          </w:p>
        </w:tc>
        <w:tc>
          <w:tcPr/>
          <w:p>
            <w:pPr>
              <w:pStyle w:val="Compact"/>
            </w:pPr>
            <w:r>
              <w:t xml:space="preserve">Pinned TLS certificate and API key</w:t>
            </w:r>
          </w:p>
        </w:tc>
      </w:tr>
      <w:tr>
        <w:tc>
          <w:tcPr/>
          <w:p>
            <w:pPr>
              <w:pStyle w:val="Compact"/>
            </w:pPr>
            <w:r>
              <w:t xml:space="preserve">Agent → Docker Engine</w:t>
            </w:r>
          </w:p>
        </w:tc>
        <w:tc>
          <w:tcPr/>
          <w:p>
            <w:pPr>
              <w:pStyle w:val="Compact"/>
            </w:pPr>
            <w:r>
              <w:t xml:space="preserve">Docker Engine API over a local socket</w:t>
            </w:r>
          </w:p>
        </w:tc>
        <w:tc>
          <w:tcPr/>
          <w:p>
            <w:pPr>
              <w:pStyle w:val="Compact"/>
            </w:pPr>
            <w:r>
              <w:t xml:space="preserve">Local socket permissions</w:t>
            </w:r>
          </w:p>
        </w:tc>
      </w:tr>
      <w:tr>
        <w:tc>
          <w:tcPr/>
          <w:p>
            <w:pPr>
              <w:pStyle w:val="Compact"/>
            </w:pPr>
            <w:r>
              <w:t xml:space="preserve">Visitor → gateway → application</w:t>
            </w:r>
          </w:p>
        </w:tc>
        <w:tc>
          <w:tcPr/>
          <w:p>
            <w:pPr>
              <w:pStyle w:val="Compact"/>
            </w:pPr>
            <w:r>
              <w:t xml:space="preserve">HTTP/HTTPS through Traefik</w:t>
            </w:r>
          </w:p>
        </w:tc>
        <w:tc>
          <w:tcPr/>
          <w:p>
            <w:pPr>
              <w:pStyle w:val="Compact"/>
            </w:pPr>
            <w:r>
              <w:t xml:space="preserve">Application-defined</w:t>
            </w:r>
          </w:p>
        </w:tc>
      </w:tr>
    </w:tbl>
    <w:bookmarkEnd w:id="29"/>
    <w:bookmarkEnd w:id="30"/>
    <w:bookmarkStart w:id="31" w:name="solution-strategy"/>
    <w:p>
      <w:pPr>
        <w:pStyle w:val="Heading1"/>
      </w:pPr>
      <w:r>
        <w:rPr>
          <w:rStyle w:val="SectionNumber"/>
        </w:rPr>
        <w:t xml:space="preserve">4</w:t>
      </w:r>
      <w:r>
        <w:tab/>
      </w:r>
      <w:r>
        <w:t xml:space="preserve">Solution strategy</w:t>
      </w:r>
    </w:p>
    <w:p>
      <w:pPr>
        <w:pStyle w:val="TableCaption"/>
      </w:pPr>
      <w:r>
        <w:t xml:space="preserve">Solution strategy</w:t>
      </w:r>
    </w:p>
    <w:tbl>
      <w:tblPr>
        <w:tblStyle w:val="Table"/>
        <w:tblW w:type="pct" w:w="5000"/>
        <w:tblLayout w:type="fixed"/>
        <w:tblLook w:firstRow="1" w:lastRow="0" w:firstColumn="0" w:lastColumn="0" w:noHBand="0" w:noVBand="0" w:val="0020"/>
        <w:tblCaption w:val="Solution strategy"/>
      </w:tblPr>
      <w:tblGrid>
        <w:gridCol w:w="2640"/>
        <w:gridCol w:w="2640"/>
        <w:gridCol w:w="2640"/>
      </w:tblGrid>
      <w:tr>
        <w:trPr>
          <w:tblHeader w:val="on"/>
        </w:trPr>
        <w:tc>
          <w:tcPr/>
          <w:p>
            <w:pPr>
              <w:pStyle w:val="Compact"/>
            </w:pPr>
            <w:r>
              <w:t xml:space="preserve">Goal or constraint</w:t>
            </w:r>
          </w:p>
        </w:tc>
        <w:tc>
          <w:tcPr/>
          <w:p>
            <w:pPr>
              <w:pStyle w:val="Compact"/>
            </w:pPr>
            <w:r>
              <w:t xml:space="preserve">Approach</w:t>
            </w:r>
          </w:p>
        </w:tc>
        <w:tc>
          <w:tcPr/>
          <w:p>
            <w:pPr>
              <w:pStyle w:val="Compact"/>
            </w:pPr>
            <w:r>
              <w:t xml:space="preserve">Where</w:t>
            </w:r>
          </w:p>
        </w:tc>
      </w:tr>
      <w:tr>
        <w:tc>
          <w:tcPr/>
          <w:p>
            <w:pPr>
              <w:pStyle w:val="Compact"/>
            </w:pPr>
            <w:r>
              <w:t xml:space="preserve">Integrity of money</w:t>
            </w:r>
          </w:p>
        </w:tc>
        <w:tc>
          <w:tcPr/>
          <w:p>
            <w:pPr>
              <w:pStyle w:val="Compact"/>
            </w:pPr>
            <w:r>
              <w:t xml:space="preserve">An append-only ledger is the source of truth; a cached balance is locked and updated with each row; a CHECK constraint forbids a negative balance; idempotency keys are unique per user.</w:t>
            </w:r>
          </w:p>
        </w:tc>
        <w:tc>
          <w:tcPr/>
          <w:p>
            <w:pPr>
              <w:pStyle w:val="Compact"/>
            </w:pPr>
            <w:r>
              <w:t xml:space="preserve">Section 8.3; ADR-0008</w:t>
            </w:r>
          </w:p>
        </w:tc>
      </w:tr>
      <w:tr>
        <w:tc>
          <w:tcPr/>
          <w:p>
            <w:pPr>
              <w:pStyle w:val="Compact"/>
            </w:pPr>
            <w:r>
              <w:t xml:space="preserve">Atomic provisioning</w:t>
            </w:r>
          </w:p>
        </w:tc>
        <w:tc>
          <w:tcPr/>
          <w:p>
            <w:pPr>
              <w:pStyle w:val="Compact"/>
            </w:pPr>
            <w:r>
              <w:t xml:space="preserve">The deployment command is inserted by</w:t>
            </w:r>
            <w:r>
              <w:t xml:space="preserve"> </w:t>
            </w:r>
            <w:r>
              <w:rPr>
                <w:rStyle w:val="VerbatimChar"/>
              </w:rPr>
              <w:t xml:space="preserve">SubmitInTx</w:t>
            </w:r>
            <w:r>
              <w:t xml:space="preserve"> </w:t>
            </w:r>
            <w:r>
              <w:t xml:space="preserve">inside the confirmation transaction (transactional outbox).</w:t>
            </w:r>
          </w:p>
        </w:tc>
        <w:tc>
          <w:tcPr/>
          <w:p>
            <w:pPr>
              <w:pStyle w:val="Compact"/>
            </w:pPr>
            <w:r>
              <w:t xml:space="preserve">Section 6.1</w:t>
            </w:r>
          </w:p>
        </w:tc>
      </w:tr>
      <w:tr>
        <w:tc>
          <w:tcPr/>
          <w:p>
            <w:pPr>
              <w:pStyle w:val="Compact"/>
            </w:pPr>
            <w:r>
              <w:t xml:space="preserve">One owner for background work</w:t>
            </w:r>
          </w:p>
        </w:tc>
        <w:tc>
          <w:tcPr/>
          <w:p>
            <w:pPr>
              <w:pStyle w:val="Compact"/>
            </w:pPr>
            <w:r>
              <w:t xml:space="preserve">Only the active core runs the command worker and billing. Singleton rows are locked with</w:t>
            </w:r>
            <w:r>
              <w:t xml:space="preserve"> </w:t>
            </w:r>
            <w:r>
              <w:rPr>
                <w:rStyle w:val="VerbatimChar"/>
              </w:rPr>
              <w:t xml:space="preserve">FOR UPDATE</w:t>
            </w:r>
            <w:r>
              <w:t xml:space="preserve">.</w:t>
            </w:r>
          </w:p>
        </w:tc>
        <w:tc>
          <w:tcPr/>
          <w:p>
            <w:pPr>
              <w:pStyle w:val="Compact"/>
            </w:pPr>
            <w:r>
              <w:t xml:space="preserve">Section 8.5</w:t>
            </w:r>
          </w:p>
        </w:tc>
      </w:tr>
      <w:tr>
        <w:tc>
          <w:tcPr/>
          <w:p>
            <w:pPr>
              <w:pStyle w:val="Compact"/>
            </w:pPr>
            <w:r>
              <w:t xml:space="preserve">Portability</w:t>
            </w:r>
          </w:p>
        </w:tc>
        <w:tc>
          <w:tcPr/>
          <w:p>
            <w:pPr>
              <w:pStyle w:val="Compact"/>
            </w:pPr>
            <w:r>
              <w:t xml:space="preserve">Shared SQL subset; the full test suite runs on both engines.</w:t>
            </w:r>
          </w:p>
        </w:tc>
        <w:tc>
          <w:tcPr/>
          <w:p>
            <w:pPr>
              <w:pStyle w:val="Compact"/>
            </w:pPr>
            <w:r>
              <w:t xml:space="preserve">Section 8.2</w:t>
            </w:r>
          </w:p>
        </w:tc>
      </w:tr>
      <w:tr>
        <w:tc>
          <w:tcPr/>
          <w:p>
            <w:pPr>
              <w:pStyle w:val="Compact"/>
            </w:pPr>
            <w:r>
              <w:t xml:space="preserve">Preserve SwarmOps</w:t>
            </w:r>
          </w:p>
        </w:tc>
        <w:tc>
          <w:tcPr/>
          <w:p>
            <w:pPr>
              <w:pStyle w:val="Compact"/>
            </w:pPr>
            <w:r>
              <w:t xml:space="preserve">Stores keep their interfaces; only constructors change.</w:t>
            </w:r>
          </w:p>
        </w:tc>
        <w:tc>
          <w:tcPr/>
          <w:p>
            <w:pPr>
              <w:pStyle w:val="Compact"/>
            </w:pPr>
            <w:r>
              <w:t xml:space="preserve">ADR-0008</w:t>
            </w:r>
          </w:p>
        </w:tc>
      </w:tr>
      <w:tr>
        <w:tc>
          <w:tcPr/>
          <w:p>
            <w:pPr>
              <w:pStyle w:val="Compact"/>
            </w:pPr>
            <w:r>
              <w:t xml:space="preserve">Billing like Heroku and Liara</w:t>
            </w:r>
          </w:p>
        </w:tc>
        <w:tc>
          <w:tcPr/>
          <w:p>
            <w:pPr>
              <w:pStyle w:val="Compact"/>
            </w:pPr>
            <w:r>
              <w:t xml:space="preserve">Hourly charges, one row per project per hour, capped monthly, with suspension and resumption.</w:t>
            </w:r>
          </w:p>
        </w:tc>
        <w:tc>
          <w:tcPr/>
          <w:p>
            <w:pPr>
              <w:pStyle w:val="Compact"/>
            </w:pPr>
            <w:r>
              <w:t xml:space="preserve">Section 6.3</w:t>
            </w:r>
          </w:p>
        </w:tc>
      </w:tr>
      <w:tr>
        <w:tc>
          <w:tcPr/>
          <w:p>
            <w:pPr>
              <w:pStyle w:val="Compact"/>
            </w:pPr>
            <w:r>
              <w:t xml:space="preserve">Security</w:t>
            </w:r>
          </w:p>
        </w:tc>
        <w:tc>
          <w:tcPr/>
          <w:p>
            <w:pPr>
              <w:pStyle w:val="Compact"/>
            </w:pPr>
            <w:r>
              <w:t xml:space="preserve">Bcrypt, HttpOnly SameSite=Strict cookies, CSRF tokens, rate-limited sign-in, sealed columns with associated data, and audit.</w:t>
            </w:r>
          </w:p>
        </w:tc>
        <w:tc>
          <w:tcPr/>
          <w:p>
            <w:pPr>
              <w:pStyle w:val="Compact"/>
            </w:pPr>
            <w:r>
              <w:t xml:space="preserve">Section 8.4</w:t>
            </w:r>
          </w:p>
        </w:tc>
      </w:tr>
    </w:tbl>
    <w:bookmarkEnd w:id="31"/>
    <w:bookmarkStart w:id="35" w:name="building-block-view"/>
    <w:p>
      <w:pPr>
        <w:pStyle w:val="Heading1"/>
      </w:pPr>
      <w:r>
        <w:rPr>
          <w:rStyle w:val="SectionNumber"/>
        </w:rPr>
        <w:t xml:space="preserve">5</w:t>
      </w:r>
      <w:r>
        <w:tab/>
      </w:r>
      <w:r>
        <w:t xml:space="preserve">Building block view</w:t>
      </w:r>
    </w:p>
    <w:bookmarkStart w:id="32" w:name="level-1-containers"/>
    <w:p>
      <w:pPr>
        <w:pStyle w:val="Heading2"/>
      </w:pPr>
      <w:r>
        <w:rPr>
          <w:rStyle w:val="SectionNumber"/>
        </w:rPr>
        <w:t xml:space="preserve">5.1</w:t>
      </w:r>
      <w:r>
        <w:tab/>
      </w:r>
      <w:r>
        <w:t xml:space="preserve">Level 1: containers</w:t>
      </w:r>
    </w:p>
    <w:p>
      <w:pPr>
        <w:pStyle w:val="FirstParagraph"/>
      </w:pPr>
      <w:r>
        <w:t xml:space="preserve">The system consists of the storefront, the administration console, SwarmOps Core and the controller database. The machine agent, gateway and applications run in the cluster. See Figure 2 of the C4 Architecture Model.</w:t>
      </w:r>
    </w:p>
    <w:bookmarkEnd w:id="32"/>
    <w:bookmarkStart w:id="33" w:name="level-2-cores-components"/>
    <w:p>
      <w:pPr>
        <w:pStyle w:val="Heading2"/>
      </w:pPr>
      <w:r>
        <w:rPr>
          <w:rStyle w:val="SectionNumber"/>
        </w:rPr>
        <w:t xml:space="preserve">5.2</w:t>
      </w:r>
      <w:r>
        <w:tab/>
      </w:r>
      <w:r>
        <w:t xml:space="preserve">Level 2: Core’s components</w:t>
      </w:r>
    </w:p>
    <w:p>
      <w:pPr>
        <w:pStyle w:val="FirstParagraph"/>
      </w:pPr>
      <w:r>
        <w:t xml:space="preserve">Figures 3 and 4 of the C4 Architecture Model show Core and the commerce service. The packages that matter to this project are:</w:t>
      </w:r>
    </w:p>
    <w:p>
      <w:pPr>
        <w:pStyle w:val="TableCaption"/>
      </w:pPr>
      <w:r>
        <w:t xml:space="preserve">Packages</w:t>
      </w:r>
    </w:p>
    <w:tbl>
      <w:tblPr>
        <w:tblStyle w:val="Table"/>
        <w:tblW w:type="pct" w:w="5000"/>
        <w:tblLayout w:type="fixed"/>
        <w:tblLook w:firstRow="1" w:lastRow="0" w:firstColumn="0" w:lastColumn="0" w:noHBand="0" w:noVBand="0" w:val="0020"/>
        <w:tblCaption w:val="Packages"/>
      </w:tblPr>
      <w:tblGrid>
        <w:gridCol w:w="3960"/>
        <w:gridCol w:w="3960"/>
      </w:tblGrid>
      <w:tr>
        <w:trPr>
          <w:tblHeader w:val="on"/>
        </w:trPr>
        <w:tc>
          <w:tcPr/>
          <w:p>
            <w:pPr>
              <w:pStyle w:val="Compact"/>
            </w:pPr>
            <w:r>
              <w:t xml:space="preserve">Package</w:t>
            </w:r>
          </w:p>
        </w:tc>
        <w:tc>
          <w:tcPr/>
          <w:p>
            <w:pPr>
              <w:pStyle w:val="Compact"/>
            </w:pPr>
            <w:r>
              <w:t xml:space="preserve">Responsibility</w:t>
            </w:r>
          </w:p>
        </w:tc>
      </w:tr>
      <w:tr>
        <w:tc>
          <w:tcPr/>
          <w:p>
            <w:pPr>
              <w:pStyle w:val="Compact"/>
            </w:pPr>
            <w:r>
              <w:rPr>
                <w:rStyle w:val="VerbatimChar"/>
              </w:rPr>
              <w:t xml:space="preserve">internal/sqlstore</w:t>
            </w:r>
          </w:p>
        </w:tc>
        <w:tc>
          <w:tcPr/>
          <w:p>
            <w:pPr>
              <w:pStyle w:val="Compact"/>
            </w:pPr>
            <w:r>
              <w:t xml:space="preserve">Pool,</w:t>
            </w:r>
            <w:r>
              <w:t xml:space="preserve"> </w:t>
            </w:r>
            <w:r>
              <w:rPr>
                <w:rStyle w:val="VerbatimChar"/>
              </w:rPr>
              <w:t xml:space="preserve">WithTx</w:t>
            </w:r>
            <w:r>
              <w:t xml:space="preserve"> </w:t>
            </w:r>
            <w:r>
              <w:t xml:space="preserve">with retries, migrations, sealed columns, error classification.</w:t>
            </w:r>
          </w:p>
        </w:tc>
      </w:tr>
      <w:tr>
        <w:tc>
          <w:tcPr/>
          <w:p>
            <w:pPr>
              <w:pStyle w:val="Compact"/>
            </w:pPr>
            <w:r>
              <w:rPr>
                <w:rStyle w:val="VerbatimChar"/>
              </w:rPr>
              <w:t xml:space="preserve">internal/sqlstore/migrations</w:t>
            </w:r>
          </w:p>
        </w:tc>
        <w:tc>
          <w:tcPr/>
          <w:p>
            <w:pPr>
              <w:pStyle w:val="Compact"/>
            </w:pPr>
            <w:r>
              <w:rPr>
                <w:rStyle w:val="VerbatimChar"/>
              </w:rPr>
              <w:t xml:space="preserve">0001_audit.sql</w:t>
            </w:r>
            <w:r>
              <w:t xml:space="preserve"> </w:t>
            </w:r>
            <w:r>
              <w:t xml:space="preserve">to</w:t>
            </w:r>
            <w:r>
              <w:t xml:space="preserve"> </w:t>
            </w:r>
            <w:r>
              <w:rPr>
                <w:rStyle w:val="VerbatimChar"/>
              </w:rPr>
              <w:t xml:space="preserve">0009_plan_text.sql</w:t>
            </w:r>
            <w:r>
              <w:t xml:space="preserve">.</w:t>
            </w:r>
          </w:p>
        </w:tc>
      </w:tr>
      <w:tr>
        <w:tc>
          <w:tcPr/>
          <w:p>
            <w:pPr>
              <w:pStyle w:val="Compact"/>
            </w:pPr>
            <w:r>
              <w:rPr>
                <w:rStyle w:val="VerbatimChar"/>
              </w:rPr>
              <w:t xml:space="preserve">internal/cloud</w:t>
            </w:r>
          </w:p>
        </w:tc>
        <w:tc>
          <w:tcPr/>
          <w:p>
            <w:pPr>
              <w:pStyle w:val="Compact"/>
            </w:pPr>
            <w:r>
              <w:t xml:space="preserve">Commerce business rules.</w:t>
            </w:r>
          </w:p>
        </w:tc>
      </w:tr>
      <w:tr>
        <w:tc>
          <w:tcPr/>
          <w:p>
            <w:pPr>
              <w:pStyle w:val="Compact"/>
            </w:pPr>
            <w:r>
              <w:rPr>
                <w:rStyle w:val="VerbatimChar"/>
              </w:rPr>
              <w:t xml:space="preserve">internal/queue</w:t>
            </w:r>
          </w:p>
        </w:tc>
        <w:tc>
          <w:tcPr/>
          <w:p>
            <w:pPr>
              <w:pStyle w:val="Compact"/>
            </w:pPr>
            <w:r>
              <w:t xml:space="preserve">Command store (</w:t>
            </w:r>
            <w:r>
              <w:rPr>
                <w:rStyle w:val="VerbatimChar"/>
              </w:rPr>
              <w:t xml:space="preserve">Store</w:t>
            </w:r>
            <w:r>
              <w:t xml:space="preserve">) and worker (</w:t>
            </w:r>
            <w:r>
              <w:rPr>
                <w:rStyle w:val="VerbatimChar"/>
              </w:rPr>
              <w:t xml:space="preserve">Worker</w:t>
            </w:r>
            <w:r>
              <w:t xml:space="preserve">).</w:t>
            </w:r>
          </w:p>
        </w:tc>
      </w:tr>
      <w:tr>
        <w:tc>
          <w:tcPr/>
          <w:p>
            <w:pPr>
              <w:pStyle w:val="Compact"/>
            </w:pPr>
            <w:r>
              <w:rPr>
                <w:rStyle w:val="VerbatimChar"/>
              </w:rPr>
              <w:t xml:space="preserve">internal/audit</w:t>
            </w:r>
            <w:r>
              <w:t xml:space="preserve">,</w:t>
            </w:r>
            <w:r>
              <w:t xml:space="preserve"> </w:t>
            </w:r>
            <w:r>
              <w:rPr>
                <w:rStyle w:val="VerbatimChar"/>
              </w:rPr>
              <w:t xml:space="preserve">internal/ops</w:t>
            </w:r>
            <w:r>
              <w:t xml:space="preserve">,</w:t>
            </w:r>
            <w:r>
              <w:t xml:space="preserve"> </w:t>
            </w:r>
            <w:r>
              <w:rPr>
                <w:rStyle w:val="VerbatimChar"/>
              </w:rPr>
              <w:t xml:space="preserve">internal/source</w:t>
            </w:r>
            <w:r>
              <w:t xml:space="preserve">,</w:t>
            </w:r>
            <w:r>
              <w:t xml:space="preserve"> </w:t>
            </w:r>
            <w:r>
              <w:rPr>
                <w:rStyle w:val="VerbatimChar"/>
              </w:rPr>
              <w:t xml:space="preserve">internal/remote</w:t>
            </w:r>
            <w:r>
              <w:t xml:space="preserve">,</w:t>
            </w:r>
            <w:r>
              <w:t xml:space="preserve"> </w:t>
            </w:r>
            <w:r>
              <w:rPr>
                <w:rStyle w:val="VerbatimChar"/>
              </w:rPr>
              <w:t xml:space="preserve">internal/coretopology</w:t>
            </w:r>
            <w:r>
              <w:t xml:space="preserve">,</w:t>
            </w:r>
            <w:r>
              <w:t xml:space="preserve"> </w:t>
            </w:r>
            <w:r>
              <w:rPr>
                <w:rStyle w:val="VerbatimChar"/>
              </w:rPr>
              <w:t xml:space="preserve">internal/agentpull</w:t>
            </w:r>
          </w:p>
        </w:tc>
        <w:tc>
          <w:tcPr/>
          <w:p>
            <w:pPr>
              <w:pStyle w:val="Compact"/>
            </w:pPr>
            <w:r>
              <w:t xml:space="preserve">The SwarmOps stores, now on SQL, and the control plane.</w:t>
            </w:r>
          </w:p>
        </w:tc>
      </w:tr>
      <w:tr>
        <w:tc>
          <w:tcPr/>
          <w:p>
            <w:pPr>
              <w:pStyle w:val="Compact"/>
            </w:pPr>
            <w:r>
              <w:rPr>
                <w:rStyle w:val="VerbatimChar"/>
              </w:rPr>
              <w:t xml:space="preserve">api/http</w:t>
            </w:r>
          </w:p>
        </w:tc>
        <w:tc>
          <w:tcPr/>
          <w:p>
            <w:pPr>
              <w:pStyle w:val="Compact"/>
            </w:pPr>
            <w:r>
              <w:t xml:space="preserve">HTTP routing, authentication, the storefront and commerce APIs.</w:t>
            </w:r>
          </w:p>
        </w:tc>
      </w:tr>
      <w:tr>
        <w:tc>
          <w:tcPr/>
          <w:p>
            <w:pPr>
              <w:pStyle w:val="Compact"/>
            </w:pPr>
            <w:r>
              <w:rPr>
                <w:rStyle w:val="VerbatimChar"/>
              </w:rPr>
              <w:t xml:space="preserve">cmd/api</w:t>
            </w:r>
          </w:p>
        </w:tc>
        <w:tc>
          <w:tcPr/>
          <w:p>
            <w:pPr>
              <w:pStyle w:val="Compact"/>
            </w:pPr>
            <w:r>
              <w:t xml:space="preserve">Process wiring,</w:t>
            </w:r>
            <w:r>
              <w:t xml:space="preserve"> </w:t>
            </w:r>
            <w:r>
              <w:rPr>
                <w:rStyle w:val="VerbatimChar"/>
              </w:rPr>
              <w:t xml:space="preserve">migrate-state</w:t>
            </w:r>
            <w:r>
              <w:t xml:space="preserve">, the billing loop.</w:t>
            </w:r>
          </w:p>
        </w:tc>
      </w:tr>
      <w:tr>
        <w:tc>
          <w:tcPr/>
          <w:p>
            <w:pPr>
              <w:pStyle w:val="Compact"/>
            </w:pPr>
            <w:r>
              <w:rPr>
                <w:rStyle w:val="VerbatimChar"/>
              </w:rPr>
              <w:t xml:space="preserve">web/src/store</w:t>
            </w:r>
          </w:p>
        </w:tc>
        <w:tc>
          <w:tcPr/>
          <w:p>
            <w:pPr>
              <w:pStyle w:val="Compact"/>
            </w:pPr>
            <w:r>
              <w:t xml:space="preserve">Storefront.</w:t>
            </w:r>
          </w:p>
        </w:tc>
      </w:tr>
      <w:tr>
        <w:tc>
          <w:tcPr/>
          <w:p>
            <w:pPr>
              <w:pStyle w:val="Compact"/>
            </w:pPr>
            <w:r>
              <w:rPr>
                <w:rStyle w:val="VerbatimChar"/>
              </w:rPr>
              <w:t xml:space="preserve">web/src/screens/sales</w:t>
            </w:r>
          </w:p>
        </w:tc>
        <w:tc>
          <w:tcPr/>
          <w:p>
            <w:pPr>
              <w:pStyle w:val="Compact"/>
            </w:pPr>
            <w:r>
              <w:t xml:space="preserve">Sales area of the console.</w:t>
            </w:r>
          </w:p>
        </w:tc>
      </w:tr>
    </w:tbl>
    <w:bookmarkEnd w:id="33"/>
    <w:bookmarkStart w:id="34" w:name="X40697a30cd75c8ddae64d2c4f7d8debb2d2112f"/>
    <w:p>
      <w:pPr>
        <w:pStyle w:val="Heading2"/>
      </w:pPr>
      <w:r>
        <w:rPr>
          <w:rStyle w:val="SectionNumber"/>
        </w:rPr>
        <w:t xml:space="preserve">5.3</w:t>
      </w:r>
      <w:r>
        <w:tab/>
      </w:r>
      <w:r>
        <w:t xml:space="preserve">Mapping of the former snapshot files to tables</w:t>
      </w:r>
    </w:p>
    <w:p>
      <w:pPr>
        <w:pStyle w:val="TableCaption"/>
      </w:pPr>
      <w:r>
        <w:t xml:space="preserve">Where each former store’s data now lives</w:t>
      </w:r>
    </w:p>
    <w:tbl>
      <w:tblPr>
        <w:tblStyle w:val="Table"/>
        <w:tblW w:type="pct" w:w="5000"/>
        <w:tblLayout w:type="fixed"/>
        <w:tblLook w:firstRow="1" w:lastRow="0" w:firstColumn="0" w:lastColumn="0" w:noHBand="0" w:noVBand="0" w:val="0020"/>
        <w:tblCaption w:val="Where each former store’s data now lives"/>
      </w:tblPr>
      <w:tblGrid>
        <w:gridCol w:w="3960"/>
        <w:gridCol w:w="3960"/>
      </w:tblGrid>
      <w:tr>
        <w:trPr>
          <w:tblHeader w:val="on"/>
        </w:trPr>
        <w:tc>
          <w:tcPr/>
          <w:p>
            <w:pPr>
              <w:pStyle w:val="Compact"/>
            </w:pPr>
            <w:r>
              <w:t xml:space="preserve">Former snapshot</w:t>
            </w:r>
          </w:p>
        </w:tc>
        <w:tc>
          <w:tcPr/>
          <w:p>
            <w:pPr>
              <w:pStyle w:val="Compact"/>
            </w:pPr>
            <w:r>
              <w:t xml:space="preserve">Tables</w:t>
            </w:r>
          </w:p>
        </w:tc>
      </w:tr>
      <w:tr>
        <w:tc>
          <w:tcPr/>
          <w:p>
            <w:pPr>
              <w:pStyle w:val="Compact"/>
            </w:pPr>
            <w:r>
              <w:rPr>
                <w:rStyle w:val="VerbatimChar"/>
              </w:rPr>
              <w:t xml:space="preserve">audit.sealed</w:t>
            </w:r>
          </w:p>
        </w:tc>
        <w:tc>
          <w:tcPr/>
          <w:p>
            <w:pPr>
              <w:pStyle w:val="Compact"/>
            </w:pPr>
            <w:r>
              <w:rPr>
                <w:rStyle w:val="VerbatimChar"/>
              </w:rPr>
              <w:t xml:space="preserve">audit_events</w:t>
            </w:r>
            <w:r>
              <w:t xml:space="preserve">,</w:t>
            </w:r>
            <w:r>
              <w:t xml:space="preserve"> </w:t>
            </w:r>
            <w:r>
              <w:rPr>
                <w:rStyle w:val="VerbatimChar"/>
              </w:rPr>
              <w:t xml:space="preserve">audit_event_details</w:t>
            </w:r>
          </w:p>
        </w:tc>
      </w:tr>
      <w:tr>
        <w:tc>
          <w:tcPr/>
          <w:p>
            <w:pPr>
              <w:pStyle w:val="Compact"/>
            </w:pPr>
            <w:r>
              <w:rPr>
                <w:rStyle w:val="VerbatimChar"/>
              </w:rPr>
              <w:t xml:space="preserve">applications.sealed</w:t>
            </w:r>
          </w:p>
        </w:tc>
        <w:tc>
          <w:tcPr/>
          <w:p>
            <w:pPr>
              <w:pStyle w:val="Compact"/>
            </w:pPr>
            <w:r>
              <w:rPr>
                <w:rStyle w:val="VerbatimChar"/>
              </w:rPr>
              <w:t xml:space="preserve">applications</w:t>
            </w:r>
            <w:r>
              <w:t xml:space="preserve">,</w:t>
            </w:r>
            <w:r>
              <w:t xml:space="preserve"> </w:t>
            </w:r>
            <w:r>
              <w:rPr>
                <w:rStyle w:val="VerbatimChar"/>
              </w:rPr>
              <w:t xml:space="preserve">application_env</w:t>
            </w:r>
            <w:r>
              <w:t xml:space="preserve">,</w:t>
            </w:r>
            <w:r>
              <w:t xml:space="preserve"> </w:t>
            </w:r>
            <w:r>
              <w:rPr>
                <w:rStyle w:val="VerbatimChar"/>
              </w:rPr>
              <w:t xml:space="preserve">application_health_command</w:t>
            </w:r>
            <w:r>
              <w:t xml:space="preserve">,</w:t>
            </w:r>
            <w:r>
              <w:t xml:space="preserve"> </w:t>
            </w:r>
            <w:r>
              <w:rPr>
                <w:rStyle w:val="VerbatimChar"/>
              </w:rPr>
              <w:t xml:space="preserve">application_databases</w:t>
            </w:r>
            <w:r>
              <w:t xml:space="preserve">,</w:t>
            </w:r>
            <w:r>
              <w:t xml:space="preserve"> </w:t>
            </w:r>
            <w:r>
              <w:rPr>
                <w:rStyle w:val="VerbatimChar"/>
              </w:rPr>
              <w:t xml:space="preserve">application_database_env</w:t>
            </w:r>
            <w:r>
              <w:t xml:space="preserve">,</w:t>
            </w:r>
            <w:r>
              <w:t xml:space="preserve"> </w:t>
            </w:r>
            <w:r>
              <w:rPr>
                <w:rStyle w:val="VerbatimChar"/>
              </w:rPr>
              <w:t xml:space="preserve">application_outcomes</w:t>
            </w:r>
          </w:p>
        </w:tc>
      </w:tr>
      <w:tr>
        <w:tc>
          <w:tcPr/>
          <w:p>
            <w:pPr>
              <w:pStyle w:val="Compact"/>
            </w:pPr>
            <w:r>
              <w:rPr>
                <w:rStyle w:val="VerbatimChar"/>
              </w:rPr>
              <w:t xml:space="preserve">database-credentials.sealed</w:t>
            </w:r>
          </w:p>
        </w:tc>
        <w:tc>
          <w:tcPr/>
          <w:p>
            <w:pPr>
              <w:pStyle w:val="Compact"/>
            </w:pPr>
            <w:r>
              <w:rPr>
                <w:rStyle w:val="VerbatimChar"/>
              </w:rPr>
              <w:t xml:space="preserve">database_credentials</w:t>
            </w:r>
            <w:r>
              <w:t xml:space="preserve">,</w:t>
            </w:r>
            <w:r>
              <w:t xml:space="preserve"> </w:t>
            </w:r>
            <w:r>
              <w:rPr>
                <w:rStyle w:val="VerbatimChar"/>
              </w:rPr>
              <w:t xml:space="preserve">application_database_credentials</w:t>
            </w:r>
          </w:p>
        </w:tc>
      </w:tr>
      <w:tr>
        <w:tc>
          <w:tcPr/>
          <w:p>
            <w:pPr>
              <w:pStyle w:val="Compact"/>
            </w:pPr>
            <w:r>
              <w:rPr>
                <w:rStyle w:val="VerbatimChar"/>
              </w:rPr>
              <w:t xml:space="preserve">source-connections.sealed</w:t>
            </w:r>
            <w:r>
              <w:t xml:space="preserve">,</w:t>
            </w:r>
            <w:r>
              <w:t xml:space="preserve"> </w:t>
            </w:r>
            <w:r>
              <w:rPr>
                <w:rStyle w:val="VerbatimChar"/>
              </w:rPr>
              <w:t xml:space="preserve">source-settings.sealed</w:t>
            </w:r>
          </w:p>
        </w:tc>
        <w:tc>
          <w:tcPr/>
          <w:p>
            <w:pPr>
              <w:pStyle w:val="Compact"/>
            </w:pPr>
            <w:r>
              <w:rPr>
                <w:rStyle w:val="VerbatimChar"/>
              </w:rPr>
              <w:t xml:space="preserve">source_connections</w:t>
            </w:r>
            <w:r>
              <w:t xml:space="preserve">,</w:t>
            </w:r>
            <w:r>
              <w:t xml:space="preserve"> </w:t>
            </w:r>
            <w:r>
              <w:rPr>
                <w:rStyle w:val="VerbatimChar"/>
              </w:rPr>
              <w:t xml:space="preserve">source_settings</w:t>
            </w:r>
            <w:r>
              <w:t xml:space="preserve">,</w:t>
            </w:r>
            <w:r>
              <w:t xml:space="preserve"> </w:t>
            </w:r>
            <w:r>
              <w:rPr>
                <w:rStyle w:val="VerbatimChar"/>
              </w:rPr>
              <w:t xml:space="preserve">source_private_hosts</w:t>
            </w:r>
          </w:p>
        </w:tc>
      </w:tr>
      <w:tr>
        <w:tc>
          <w:tcPr/>
          <w:p>
            <w:pPr>
              <w:pStyle w:val="Compact"/>
            </w:pPr>
            <w:r>
              <w:rPr>
                <w:rStyle w:val="VerbatimChar"/>
              </w:rPr>
              <w:t xml:space="preserve">servers.sealed</w:t>
            </w:r>
            <w:r>
              <w:t xml:space="preserve">,</w:t>
            </w:r>
            <w:r>
              <w:t xml:space="preserve"> </w:t>
            </w:r>
            <w:r>
              <w:rPr>
                <w:rStyle w:val="VerbatimChar"/>
              </w:rPr>
              <w:t xml:space="preserve">server-keys.sealed</w:t>
            </w:r>
          </w:p>
        </w:tc>
        <w:tc>
          <w:tcPr/>
          <w:p>
            <w:pPr>
              <w:pStyle w:val="Compact"/>
            </w:pPr>
            <w:r>
              <w:rPr>
                <w:rStyle w:val="VerbatimChar"/>
              </w:rPr>
              <w:t xml:space="preserve">servers</w:t>
            </w:r>
            <w:r>
              <w:t xml:space="preserve">,</w:t>
            </w:r>
            <w:r>
              <w:t xml:space="preserve"> </w:t>
            </w:r>
            <w:r>
              <w:rPr>
                <w:rStyle w:val="VerbatimChar"/>
              </w:rPr>
              <w:t xml:space="preserve">server_agent_events</w:t>
            </w:r>
            <w:r>
              <w:t xml:space="preserve">,</w:t>
            </w:r>
            <w:r>
              <w:t xml:space="preserve"> </w:t>
            </w:r>
            <w:r>
              <w:rPr>
                <w:rStyle w:val="VerbatimChar"/>
              </w:rPr>
              <w:t xml:space="preserve">server_keys</w:t>
            </w:r>
          </w:p>
        </w:tc>
      </w:tr>
      <w:tr>
        <w:tc>
          <w:tcPr/>
          <w:p>
            <w:pPr>
              <w:pStyle w:val="Compact"/>
            </w:pPr>
            <w:r>
              <w:rPr>
                <w:rStyle w:val="VerbatimChar"/>
              </w:rPr>
              <w:t xml:space="preserve">core-topology.sealed</w:t>
            </w:r>
          </w:p>
        </w:tc>
        <w:tc>
          <w:tcPr/>
          <w:p>
            <w:pPr>
              <w:pStyle w:val="Compact"/>
            </w:pPr>
            <w:r>
              <w:rPr>
                <w:rStyle w:val="VerbatimChar"/>
              </w:rPr>
              <w:t xml:space="preserve">core_authority</w:t>
            </w:r>
            <w:r>
              <w:t xml:space="preserve">,</w:t>
            </w:r>
            <w:r>
              <w:t xml:space="preserve"> </w:t>
            </w:r>
            <w:r>
              <w:rPr>
                <w:rStyle w:val="VerbatimChar"/>
              </w:rPr>
              <w:t xml:space="preserve">core_members</w:t>
            </w:r>
            <w:r>
              <w:t xml:space="preserve">,</w:t>
            </w:r>
            <w:r>
              <w:t xml:space="preserve"> </w:t>
            </w:r>
            <w:r>
              <w:rPr>
                <w:rStyle w:val="VerbatimChar"/>
              </w:rPr>
              <w:t xml:space="preserve">core_handoffs</w:t>
            </w:r>
          </w:p>
        </w:tc>
      </w:tr>
      <w:tr>
        <w:tc>
          <w:tcPr/>
          <w:p>
            <w:pPr>
              <w:pStyle w:val="Compact"/>
            </w:pPr>
            <w:r>
              <w:rPr>
                <w:rStyle w:val="VerbatimChar"/>
              </w:rPr>
              <w:t xml:space="preserve">agent-pull-registry.sealed</w:t>
            </w:r>
          </w:p>
        </w:tc>
        <w:tc>
          <w:tcPr/>
          <w:p>
            <w:pPr>
              <w:pStyle w:val="Compact"/>
            </w:pPr>
            <w:r>
              <w:rPr>
                <w:rStyle w:val="VerbatimChar"/>
              </w:rPr>
              <w:t xml:space="preserve">agent_ca</w:t>
            </w:r>
            <w:r>
              <w:t xml:space="preserve">,</w:t>
            </w:r>
            <w:r>
              <w:t xml:space="preserve"> </w:t>
            </w:r>
            <w:r>
              <w:rPr>
                <w:rStyle w:val="VerbatimChar"/>
              </w:rPr>
              <w:t xml:space="preserve">agents</w:t>
            </w:r>
            <w:r>
              <w:t xml:space="preserve">,</w:t>
            </w:r>
            <w:r>
              <w:t xml:space="preserve"> </w:t>
            </w:r>
            <w:r>
              <w:rPr>
                <w:rStyle w:val="VerbatimChar"/>
              </w:rPr>
              <w:t xml:space="preserve">agent_enrollment_tokens</w:t>
            </w:r>
            <w:r>
              <w:t xml:space="preserve">,</w:t>
            </w:r>
            <w:r>
              <w:t xml:space="preserve"> </w:t>
            </w:r>
            <w:r>
              <w:rPr>
                <w:rStyle w:val="VerbatimChar"/>
              </w:rPr>
              <w:t xml:space="preserve">agent_claims</w:t>
            </w:r>
          </w:p>
        </w:tc>
      </w:tr>
      <w:tr>
        <w:tc>
          <w:tcPr/>
          <w:p>
            <w:pPr>
              <w:pStyle w:val="Compact"/>
            </w:pPr>
            <w:r>
              <w:rPr>
                <w:rStyle w:val="VerbatimChar"/>
              </w:rPr>
              <w:t xml:space="preserve">traefik-routing.sealed</w:t>
            </w:r>
          </w:p>
        </w:tc>
        <w:tc>
          <w:tcPr/>
          <w:p>
            <w:pPr>
              <w:pStyle w:val="Compact"/>
            </w:pPr>
            <w:r>
              <w:rPr>
                <w:rStyle w:val="VerbatimChar"/>
              </w:rPr>
              <w:t xml:space="preserve">routing_clusters</w:t>
            </w:r>
            <w:r>
              <w:t xml:space="preserve">,</w:t>
            </w:r>
            <w:r>
              <w:t xml:space="preserve"> </w:t>
            </w:r>
            <w:r>
              <w:rPr>
                <w:rStyle w:val="VerbatimChar"/>
              </w:rPr>
              <w:t xml:space="preserve">routes</w:t>
            </w:r>
            <w:r>
              <w:t xml:space="preserve">,</w:t>
            </w:r>
            <w:r>
              <w:t xml:space="preserve"> </w:t>
            </w:r>
            <w:r>
              <w:rPr>
                <w:rStyle w:val="VerbatimChar"/>
              </w:rPr>
              <w:t xml:space="preserve">route_hosts</w:t>
            </w:r>
            <w:r>
              <w:t xml:space="preserve">,</w:t>
            </w:r>
            <w:r>
              <w:t xml:space="preserve"> </w:t>
            </w:r>
            <w:r>
              <w:rPr>
                <w:rStyle w:val="VerbatimChar"/>
              </w:rPr>
              <w:t xml:space="preserve">dependency_bindings</w:t>
            </w:r>
            <w:r>
              <w:t xml:space="preserve">,</w:t>
            </w:r>
            <w:r>
              <w:t xml:space="preserve"> </w:t>
            </w:r>
            <w:r>
              <w:rPr>
                <w:rStyle w:val="VerbatimChar"/>
              </w:rPr>
              <w:t xml:space="preserve">service_route_declarations</w:t>
            </w:r>
            <w:r>
              <w:t xml:space="preserve">,</w:t>
            </w:r>
            <w:r>
              <w:t xml:space="preserve"> </w:t>
            </w:r>
            <w:r>
              <w:rPr>
                <w:rStyle w:val="VerbatimChar"/>
              </w:rPr>
              <w:t xml:space="preserve">routing_domains</w:t>
            </w:r>
            <w:r>
              <w:t xml:space="preserve">,</w:t>
            </w:r>
            <w:r>
              <w:t xml:space="preserve"> </w:t>
            </w:r>
            <w:r>
              <w:rPr>
                <w:rStyle w:val="VerbatimChar"/>
              </w:rPr>
              <w:t xml:space="preserve">dns_credential_versions</w:t>
            </w:r>
            <w:r>
              <w:t xml:space="preserve">,</w:t>
            </w:r>
            <w:r>
              <w:t xml:space="preserve"> </w:t>
            </w:r>
            <w:r>
              <w:rPr>
                <w:rStyle w:val="VerbatimChar"/>
              </w:rPr>
              <w:t xml:space="preserve">dns_records</w:t>
            </w:r>
            <w:r>
              <w:t xml:space="preserve">,</w:t>
            </w:r>
            <w:r>
              <w:t xml:space="preserve"> </w:t>
            </w:r>
            <w:r>
              <w:rPr>
                <w:rStyle w:val="VerbatimChar"/>
              </w:rPr>
              <w:t xml:space="preserve">route_certificates</w:t>
            </w:r>
            <w:r>
              <w:t xml:space="preserve">,</w:t>
            </w:r>
            <w:r>
              <w:t xml:space="preserve"> </w:t>
            </w:r>
            <w:r>
              <w:rPr>
                <w:rStyle w:val="VerbatimChar"/>
              </w:rPr>
              <w:t xml:space="preserve">route_certificate_domains</w:t>
            </w:r>
            <w:r>
              <w:t xml:space="preserve">,</w:t>
            </w:r>
            <w:r>
              <w:t xml:space="preserve"> </w:t>
            </w:r>
            <w:r>
              <w:rPr>
                <w:rStyle w:val="VerbatimChar"/>
              </w:rPr>
              <w:t xml:space="preserve">route_runtime</w:t>
            </w:r>
            <w:r>
              <w:t xml:space="preserve">,</w:t>
            </w:r>
            <w:r>
              <w:t xml:space="preserve"> </w:t>
            </w:r>
            <w:r>
              <w:rPr>
                <w:rStyle w:val="VerbatimChar"/>
              </w:rPr>
              <w:t xml:space="preserve">route_runtime_entry_points</w:t>
            </w:r>
            <w:r>
              <w:t xml:space="preserve">,</w:t>
            </w:r>
            <w:r>
              <w:t xml:space="preserve"> </w:t>
            </w:r>
            <w:r>
              <w:rPr>
                <w:rStyle w:val="VerbatimChar"/>
              </w:rPr>
              <w:t xml:space="preserve">route_runtime_errors</w:t>
            </w:r>
          </w:p>
        </w:tc>
      </w:tr>
      <w:tr>
        <w:tc>
          <w:tcPr/>
          <w:p>
            <w:pPr>
              <w:pStyle w:val="Compact"/>
            </w:pPr>
            <w:r>
              <w:rPr>
                <w:rStyle w:val="VerbatimChar"/>
              </w:rPr>
              <w:t xml:space="preserve">commands/commands.sealed</w:t>
            </w:r>
          </w:p>
        </w:tc>
        <w:tc>
          <w:tcPr/>
          <w:p>
            <w:pPr>
              <w:pStyle w:val="Compact"/>
            </w:pPr>
            <w:r>
              <w:rPr>
                <w:rStyle w:val="VerbatimChar"/>
              </w:rPr>
              <w:t xml:space="preserve">commands</w:t>
            </w:r>
            <w:r>
              <w:t xml:space="preserve">,</w:t>
            </w:r>
            <w:r>
              <w:t xml:space="preserve"> </w:t>
            </w:r>
            <w:r>
              <w:rPr>
                <w:rStyle w:val="VerbatimChar"/>
              </w:rPr>
              <w:t xml:space="preserve">command_payloads</w:t>
            </w:r>
            <w:r>
              <w:t xml:space="preserve">,</w:t>
            </w:r>
            <w:r>
              <w:t xml:space="preserve"> </w:t>
            </w:r>
            <w:r>
              <w:rPr>
                <w:rStyle w:val="VerbatimChar"/>
              </w:rPr>
              <w:t xml:space="preserve">command_events</w:t>
            </w:r>
            <w:r>
              <w:t xml:space="preserve">,</w:t>
            </w:r>
            <w:r>
              <w:t xml:space="preserve"> </w:t>
            </w:r>
            <w:r>
              <w:rPr>
                <w:rStyle w:val="VerbatimChar"/>
              </w:rPr>
              <w:t xml:space="preserve">command_outputs</w:t>
            </w:r>
            <w:r>
              <w:t xml:space="preserve">,</w:t>
            </w:r>
            <w:r>
              <w:t xml:space="preserve"> </w:t>
            </w:r>
            <w:r>
              <w:rPr>
                <w:rStyle w:val="VerbatimChar"/>
              </w:rPr>
              <w:t xml:space="preserve">command_locks</w:t>
            </w:r>
          </w:p>
        </w:tc>
      </w:tr>
    </w:tbl>
    <w:bookmarkEnd w:id="34"/>
    <w:bookmarkEnd w:id="35"/>
    <w:bookmarkStart w:id="47" w:name="runtime-view"/>
    <w:p>
      <w:pPr>
        <w:pStyle w:val="Heading1"/>
      </w:pPr>
      <w:r>
        <w:rPr>
          <w:rStyle w:val="SectionNumber"/>
        </w:rPr>
        <w:t xml:space="preserve">6</w:t>
      </w:r>
      <w:r>
        <w:tab/>
      </w:r>
      <w:r>
        <w:t xml:space="preserve">Runtime view</w:t>
      </w:r>
    </w:p>
    <w:bookmarkStart w:id="39" w:name="confirming-an-order"/>
    <w:p>
      <w:pPr>
        <w:pStyle w:val="Heading2"/>
      </w:pPr>
      <w:r>
        <w:rPr>
          <w:rStyle w:val="SectionNumber"/>
        </w:rPr>
        <w:t xml:space="preserve">6.1</w:t>
      </w:r>
      <w:r>
        <w:tab/>
      </w:r>
      <w:r>
        <w:t xml:space="preserve">Confirming an order</w:t>
      </w:r>
    </w:p>
    <w:p>
      <w:pPr>
        <w:pStyle w:val="FirstParagraph"/>
      </w:pPr>
      <w:r>
        <w:t xml:space="preserve">Figure 1 shows the confirmation and what follows it.</w:t>
      </w:r>
    </w:p>
    <w:p>
      <w:pPr>
        <w:pStyle w:val="CaptionedFigure"/>
      </w:pPr>
      <w:r>
        <w:drawing>
          <wp:inline>
            <wp:extent cx="5334000" cy="2882713"/>
            <wp:effectExtent b="0" l="0" r="0" t="0"/>
            <wp:docPr descr="Sequence of an order confirmation" title="" id="37" name="Picture"/>
            <a:graphic>
              <a:graphicData uri="http://schemas.openxmlformats.org/drawingml/2006/picture">
                <pic:pic>
                  <pic:nvPicPr>
                    <pic:cNvPr descr="../diagrams/out/seq-confirm-order.png" id="38" name="Picture"/>
                    <pic:cNvPicPr>
                      <a:picLocks noChangeArrowheads="1" noChangeAspect="1"/>
                    </pic:cNvPicPr>
                  </pic:nvPicPr>
                  <pic:blipFill>
                    <a:blip r:embed="rId36"/>
                    <a:stretch>
                      <a:fillRect/>
                    </a:stretch>
                  </pic:blipFill>
                  <pic:spPr bwMode="auto">
                    <a:xfrm>
                      <a:off x="0" y="0"/>
                      <a:ext cx="5334000" cy="2882713"/>
                    </a:xfrm>
                    <a:prstGeom prst="rect">
                      <a:avLst/>
                    </a:prstGeom>
                    <a:noFill/>
                    <a:ln w="9525">
                      <a:noFill/>
                      <a:headEnd/>
                      <a:tailEnd/>
                    </a:ln>
                  </pic:spPr>
                </pic:pic>
              </a:graphicData>
            </a:graphic>
          </wp:inline>
        </w:drawing>
      </w:r>
    </w:p>
    <w:p>
      <w:pPr>
        <w:pStyle w:val="ImageCaption"/>
      </w:pPr>
      <w:r>
        <w:t xml:space="preserve">Sequence of an order confirmation</w:t>
      </w:r>
    </w:p>
    <w:p>
      <w:pPr>
        <w:pStyle w:val="BodyText"/>
      </w:pPr>
      <w:r>
        <w:t xml:space="preserve">Every check that can fail without cost runs before the transaction opens: whether mutations are enabled, whether the audit ledger and command store can be written, whether the server is a connected manager, and whether the application passes planning. Inside the transaction,</w:t>
      </w:r>
      <w:r>
        <w:t xml:space="preserve"> </w:t>
      </w:r>
      <w:r>
        <w:rPr>
          <w:rStyle w:val="VerbatimChar"/>
        </w:rPr>
        <w:t xml:space="preserve">lockPendingOrder</w:t>
      </w:r>
      <w:r>
        <w:t xml:space="preserve"> </w:t>
      </w:r>
      <w:r>
        <w:t xml:space="preserve">locks the order row and checks it is still pending, and only then is the wallet row locked. Every path that changes money follows the same rule: lock its own business row first, then the wallet row last. That row is the order when confirming, the project when refunding, and the new usage row when billing. Two such transactions may wait for the same wallet but do not hold each other’s rows; if the server aborts one anyway,</w:t>
      </w:r>
      <w:r>
        <w:t xml:space="preserve"> </w:t>
      </w:r>
      <w:r>
        <w:rPr>
          <w:rStyle w:val="VerbatimChar"/>
        </w:rPr>
        <w:t xml:space="preserve">WithTx</w:t>
      </w:r>
      <w:r>
        <w:t xml:space="preserve"> </w:t>
      </w:r>
      <w:r>
        <w:t xml:space="preserve">repeats it. The charge uses the idempotency key</w:t>
      </w:r>
      <w:r>
        <w:t xml:space="preserve"> </w:t>
      </w:r>
      <w:r>
        <w:rPr>
          <w:rStyle w:val="VerbatimChar"/>
        </w:rPr>
        <w:t xml:space="preserve">order-charge-&lt;id&gt;</w:t>
      </w:r>
      <w:r>
        <w:t xml:space="preserve"> </w:t>
      </w:r>
      <w:r>
        <w:t xml:space="preserve">and the command uses</w:t>
      </w:r>
      <w:r>
        <w:t xml:space="preserve"> </w:t>
      </w:r>
      <w:r>
        <w:rPr>
          <w:rStyle w:val="VerbatimChar"/>
        </w:rPr>
        <w:t xml:space="preserve">cloud-order-&lt;id&gt;</w:t>
      </w:r>
      <w:r>
        <w:t xml:space="preserve">, so a repeated confirmation neither charges nor queues twice.</w:t>
      </w:r>
    </w:p>
    <w:bookmarkEnd w:id="39"/>
    <w:bookmarkStart w:id="40" w:name="command-execution-and-retries"/>
    <w:p>
      <w:pPr>
        <w:pStyle w:val="Heading2"/>
      </w:pPr>
      <w:r>
        <w:rPr>
          <w:rStyle w:val="SectionNumber"/>
        </w:rPr>
        <w:t xml:space="preserve">6.2</w:t>
      </w:r>
      <w:r>
        <w:tab/>
      </w:r>
      <w:r>
        <w:t xml:space="preserve">Command execution and retries</w:t>
      </w:r>
    </w:p>
    <w:p>
      <w:pPr>
        <w:pStyle w:val="FirstParagraph"/>
      </w:pPr>
      <w:r>
        <w:t xml:space="preserve">The worker polls every 250 milliseconds.</w:t>
      </w:r>
      <w:r>
        <w:t xml:space="preserve"> </w:t>
      </w:r>
      <w:r>
        <w:rPr>
          <w:rStyle w:val="VerbatimChar"/>
        </w:rPr>
        <w:t xml:space="preserve">ClaimDue</w:t>
      </w:r>
      <w:r>
        <w:t xml:space="preserve"> </w:t>
      </w:r>
      <w:r>
        <w:t xml:space="preserve">claims nothing while another command is running. Otherwise it locks the oldest due command, ordered by</w:t>
      </w:r>
      <w:r>
        <w:t xml:space="preserve"> </w:t>
      </w:r>
      <w:r>
        <w:rPr>
          <w:rStyle w:val="VerbatimChar"/>
        </w:rPr>
        <w:t xml:space="preserve">created_at</w:t>
      </w:r>
      <w:r>
        <w:t xml:space="preserve"> </w:t>
      </w:r>
      <w:r>
        <w:t xml:space="preserve">and</w:t>
      </w:r>
      <w:r>
        <w:t xml:space="preserve"> </w:t>
      </w:r>
      <w:r>
        <w:rPr>
          <w:rStyle w:val="VerbatimChar"/>
        </w:rPr>
        <w:t xml:space="preserve">seq</w:t>
      </w:r>
      <w:r>
        <w:t xml:space="preserve">, with</w:t>
      </w:r>
      <w:r>
        <w:t xml:space="preserve"> </w:t>
      </w:r>
      <w:r>
        <w:rPr>
          <w:rStyle w:val="VerbatimChar"/>
        </w:rPr>
        <w:t xml:space="preserve">FOR UPDATE SKIP LOCKED</w:t>
      </w:r>
      <w:r>
        <w:t xml:space="preserve">. The worker executes it within a timeout: ten minutes for ordinary actions such as</w:t>
      </w:r>
      <w:r>
        <w:t xml:space="preserve"> </w:t>
      </w:r>
      <w:r>
        <w:rPr>
          <w:rStyle w:val="VerbatimChar"/>
        </w:rPr>
        <w:t xml:space="preserve">application.deploy</w:t>
      </w:r>
      <w:r>
        <w:t xml:space="preserve">, 35 minutes for image builds, and 50 minutes for source deployments and server readiness.</w:t>
      </w:r>
    </w:p>
    <w:p>
      <w:pPr>
        <w:pStyle w:val="BodyText"/>
      </w:pPr>
      <w:r>
        <w:t xml:space="preserve">A failure that is not marked permanent is retried with backoff until</w:t>
      </w:r>
      <w:r>
        <w:t xml:space="preserve"> </w:t>
      </w:r>
      <w:r>
        <w:rPr>
          <w:rStyle w:val="VerbatimChar"/>
        </w:rPr>
        <w:t xml:space="preserve">max_attempts</w:t>
      </w:r>
      <w:r>
        <w:t xml:space="preserve"> </w:t>
      </w:r>
      <w:r>
        <w:t xml:space="preserve">(three for deployments). After that the command moves to</w:t>
      </w:r>
      <w:r>
        <w:t xml:space="preserve"> </w:t>
      </w:r>
      <w:r>
        <w:rPr>
          <w:rStyle w:val="VerbatimChar"/>
        </w:rPr>
        <w:t xml:space="preserve">needs_attention</w:t>
      </w:r>
      <w:r>
        <w:t xml:space="preserve"> </w:t>
      </w:r>
      <w:r>
        <w:t xml:space="preserve">with a failure code, summary and recovery hint. Each transition is recorded as a</w:t>
      </w:r>
      <w:r>
        <w:t xml:space="preserve"> </w:t>
      </w:r>
      <w:r>
        <w:rPr>
          <w:rStyle w:val="VerbatimChar"/>
        </w:rPr>
        <w:t xml:space="preserve">command_events</w:t>
      </w:r>
      <w:r>
        <w:t xml:space="preserve"> </w:t>
      </w:r>
      <w:r>
        <w:t xml:space="preserve">row and passed to</w:t>
      </w:r>
      <w:r>
        <w:t xml:space="preserve"> </w:t>
      </w:r>
      <w:r>
        <w:rPr>
          <w:rStyle w:val="VerbatimChar"/>
        </w:rPr>
        <w:t xml:space="preserve">RecordCommandTransition</w:t>
      </w:r>
      <w:r>
        <w:t xml:space="preserve">, which informs the commerce service.</w:t>
      </w:r>
    </w:p>
    <w:bookmarkEnd w:id="40"/>
    <w:bookmarkStart w:id="44" w:name="hourly-billing-suspension-and-resumption"/>
    <w:p>
      <w:pPr>
        <w:pStyle w:val="Heading2"/>
      </w:pPr>
      <w:r>
        <w:rPr>
          <w:rStyle w:val="SectionNumber"/>
        </w:rPr>
        <w:t xml:space="preserve">6.3</w:t>
      </w:r>
      <w:r>
        <w:tab/>
      </w:r>
      <w:r>
        <w:t xml:space="preserve">Hourly billing, suspension and resumption</w:t>
      </w:r>
    </w:p>
    <w:p>
      <w:pPr>
        <w:pStyle w:val="FirstParagraph"/>
      </w:pPr>
      <w:r>
        <w:t xml:space="preserve">Figure 2 shows billing.</w:t>
      </w:r>
    </w:p>
    <w:p>
      <w:pPr>
        <w:pStyle w:val="CaptionedFigure"/>
      </w:pPr>
      <w:r>
        <w:drawing>
          <wp:inline>
            <wp:extent cx="5334000" cy="5922492"/>
            <wp:effectExtent b="0" l="0" r="0" t="0"/>
            <wp:docPr descr="Sequence of hourly billing" title="" id="42" name="Picture"/>
            <a:graphic>
              <a:graphicData uri="http://schemas.openxmlformats.org/drawingml/2006/picture">
                <pic:pic>
                  <pic:nvPicPr>
                    <pic:cNvPr descr="../diagrams/out/seq-billing.png" id="43" name="Picture"/>
                    <pic:cNvPicPr>
                      <a:picLocks noChangeArrowheads="1" noChangeAspect="1"/>
                    </pic:cNvPicPr>
                  </pic:nvPicPr>
                  <pic:blipFill>
                    <a:blip r:embed="rId41"/>
                    <a:stretch>
                      <a:fillRect/>
                    </a:stretch>
                  </pic:blipFill>
                  <pic:spPr bwMode="auto">
                    <a:xfrm>
                      <a:off x="0" y="0"/>
                      <a:ext cx="5334000" cy="5922492"/>
                    </a:xfrm>
                    <a:prstGeom prst="rect">
                      <a:avLst/>
                    </a:prstGeom>
                    <a:noFill/>
                    <a:ln w="9525">
                      <a:noFill/>
                      <a:headEnd/>
                      <a:tailEnd/>
                    </a:ln>
                  </pic:spPr>
                </pic:pic>
              </a:graphicData>
            </a:graphic>
          </wp:inline>
        </w:drawing>
      </w:r>
    </w:p>
    <w:p>
      <w:pPr>
        <w:pStyle w:val="ImageCaption"/>
      </w:pPr>
      <w:r>
        <w:t xml:space="preserve">Sequence of hourly billing</w:t>
      </w:r>
    </w:p>
    <w:p>
      <w:pPr>
        <w:pStyle w:val="BodyText"/>
      </w:pPr>
      <w:r>
        <w:t xml:space="preserve">The unique key on</w:t>
      </w:r>
      <w:r>
        <w:t xml:space="preserve"> </w:t>
      </w:r>
      <w:r>
        <w:rPr>
          <w:rStyle w:val="VerbatimChar"/>
        </w:rPr>
        <w:t xml:space="preserve">usage_records(project_id, period_start)</w:t>
      </w:r>
      <w:r>
        <w:t xml:space="preserve"> </w:t>
      </w:r>
      <w:r>
        <w:t xml:space="preserve">makes a second charge for the same hour impossible, even if two billing runs overlap. The monthly cap is checked against the sum of the month’s usage inside the same transaction. When a wallet cannot pay, the charge is rolled back, the project is suspended and a</w:t>
      </w:r>
      <w:r>
        <w:t xml:space="preserve"> </w:t>
      </w:r>
      <w:r>
        <w:rPr>
          <w:rStyle w:val="VerbatimChar"/>
        </w:rPr>
        <w:t xml:space="preserve">service.scale</w:t>
      </w:r>
      <w:r>
        <w:t xml:space="preserve"> </w:t>
      </w:r>
      <w:r>
        <w:t xml:space="preserve">command stops it. A top-up calls</w:t>
      </w:r>
      <w:r>
        <w:t xml:space="preserve"> </w:t>
      </w:r>
      <w:r>
        <w:rPr>
          <w:rStyle w:val="VerbatimChar"/>
        </w:rPr>
        <w:t xml:space="preserve">ResumeFundedProjects</w:t>
      </w:r>
      <w:r>
        <w:t xml:space="preserve">. That sets</w:t>
      </w:r>
      <w:r>
        <w:t xml:space="preserve"> </w:t>
      </w:r>
      <w:r>
        <w:rPr>
          <w:rStyle w:val="VerbatimChar"/>
        </w:rPr>
        <w:t xml:space="preserve">billing_resumed_at</w:t>
      </w:r>
      <w:r>
        <w:t xml:space="preserve">, so billing restarts from the resumption and never charges the suspended hours.</w:t>
      </w:r>
    </w:p>
    <w:bookmarkEnd w:id="44"/>
    <w:bookmarkStart w:id="45" w:name="X02212f1a3d3e3493cbb6c051fd1510ae9da0845"/>
    <w:p>
      <w:pPr>
        <w:pStyle w:val="Heading2"/>
      </w:pPr>
      <w:r>
        <w:rPr>
          <w:rStyle w:val="SectionNumber"/>
        </w:rPr>
        <w:t xml:space="preserve">6.4</w:t>
      </w:r>
      <w:r>
        <w:tab/>
      </w:r>
      <w:r>
        <w:t xml:space="preserve">Storefront sign-in and request protection</w:t>
      </w:r>
    </w:p>
    <w:p>
      <w:pPr>
        <w:pStyle w:val="FirstParagraph"/>
      </w:pPr>
      <w:r>
        <w:t xml:space="preserve">Sign-in creates a session row holding the SHA-256 hash of the session token and a random CSRF token. The browser receives the token only in the HttpOnly cookie and the CSRF token in the response body. Every change sends the CSRF token in a header, compared in constant time. After eight failed attempts for a key within fifteen minutes, sign-in is refused. If a change is refused because the page holds an outdated CSRF token (for example after signing in from another tab), the storefront reads the current session once and repeats the change with the same idempotency key.</w:t>
      </w:r>
    </w:p>
    <w:bookmarkEnd w:id="45"/>
    <w:bookmarkStart w:id="46" w:name="start-up-and-schema-migration"/>
    <w:p>
      <w:pPr>
        <w:pStyle w:val="Heading2"/>
      </w:pPr>
      <w:r>
        <w:rPr>
          <w:rStyle w:val="SectionNumber"/>
        </w:rPr>
        <w:t xml:space="preserve">6.5</w:t>
      </w:r>
      <w:r>
        <w:tab/>
      </w:r>
      <w:r>
        <w:t xml:space="preserve">Start-up and schema migration</w:t>
      </w:r>
    </w:p>
    <w:p>
      <w:pPr>
        <w:pStyle w:val="FirstParagraph"/>
      </w:pPr>
      <w:r>
        <w:t xml:space="preserve">At start-up Core opens the database and runs</w:t>
      </w:r>
      <w:r>
        <w:t xml:space="preserve"> </w:t>
      </w:r>
      <w:r>
        <w:rPr>
          <w:rStyle w:val="VerbatimChar"/>
        </w:rPr>
        <w:t xml:space="preserve">Migrate</w:t>
      </w:r>
      <w:r>
        <w:t xml:space="preserve">. It takes the named lock</w:t>
      </w:r>
      <w:r>
        <w:t xml:space="preserve"> </w:t>
      </w:r>
      <w:r>
        <w:rPr>
          <w:rStyle w:val="VerbatimChar"/>
        </w:rPr>
        <w:t xml:space="preserve">swarmops_schema_migrations</w:t>
      </w:r>
      <w:r>
        <w:t xml:space="preserve"> </w:t>
      </w:r>
      <w:r>
        <w:t xml:space="preserve">with</w:t>
      </w:r>
      <w:r>
        <w:t xml:space="preserve"> </w:t>
      </w:r>
      <w:r>
        <w:rPr>
          <w:rStyle w:val="VerbatimChar"/>
        </w:rPr>
        <w:t xml:space="preserve">GET_LOCK</w:t>
      </w:r>
      <w:r>
        <w:t xml:space="preserve"> </w:t>
      </w:r>
      <w:r>
        <w:t xml:space="preserve">(waiting up to 60 seconds), checks that applied versions are contiguous and that their checksums match the embedded files, and applies the missing migrations in order. Only then are the stores constructed. The active core recovers interrupted commands and starts the worker and the five-minute billing loop.</w:t>
      </w:r>
    </w:p>
    <w:bookmarkEnd w:id="46"/>
    <w:bookmarkEnd w:id="47"/>
    <w:bookmarkStart w:id="48" w:name="deployment-view"/>
    <w:p>
      <w:pPr>
        <w:pStyle w:val="Heading1"/>
      </w:pPr>
      <w:r>
        <w:rPr>
          <w:rStyle w:val="SectionNumber"/>
        </w:rPr>
        <w:t xml:space="preserve">7</w:t>
      </w:r>
      <w:r>
        <w:tab/>
      </w:r>
      <w:r>
        <w:t xml:space="preserve">Deployment view</w:t>
      </w:r>
    </w:p>
    <w:p>
      <w:pPr>
        <w:pStyle w:val="FirstParagraph"/>
      </w:pPr>
      <w:r>
        <w:t xml:space="preserve">Figures 7 and 8 of the C4 Architecture Model show the intended production deployment and the environment used for verification. Production configuration is read from files:</w:t>
      </w:r>
    </w:p>
    <w:p>
      <w:pPr>
        <w:pStyle w:val="TableCaption"/>
      </w:pPr>
      <w:r>
        <w:t xml:space="preserve">Deployment configuration</w:t>
      </w:r>
    </w:p>
    <w:tbl>
      <w:tblPr>
        <w:tblStyle w:val="Table"/>
        <w:tblW w:type="pct" w:w="5000"/>
        <w:tblLayout w:type="fixed"/>
        <w:tblLook w:firstRow="1" w:lastRow="0" w:firstColumn="0" w:lastColumn="0" w:noHBand="0" w:noVBand="0" w:val="0020"/>
        <w:tblCaption w:val="Deployment configuration"/>
      </w:tblPr>
      <w:tblGrid>
        <w:gridCol w:w="3960"/>
        <w:gridCol w:w="3960"/>
      </w:tblGrid>
      <w:tr>
        <w:trPr>
          <w:tblHeader w:val="on"/>
        </w:trPr>
        <w:tc>
          <w:tcPr/>
          <w:p>
            <w:pPr>
              <w:pStyle w:val="Compact"/>
            </w:pPr>
            <w:r>
              <w:t xml:space="preserve">Setting</w:t>
            </w:r>
          </w:p>
        </w:tc>
        <w:tc>
          <w:tcPr/>
          <w:p>
            <w:pPr>
              <w:pStyle w:val="Compact"/>
            </w:pPr>
            <w:r>
              <w:t xml:space="preserve">Purpose</w:t>
            </w:r>
          </w:p>
        </w:tc>
      </w:tr>
      <w:tr>
        <w:tc>
          <w:tcPr/>
          <w:p>
            <w:pPr>
              <w:pStyle w:val="Compact"/>
            </w:pPr>
            <w:r>
              <w:rPr>
                <w:rStyle w:val="VerbatimChar"/>
              </w:rPr>
              <w:t xml:space="preserve">SWARMOPS_DATABASE_DSN_FILE</w:t>
            </w:r>
          </w:p>
        </w:tc>
        <w:tc>
          <w:tcPr/>
          <w:p>
            <w:pPr>
              <w:pStyle w:val="Compact"/>
            </w:pPr>
            <w:r>
              <w:t xml:space="preserve">Protected file holding the DSN.</w:t>
            </w:r>
          </w:p>
        </w:tc>
      </w:tr>
      <w:tr>
        <w:tc>
          <w:tcPr/>
          <w:p>
            <w:pPr>
              <w:pStyle w:val="Compact"/>
            </w:pPr>
            <w:r>
              <w:rPr>
                <w:rStyle w:val="VerbatimChar"/>
              </w:rPr>
              <w:t xml:space="preserve">SWARMOPS_DATABASE_MAX_OPEN_CONNS</w:t>
            </w:r>
          </w:p>
        </w:tc>
        <w:tc>
          <w:tcPr/>
          <w:p>
            <w:pPr>
              <w:pStyle w:val="Compact"/>
            </w:pPr>
            <w:r>
              <w:t xml:space="preserve">Upper bound of the connection pool.</w:t>
            </w:r>
          </w:p>
        </w:tc>
      </w:tr>
      <w:tr>
        <w:tc>
          <w:tcPr/>
          <w:p>
            <w:pPr>
              <w:pStyle w:val="Compact"/>
            </w:pPr>
            <w:r>
              <w:t xml:space="preserve">Data-key and session-key files</w:t>
            </w:r>
          </w:p>
        </w:tc>
        <w:tc>
          <w:tcPr/>
          <w:p>
            <w:pPr>
              <w:pStyle w:val="Compact"/>
            </w:pPr>
            <w:r>
              <w:t xml:space="preserve">Encryption of secret columns and signing of operator sessions.</w:t>
            </w:r>
          </w:p>
        </w:tc>
      </w:tr>
      <w:tr>
        <w:tc>
          <w:tcPr/>
          <w:p>
            <w:pPr>
              <w:pStyle w:val="Compact"/>
            </w:pPr>
            <w:r>
              <w:rPr>
                <w:rStyle w:val="VerbatimChar"/>
              </w:rPr>
              <w:t xml:space="preserve">swarmops_database_dsn</w:t>
            </w:r>
            <w:r>
              <w:t xml:space="preserve"> </w:t>
            </w:r>
            <w:r>
              <w:t xml:space="preserve">Swarm secret</w:t>
            </w:r>
          </w:p>
        </w:tc>
        <w:tc>
          <w:tcPr/>
          <w:p>
            <w:pPr>
              <w:pStyle w:val="Compact"/>
            </w:pPr>
            <w:r>
              <w:t xml:space="preserve">The same DSN when Core runs as a Swarm service (</w:t>
            </w:r>
            <w:r>
              <w:rPr>
                <w:rStyle w:val="VerbatimChar"/>
              </w:rPr>
              <w:t xml:space="preserve">deploy/stacks/swarmops.yml</w:t>
            </w:r>
            <w:r>
              <w:t xml:space="preserve">).</w:t>
            </w:r>
          </w:p>
        </w:tc>
      </w:tr>
    </w:tbl>
    <w:p>
      <w:pPr>
        <w:pStyle w:val="BodyText"/>
      </w:pPr>
      <w:r>
        <w:t xml:space="preserve">Backups are taken with</w:t>
      </w:r>
      <w:r>
        <w:t xml:space="preserve"> </w:t>
      </w:r>
      <w:r>
        <w:rPr>
          <w:rStyle w:val="VerbatimChar"/>
        </w:rPr>
        <w:t xml:space="preserve">mysqldump --single-transaction</w:t>
      </w:r>
      <w:r>
        <w:t xml:space="preserve">, which gives a consistent InnoDB snapshot without blocking writers. Because secret columns are encrypted with a key that is not in the database, a backup must be stored together with a separately protected copy of that key. The Installation and Operations Guide describes backup, restore and upgrade.</w:t>
      </w:r>
    </w:p>
    <w:bookmarkEnd w:id="48"/>
    <w:bookmarkStart w:id="57" w:name="cross-cutting-concepts"/>
    <w:p>
      <w:pPr>
        <w:pStyle w:val="Heading1"/>
      </w:pPr>
      <w:r>
        <w:rPr>
          <w:rStyle w:val="SectionNumber"/>
        </w:rPr>
        <w:t xml:space="preserve">8</w:t>
      </w:r>
      <w:r>
        <w:tab/>
      </w:r>
      <w:r>
        <w:t xml:space="preserve">Cross-cutting concepts</w:t>
      </w:r>
    </w:p>
    <w:bookmarkStart w:id="49" w:name="persistence-and-transactions"/>
    <w:p>
      <w:pPr>
        <w:pStyle w:val="Heading2"/>
      </w:pPr>
      <w:r>
        <w:rPr>
          <w:rStyle w:val="SectionNumber"/>
        </w:rPr>
        <w:t xml:space="preserve">8.1</w:t>
      </w:r>
      <w:r>
        <w:tab/>
      </w:r>
      <w:r>
        <w:t xml:space="preserve">Persistence and transactions</w:t>
      </w:r>
    </w:p>
    <w:p>
      <w:pPr>
        <w:pStyle w:val="FirstParagraph"/>
      </w:pPr>
      <w:r>
        <w:t xml:space="preserve">All writes that belong together run in</w:t>
      </w:r>
      <w:r>
        <w:t xml:space="preserve"> </w:t>
      </w:r>
      <w:r>
        <w:rPr>
          <w:rStyle w:val="VerbatimChar"/>
        </w:rPr>
        <w:t xml:space="preserve">sqlstore.DB.WithTx</w:t>
      </w:r>
      <w:r>
        <w:t xml:space="preserve">, at READ COMMITTED isolation. READ COMMITTED was chosen over the InnoDB default of REPEATABLE READ because the code locks the rows it reads for update explicitly. It avoids REPEATABLE READ’s gap locks on range reads, which would serialise unrelated inserts such as usage rows for different projects. A transaction aborted with error 1213 (deadlock) or 1205 (lock-wait timeout) is re-run up to four attempts in total, waiting attempt² × 15 ms between attempts; the whole function is repeated, so partial effects cannot leak.</w:t>
      </w:r>
    </w:p>
    <w:bookmarkEnd w:id="49"/>
    <w:bookmarkStart w:id="50" w:name="portability-between-mariadb-and-mysql"/>
    <w:p>
      <w:pPr>
        <w:pStyle w:val="Heading2"/>
      </w:pPr>
      <w:r>
        <w:rPr>
          <w:rStyle w:val="SectionNumber"/>
        </w:rPr>
        <w:t xml:space="preserve">8.2</w:t>
      </w:r>
      <w:r>
        <w:tab/>
      </w:r>
      <w:r>
        <w:t xml:space="preserve">Portability between MariaDB and MySQL</w:t>
      </w:r>
    </w:p>
    <w:p>
      <w:pPr>
        <w:pStyle w:val="FirstParagraph"/>
      </w:pPr>
      <w:r>
        <w:t xml:space="preserve">Only features present in both engines are used. Two differences affected the implementation:</w:t>
      </w:r>
    </w:p>
    <w:p>
      <w:pPr>
        <w:pStyle w:val="Compact"/>
        <w:numPr>
          <w:ilvl w:val="0"/>
          <w:numId w:val="1004"/>
        </w:numPr>
      </w:pPr>
      <w:r>
        <w:rPr>
          <w:rStyle w:val="VerbatimChar"/>
        </w:rPr>
        <w:t xml:space="preserve">sensitive</w:t>
      </w:r>
      <w:r>
        <w:t xml:space="preserve"> </w:t>
      </w:r>
      <w:r>
        <w:t xml:space="preserve">is a reserved word in both, so the column is named</w:t>
      </w:r>
      <w:r>
        <w:t xml:space="preserve"> </w:t>
      </w:r>
      <w:r>
        <w:rPr>
          <w:rStyle w:val="VerbatimChar"/>
        </w:rPr>
        <w:t xml:space="preserve">is_sensitive</w:t>
      </w:r>
      <w:r>
        <w:t xml:space="preserve">.</w:t>
      </w:r>
    </w:p>
    <w:p>
      <w:pPr>
        <w:pStyle w:val="Compact"/>
        <w:numPr>
          <w:ilvl w:val="0"/>
          <w:numId w:val="1004"/>
        </w:numPr>
      </w:pPr>
      <w:r>
        <w:t xml:space="preserve">The CHECK-violation error number differs (3819 in MySQL, 4025 in MariaDB), so</w:t>
      </w:r>
      <w:r>
        <w:t xml:space="preserve"> </w:t>
      </w:r>
      <w:r>
        <w:rPr>
          <w:rStyle w:val="VerbatimChar"/>
        </w:rPr>
        <w:t xml:space="preserve">sqlstore.IsCheckViolation</w:t>
      </w:r>
      <w:r>
        <w:t xml:space="preserve"> </w:t>
      </w:r>
      <w:r>
        <w:t xml:space="preserve">recognises both.</w:t>
      </w:r>
    </w:p>
    <w:p>
      <w:pPr>
        <w:pStyle w:val="FirstParagraph"/>
      </w:pPr>
      <w:r>
        <w:t xml:space="preserve">Datetimes are stored as</w:t>
      </w:r>
      <w:r>
        <w:t xml:space="preserve"> </w:t>
      </w:r>
      <w:r>
        <w:rPr>
          <w:rStyle w:val="VerbatimChar"/>
        </w:rPr>
        <w:t xml:space="preserve">DATETIME(6)</w:t>
      </w:r>
      <w:r>
        <w:t xml:space="preserve"> </w:t>
      </w:r>
      <w:r>
        <w:t xml:space="preserve">in UTC, and imported times are truncated to microseconds so values compare equal on both engines.</w:t>
      </w:r>
    </w:p>
    <w:bookmarkEnd w:id="50"/>
    <w:bookmarkStart w:id="51" w:name="money"/>
    <w:p>
      <w:pPr>
        <w:pStyle w:val="Heading2"/>
      </w:pPr>
      <w:r>
        <w:rPr>
          <w:rStyle w:val="SectionNumber"/>
        </w:rPr>
        <w:t xml:space="preserve">8.3</w:t>
      </w:r>
      <w:r>
        <w:tab/>
      </w:r>
      <w:r>
        <w:t xml:space="preserve">Money</w:t>
      </w:r>
    </w:p>
    <w:p>
      <w:pPr>
        <w:pStyle w:val="Compact"/>
        <w:numPr>
          <w:ilvl w:val="0"/>
          <w:numId w:val="1005"/>
        </w:numPr>
      </w:pPr>
      <w:r>
        <w:rPr>
          <w:b/>
          <w:bCs/>
        </w:rPr>
        <w:t xml:space="preserve">Units.</w:t>
      </w:r>
      <w:r>
        <w:t xml:space="preserve"> </w:t>
      </w:r>
      <w:r>
        <w:t xml:space="preserve">Amounts are integers in rials, shown in tomans.</w:t>
      </w:r>
    </w:p>
    <w:p>
      <w:pPr>
        <w:pStyle w:val="Compact"/>
        <w:numPr>
          <w:ilvl w:val="0"/>
          <w:numId w:val="1005"/>
        </w:numPr>
      </w:pPr>
      <w:r>
        <w:rPr>
          <w:b/>
          <w:bCs/>
        </w:rPr>
        <w:t xml:space="preserve">The ledger.</w:t>
      </w:r>
      <w:r>
        <w:t xml:space="preserve"> </w:t>
      </w:r>
      <w:r>
        <w:t xml:space="preserve">Every change is a</w:t>
      </w:r>
      <w:r>
        <w:t xml:space="preserve"> </w:t>
      </w:r>
      <w:r>
        <w:rPr>
          <w:rStyle w:val="VerbatimChar"/>
        </w:rPr>
        <w:t xml:space="preserve">wallet_transactions</w:t>
      </w:r>
      <w:r>
        <w:t xml:space="preserve"> </w:t>
      </w:r>
      <w:r>
        <w:t xml:space="preserve">row carrying a kind, signed amount, resulting balance, reference and optional idempotency key.</w:t>
      </w:r>
      <w:r>
        <w:t xml:space="preserve"> </w:t>
      </w:r>
      <w:r>
        <w:rPr>
          <w:rStyle w:val="VerbatimChar"/>
        </w:rPr>
        <w:t xml:space="preserve">UNIQUE(user_id, idempotency_key)</w:t>
      </w:r>
      <w:r>
        <w:t xml:space="preserve"> </w:t>
      </w:r>
      <w:r>
        <w:t xml:space="preserve">makes retries safe. The cached</w:t>
      </w:r>
      <w:r>
        <w:t xml:space="preserve"> </w:t>
      </w:r>
      <w:r>
        <w:rPr>
          <w:rStyle w:val="VerbatimChar"/>
        </w:rPr>
        <w:t xml:space="preserve">wallets.balance_rial</w:t>
      </w:r>
      <w:r>
        <w:t xml:space="preserve"> </w:t>
      </w:r>
      <w:r>
        <w:t xml:space="preserve">is updated in the same transaction as the row, under the wallet row lock, and</w:t>
      </w:r>
      <w:r>
        <w:t xml:space="preserve"> </w:t>
      </w:r>
      <w:r>
        <w:rPr>
          <w:rStyle w:val="VerbatimChar"/>
        </w:rPr>
        <w:t xml:space="preserve">CHECK (balance_rial &gt;= 0)</w:t>
      </w:r>
      <w:r>
        <w:t xml:space="preserve"> </w:t>
      </w:r>
      <w:r>
        <w:t xml:space="preserve">forbids overdraft. The console verifies that the balance equals the sum of the ledger.</w:t>
      </w:r>
    </w:p>
    <w:p>
      <w:pPr>
        <w:pStyle w:val="Compact"/>
        <w:numPr>
          <w:ilvl w:val="0"/>
          <w:numId w:val="1005"/>
        </w:numPr>
      </w:pPr>
      <w:r>
        <w:rPr>
          <w:b/>
          <w:bCs/>
        </w:rPr>
        <w:t xml:space="preserve">Denormalisation.</w:t>
      </w:r>
      <w:r>
        <w:t xml:space="preserve"> </w:t>
      </w:r>
      <w:r>
        <w:t xml:space="preserve">Keeping a cached balance is a deliberate step away from strict normal form. It keeps the balance check a single-row read under a lock, instead of a sum over a growing ledger. The ledger remains the authority.</w:t>
      </w:r>
    </w:p>
    <w:p>
      <w:pPr>
        <w:pStyle w:val="Compact"/>
        <w:numPr>
          <w:ilvl w:val="0"/>
          <w:numId w:val="1005"/>
        </w:numPr>
      </w:pPr>
      <w:r>
        <w:rPr>
          <w:b/>
          <w:bCs/>
        </w:rPr>
        <w:t xml:space="preserve">Tax.</w:t>
      </w:r>
      <w:r>
        <w:t xml:space="preserve"> </w:t>
      </w:r>
      <w:r>
        <w:t xml:space="preserve">Prices include tax. The tax in a total</w:t>
      </w:r>
      <w:r>
        <w:t xml:space="preserve"> </w:t>
      </w:r>
      <w:r>
        <w:rPr>
          <w:i/>
          <w:iCs/>
        </w:rPr>
        <w:t xml:space="preserve">T</w:t>
      </w:r>
      <w:r>
        <w:t xml:space="preserve"> </w:t>
      </w:r>
      <w:r>
        <w:t xml:space="preserve">at rate</w:t>
      </w:r>
      <w:r>
        <w:t xml:space="preserve"> </w:t>
      </w:r>
      <w:r>
        <w:rPr>
          <w:i/>
          <w:iCs/>
        </w:rPr>
        <w:t xml:space="preserve">r</w:t>
      </w:r>
      <w:r>
        <w:t xml:space="preserve"> </w:t>
      </w:r>
      <w:r>
        <w:t xml:space="preserve">basis points is</w:t>
      </w:r>
      <w:r>
        <w:t xml:space="preserve"> </w:t>
      </w:r>
      <w:r>
        <w:rPr>
          <w:i/>
          <w:iCs/>
        </w:rPr>
        <w:t xml:space="preserve">T</w:t>
      </w:r>
      <w:r>
        <w:t xml:space="preserve">·</w:t>
      </w:r>
      <w:r>
        <w:rPr>
          <w:i/>
          <w:iCs/>
        </w:rPr>
        <w:t xml:space="preserve">r</w:t>
      </w:r>
      <w:r>
        <w:t xml:space="preserve">/(10000 +</w:t>
      </w:r>
      <w:r>
        <w:t xml:space="preserve"> </w:t>
      </w:r>
      <w:r>
        <w:rPr>
          <w:i/>
          <w:iCs/>
        </w:rPr>
        <w:t xml:space="preserve">r</w:t>
      </w:r>
      <w:r>
        <w:t xml:space="preserve">), rounded down, and the invoice’s subtotal is</w:t>
      </w:r>
      <w:r>
        <w:t xml:space="preserve"> </w:t>
      </w:r>
      <w:r>
        <w:rPr>
          <w:i/>
          <w:iCs/>
        </w:rPr>
        <w:t xml:space="preserve">T</w:t>
      </w:r>
      <w:r>
        <w:t xml:space="preserve"> </w:t>
      </w:r>
      <w:r>
        <w:t xml:space="preserve">minus that tax.</w:t>
      </w:r>
    </w:p>
    <w:bookmarkEnd w:id="51"/>
    <w:bookmarkStart w:id="52" w:name="security"/>
    <w:p>
      <w:pPr>
        <w:pStyle w:val="Heading2"/>
      </w:pPr>
      <w:r>
        <w:rPr>
          <w:rStyle w:val="SectionNumber"/>
        </w:rPr>
        <w:t xml:space="preserve">8.4</w:t>
      </w:r>
      <w:r>
        <w:tab/>
      </w:r>
      <w:r>
        <w:t xml:space="preserve">Security</w:t>
      </w:r>
    </w:p>
    <w:p>
      <w:pPr>
        <w:pStyle w:val="Compact"/>
        <w:numPr>
          <w:ilvl w:val="0"/>
          <w:numId w:val="1006"/>
        </w:numPr>
      </w:pPr>
      <w:r>
        <w:rPr>
          <w:b/>
          <w:bCs/>
        </w:rPr>
        <w:t xml:space="preserve">Customers.</w:t>
      </w:r>
      <w:r>
        <w:t xml:space="preserve"> </w:t>
      </w:r>
      <w:r>
        <w:t xml:space="preserve">Passwords are stored as bcrypt hashes (cost 12). An unknown email is checked against a dummy hash so its response time matches a wrong password. Sessions are stored as token hashes, never tokens. Cookies are HttpOnly, SameSite=Strict and Secure when configured. Changes require a CSRF token.</w:t>
      </w:r>
    </w:p>
    <w:p>
      <w:pPr>
        <w:pStyle w:val="Compact"/>
        <w:numPr>
          <w:ilvl w:val="0"/>
          <w:numId w:val="1006"/>
        </w:numPr>
      </w:pPr>
      <w:r>
        <w:rPr>
          <w:b/>
          <w:bCs/>
        </w:rPr>
        <w:t xml:space="preserve">Isolation.</w:t>
      </w:r>
      <w:r>
        <w:t xml:space="preserve"> </w:t>
      </w:r>
      <w:r>
        <w:t xml:space="preserve">Every customer query is scoped by the session’s user id. Administration routes accept only operator sessions.</w:t>
      </w:r>
    </w:p>
    <w:p>
      <w:pPr>
        <w:pStyle w:val="Compact"/>
        <w:numPr>
          <w:ilvl w:val="0"/>
          <w:numId w:val="1006"/>
        </w:numPr>
      </w:pPr>
      <w:r>
        <w:rPr>
          <w:b/>
          <w:bCs/>
        </w:rPr>
        <w:t xml:space="preserve">Secrets.</w:t>
      </w:r>
      <w:r>
        <w:t xml:space="preserve"> </w:t>
      </w:r>
      <w:r>
        <w:t xml:space="preserve">Secret columns are sealed with AES-GCM. The associated data</w:t>
      </w:r>
      <w:r>
        <w:t xml:space="preserve"> </w:t>
      </w:r>
      <w:r>
        <w:rPr>
          <w:rStyle w:val="VerbatimChar"/>
        </w:rPr>
        <w:t xml:space="preserve">swarmops-sql:&lt;table&gt;.&lt;column&gt;:&lt;keys&gt;</w:t>
      </w:r>
      <w:r>
        <w:t xml:space="preserve"> </w:t>
      </w:r>
      <w:r>
        <w:t xml:space="preserve">binds each ciphertext to its row, so a value copied elsewhere fails to open.</w:t>
      </w:r>
    </w:p>
    <w:p>
      <w:pPr>
        <w:pStyle w:val="Compact"/>
        <w:numPr>
          <w:ilvl w:val="0"/>
          <w:numId w:val="1006"/>
        </w:numPr>
      </w:pPr>
      <w:r>
        <w:rPr>
          <w:b/>
          <w:bCs/>
        </w:rPr>
        <w:t xml:space="preserve">Audit.</w:t>
      </w:r>
      <w:r>
        <w:t xml:space="preserve"> </w:t>
      </w:r>
      <w:r>
        <w:t xml:space="preserve">Commerce events are written to the audit ledger with the actor:</w:t>
      </w:r>
    </w:p>
    <w:p>
      <w:pPr>
        <w:pStyle w:val="Compact"/>
        <w:numPr>
          <w:ilvl w:val="1"/>
          <w:numId w:val="1007"/>
        </w:numPr>
      </w:pPr>
      <w:r>
        <w:t xml:space="preserve">by customers: registrations, top-ups and placed orders;</w:t>
      </w:r>
    </w:p>
    <w:p>
      <w:pPr>
        <w:pStyle w:val="Compact"/>
        <w:numPr>
          <w:ilvl w:val="1"/>
          <w:numId w:val="1007"/>
        </w:numPr>
      </w:pPr>
      <w:r>
        <w:t xml:space="preserve">by administrators: order confirmations (with the queued command) and rejections, wallet adjustments, customer status changes, plan changes, invoice issuing and on-demand billing runs.</w:t>
      </w:r>
    </w:p>
    <w:p>
      <w:pPr>
        <w:pStyle w:val="Compact"/>
        <w:numPr>
          <w:ilvl w:val="0"/>
          <w:numId w:val="1006"/>
        </w:numPr>
      </w:pPr>
      <w:r>
        <w:rPr>
          <w:b/>
          <w:bCs/>
        </w:rPr>
        <w:t xml:space="preserve">Confirmations.</w:t>
      </w:r>
      <w:r>
        <w:t xml:space="preserve"> </w:t>
      </w:r>
      <w:r>
        <w:t xml:space="preserve">Costly or destructive console actions require typing a phrase such as</w:t>
      </w:r>
      <w:r>
        <w:t xml:space="preserve"> </w:t>
      </w:r>
      <w:r>
        <w:rPr>
          <w:rStyle w:val="VerbatimChar"/>
        </w:rPr>
        <w:t xml:space="preserve">CONFIRM_ORDER_3</w:t>
      </w:r>
      <w:r>
        <w:t xml:space="preserve">.</w:t>
      </w:r>
    </w:p>
    <w:bookmarkEnd w:id="52"/>
    <w:bookmarkStart w:id="53" w:name="concurrency-and-ownership"/>
    <w:p>
      <w:pPr>
        <w:pStyle w:val="Heading2"/>
      </w:pPr>
      <w:r>
        <w:rPr>
          <w:rStyle w:val="SectionNumber"/>
        </w:rPr>
        <w:t xml:space="preserve">8.5</w:t>
      </w:r>
      <w:r>
        <w:tab/>
      </w:r>
      <w:r>
        <w:t xml:space="preserve">Concurrency and ownership</w:t>
      </w:r>
    </w:p>
    <w:p>
      <w:pPr>
        <w:pStyle w:val="FirstParagraph"/>
      </w:pPr>
      <w:r>
        <w:t xml:space="preserve">Row locks replace the in-process mutexes the snapshot stores used, so correctness no longer depends on there being one process. Work with a single owner locks a singleton row:</w:t>
      </w:r>
      <w:r>
        <w:t xml:space="preserve"> </w:t>
      </w:r>
      <w:r>
        <w:rPr>
          <w:rStyle w:val="VerbatimChar"/>
        </w:rPr>
        <w:t xml:space="preserve">core_authority</w:t>
      </w:r>
      <w:r>
        <w:t xml:space="preserve"> </w:t>
      </w:r>
      <w:r>
        <w:t xml:space="preserve">for the core topology and its authority epoch, and</w:t>
      </w:r>
      <w:r>
        <w:t xml:space="preserve"> </w:t>
      </w:r>
      <w:r>
        <w:rPr>
          <w:rStyle w:val="VerbatimChar"/>
        </w:rPr>
        <w:t xml:space="preserve">agent_ca</w:t>
      </w:r>
      <w:r>
        <w:t xml:space="preserve"> </w:t>
      </w:r>
      <w:r>
        <w:t xml:space="preserve">for the agent certificate authority. Named commands are serialised by upserting a row in</w:t>
      </w:r>
      <w:r>
        <w:t xml:space="preserve"> </w:t>
      </w:r>
      <w:r>
        <w:rPr>
          <w:rStyle w:val="VerbatimChar"/>
        </w:rPr>
        <w:t xml:space="preserve">command_locks</w:t>
      </w:r>
      <w:r>
        <w:t xml:space="preserve">. Only the active core recovers commands, executes them and bills.</w:t>
      </w:r>
    </w:p>
    <w:bookmarkEnd w:id="53"/>
    <w:bookmarkStart w:id="54" w:name="error-handling"/>
    <w:p>
      <w:pPr>
        <w:pStyle w:val="Heading2"/>
      </w:pPr>
      <w:r>
        <w:rPr>
          <w:rStyle w:val="SectionNumber"/>
        </w:rPr>
        <w:t xml:space="preserve">8.6</w:t>
      </w:r>
      <w:r>
        <w:tab/>
      </w:r>
      <w:r>
        <w:t xml:space="preserve">Error handling</w:t>
      </w:r>
    </w:p>
    <w:p>
      <w:pPr>
        <w:pStyle w:val="FirstParagraph"/>
      </w:pPr>
      <w:r>
        <w:t xml:space="preserve">Commerce errors are mapped to HTTP responses in one place (</w:t>
      </w:r>
      <w:r>
        <w:rPr>
          <w:rStyle w:val="VerbatimChar"/>
        </w:rPr>
        <w:t xml:space="preserve">cloudError</w:t>
      </w:r>
      <w:r>
        <w:t xml:space="preserve">):</w:t>
      </w:r>
    </w:p>
    <w:p>
      <w:pPr>
        <w:pStyle w:val="TableCaption"/>
      </w:pPr>
      <w:r>
        <w:t xml:space="preserve">Error mapping</w:t>
      </w:r>
    </w:p>
    <w:tbl>
      <w:tblPr>
        <w:tblStyle w:val="Table"/>
        <w:tblW w:type="pct" w:w="5000"/>
        <w:tblLayout w:type="fixed"/>
        <w:tblLook w:firstRow="1" w:lastRow="0" w:firstColumn="0" w:lastColumn="0" w:noHBand="0" w:noVBand="0" w:val="0020"/>
        <w:tblCaption w:val="Error mapping"/>
      </w:tblPr>
      <w:tblGrid>
        <w:gridCol w:w="2640"/>
        <w:gridCol w:w="2640"/>
        <w:gridCol w:w="2640"/>
      </w:tblGrid>
      <w:tr>
        <w:trPr>
          <w:tblHeader w:val="on"/>
        </w:trPr>
        <w:tc>
          <w:tcPr/>
          <w:p>
            <w:pPr>
              <w:pStyle w:val="Compact"/>
            </w:pPr>
            <w:r>
              <w:t xml:space="preserve">Error</w:t>
            </w:r>
          </w:p>
        </w:tc>
        <w:tc>
          <w:tcPr/>
          <w:p>
            <w:pPr>
              <w:pStyle w:val="Compact"/>
            </w:pPr>
            <w:r>
              <w:t xml:space="preserve">Status</w:t>
            </w:r>
          </w:p>
        </w:tc>
        <w:tc>
          <w:tcPr/>
          <w:p>
            <w:pPr>
              <w:pStyle w:val="Compact"/>
            </w:pPr>
            <w:r>
              <w:t xml:space="preserve">Body</w:t>
            </w:r>
          </w:p>
        </w:tc>
      </w:tr>
      <w:tr>
        <w:tc>
          <w:tcPr/>
          <w:p>
            <w:pPr>
              <w:pStyle w:val="Compact"/>
            </w:pPr>
            <w:r>
              <w:t xml:space="preserve">Validation</w:t>
            </w:r>
          </w:p>
        </w:tc>
        <w:tc>
          <w:tcPr/>
          <w:p>
            <w:pPr>
              <w:pStyle w:val="Compact"/>
            </w:pPr>
            <w:r>
              <w:t xml:space="preserve">422</w:t>
            </w:r>
          </w:p>
        </w:tc>
        <w:tc>
          <w:tcPr/>
          <w:p>
            <w:pPr>
              <w:pStyle w:val="Compact"/>
            </w:pPr>
            <w:r>
              <w:rPr>
                <w:rStyle w:val="VerbatimChar"/>
              </w:rPr>
              <w:t xml:space="preserve">error</w:t>
            </w:r>
            <w:r>
              <w:t xml:space="preserve"> </w:t>
            </w:r>
            <w:r>
              <w:t xml:space="preserve">and the offending</w:t>
            </w:r>
            <w:r>
              <w:t xml:space="preserve"> </w:t>
            </w:r>
            <w:r>
              <w:rPr>
                <w:rStyle w:val="VerbatimChar"/>
              </w:rPr>
              <w:t xml:space="preserve">field</w:t>
            </w:r>
          </w:p>
        </w:tc>
      </w:tr>
      <w:tr>
        <w:tc>
          <w:tcPr/>
          <w:p>
            <w:pPr>
              <w:pStyle w:val="Compact"/>
            </w:pPr>
            <w:r>
              <w:t xml:space="preserve">Insufficient reserve</w:t>
            </w:r>
          </w:p>
        </w:tc>
        <w:tc>
          <w:tcPr/>
          <w:p>
            <w:pPr>
              <w:pStyle w:val="Compact"/>
            </w:pPr>
            <w:r>
              <w:t xml:space="preserve">409</w:t>
            </w:r>
          </w:p>
        </w:tc>
        <w:tc>
          <w:tcPr/>
          <w:p>
            <w:pPr>
              <w:pStyle w:val="Compact"/>
            </w:pPr>
            <w:r>
              <w:rPr>
                <w:rStyle w:val="VerbatimChar"/>
              </w:rPr>
              <w:t xml:space="preserve">error</w:t>
            </w:r>
            <w:r>
              <w:t xml:space="preserve">,</w:t>
            </w:r>
            <w:r>
              <w:t xml:space="preserve"> </w:t>
            </w:r>
            <w:r>
              <w:rPr>
                <w:rStyle w:val="VerbatimChar"/>
              </w:rPr>
              <w:t xml:space="preserve">balanceRial</w:t>
            </w:r>
            <w:r>
              <w:t xml:space="preserve">,</w:t>
            </w:r>
            <w:r>
              <w:t xml:space="preserve"> </w:t>
            </w:r>
            <w:r>
              <w:rPr>
                <w:rStyle w:val="VerbatimChar"/>
              </w:rPr>
              <w:t xml:space="preserve">requiredRial</w:t>
            </w:r>
          </w:p>
        </w:tc>
      </w:tr>
      <w:tr>
        <w:tc>
          <w:tcPr/>
          <w:p>
            <w:pPr>
              <w:pStyle w:val="Compact"/>
            </w:pPr>
            <w:r>
              <w:t xml:space="preserve">Insufficient funds, conflict (for example a taken name)</w:t>
            </w:r>
          </w:p>
        </w:tc>
        <w:tc>
          <w:tcPr/>
          <w:p>
            <w:pPr>
              <w:pStyle w:val="Compact"/>
            </w:pPr>
            <w:r>
              <w:t xml:space="preserve">409</w:t>
            </w:r>
          </w:p>
        </w:tc>
        <w:tc>
          <w:tcPr/>
          <w:p>
            <w:pPr>
              <w:pStyle w:val="Compact"/>
            </w:pPr>
            <w:r>
              <w:rPr>
                <w:rStyle w:val="VerbatimChar"/>
              </w:rPr>
              <w:t xml:space="preserve">error</w:t>
            </w:r>
          </w:p>
        </w:tc>
      </w:tr>
      <w:tr>
        <w:tc>
          <w:tcPr/>
          <w:p>
            <w:pPr>
              <w:pStyle w:val="Compact"/>
            </w:pPr>
            <w:r>
              <w:t xml:space="preserve">Not found</w:t>
            </w:r>
          </w:p>
        </w:tc>
        <w:tc>
          <w:tcPr/>
          <w:p>
            <w:pPr>
              <w:pStyle w:val="Compact"/>
            </w:pPr>
            <w:r>
              <w:t xml:space="preserve">404</w:t>
            </w:r>
          </w:p>
        </w:tc>
        <w:tc>
          <w:tcPr/>
          <w:p>
            <w:pPr>
              <w:pStyle w:val="Compact"/>
            </w:pPr>
            <w:r>
              <w:rPr>
                <w:rStyle w:val="VerbatimChar"/>
              </w:rPr>
              <w:t xml:space="preserve">error</w:t>
            </w:r>
          </w:p>
        </w:tc>
      </w:tr>
      <w:tr>
        <w:tc>
          <w:tcPr/>
          <w:p>
            <w:pPr>
              <w:pStyle w:val="Compact"/>
            </w:pPr>
            <w:r>
              <w:t xml:space="preserve">Invalid credentials, expired session</w:t>
            </w:r>
          </w:p>
        </w:tc>
        <w:tc>
          <w:tcPr/>
          <w:p>
            <w:pPr>
              <w:pStyle w:val="Compact"/>
            </w:pPr>
            <w:r>
              <w:t xml:space="preserve">401</w:t>
            </w:r>
          </w:p>
        </w:tc>
        <w:tc>
          <w:tcPr/>
          <w:p>
            <w:pPr>
              <w:pStyle w:val="Compact"/>
            </w:pPr>
            <w:r>
              <w:rPr>
                <w:rStyle w:val="VerbatimChar"/>
              </w:rPr>
              <w:t xml:space="preserve">error</w:t>
            </w:r>
          </w:p>
        </w:tc>
      </w:tr>
      <w:tr>
        <w:tc>
          <w:tcPr/>
          <w:p>
            <w:pPr>
              <w:pStyle w:val="Compact"/>
            </w:pPr>
            <w:r>
              <w:t xml:space="preserve">Forbidden, invalid CSRF token</w:t>
            </w:r>
          </w:p>
        </w:tc>
        <w:tc>
          <w:tcPr/>
          <w:p>
            <w:pPr>
              <w:pStyle w:val="Compact"/>
            </w:pPr>
            <w:r>
              <w:t xml:space="preserve">403</w:t>
            </w:r>
          </w:p>
        </w:tc>
        <w:tc>
          <w:tcPr/>
          <w:p>
            <w:pPr>
              <w:pStyle w:val="Compact"/>
            </w:pPr>
            <w:r>
              <w:rPr>
                <w:rStyle w:val="VerbatimChar"/>
              </w:rPr>
              <w:t xml:space="preserve">error</w:t>
            </w:r>
          </w:p>
        </w:tc>
      </w:tr>
      <w:tr>
        <w:tc>
          <w:tcPr/>
          <w:p>
            <w:pPr>
              <w:pStyle w:val="Compact"/>
            </w:pPr>
            <w:r>
              <w:t xml:space="preserve">Anything else</w:t>
            </w:r>
          </w:p>
        </w:tc>
        <w:tc>
          <w:tcPr/>
          <w:p>
            <w:pPr>
              <w:pStyle w:val="Compact"/>
            </w:pPr>
            <w:r>
              <w:t xml:space="preserve">500</w:t>
            </w:r>
          </w:p>
        </w:tc>
        <w:tc>
          <w:tcPr/>
          <w:p>
            <w:pPr>
              <w:pStyle w:val="Compact"/>
            </w:pPr>
            <w:r>
              <w:t xml:space="preserve">a generic message and the request id; the cause is logged</w:t>
            </w:r>
          </w:p>
        </w:tc>
      </w:tr>
    </w:tbl>
    <w:bookmarkEnd w:id="54"/>
    <w:bookmarkStart w:id="55" w:name="internationalisation"/>
    <w:p>
      <w:pPr>
        <w:pStyle w:val="Heading2"/>
      </w:pPr>
      <w:r>
        <w:rPr>
          <w:rStyle w:val="SectionNumber"/>
        </w:rPr>
        <w:t xml:space="preserve">8.7</w:t>
      </w:r>
      <w:r>
        <w:tab/>
      </w:r>
      <w:r>
        <w:t xml:space="preserve">Internationalisation</w:t>
      </w:r>
    </w:p>
    <w:p>
      <w:pPr>
        <w:pStyle w:val="FirstParagraph"/>
      </w:pPr>
      <w:r>
        <w:t xml:space="preserve">The storefront keeps English and Persian dictionaries with the same keys; the type system rejects a key missing from either. Choosing Persian switches the component kit to right-to-left layout and the</w:t>
      </w:r>
      <w:r>
        <w:t xml:space="preserve"> </w:t>
      </w:r>
      <w:r>
        <w:rPr>
          <w:rStyle w:val="VerbatimChar"/>
        </w:rPr>
        <w:t xml:space="preserve">fa-IR</w:t>
      </w:r>
      <w:r>
        <w:t xml:space="preserve"> </w:t>
      </w:r>
      <w:r>
        <w:t xml:space="preserve">locale, which formats digits and dates in Persian. Server validation messages are in English only.</w:t>
      </w:r>
    </w:p>
    <w:bookmarkEnd w:id="55"/>
    <w:bookmarkStart w:id="56" w:name="testing"/>
    <w:p>
      <w:pPr>
        <w:pStyle w:val="Heading2"/>
      </w:pPr>
      <w:r>
        <w:rPr>
          <w:rStyle w:val="SectionNumber"/>
        </w:rPr>
        <w:t xml:space="preserve">8.8</w:t>
      </w:r>
      <w:r>
        <w:tab/>
      </w:r>
      <w:r>
        <w:t xml:space="preserve">Testing</w:t>
      </w:r>
    </w:p>
    <w:p>
      <w:pPr>
        <w:pStyle w:val="FirstParagraph"/>
      </w:pPr>
      <w:r>
        <w:rPr>
          <w:rStyle w:val="VerbatimChar"/>
        </w:rPr>
        <w:t xml:space="preserve">sqltest</w:t>
      </w:r>
      <w:r>
        <w:t xml:space="preserve"> </w:t>
      </w:r>
      <w:r>
        <w:t xml:space="preserve">gives each test a throwaway schema on a real server. Tests cover:</w:t>
      </w:r>
    </w:p>
    <w:p>
      <w:pPr>
        <w:pStyle w:val="Compact"/>
        <w:numPr>
          <w:ilvl w:val="0"/>
          <w:numId w:val="1008"/>
        </w:numPr>
      </w:pPr>
      <w:r>
        <w:t xml:space="preserve">concurrency: fifty parallel charges against one wallet;</w:t>
      </w:r>
    </w:p>
    <w:p>
      <w:pPr>
        <w:pStyle w:val="Compact"/>
        <w:numPr>
          <w:ilvl w:val="0"/>
          <w:numId w:val="1008"/>
        </w:numPr>
      </w:pPr>
      <w:r>
        <w:t xml:space="preserve">idempotency;</w:t>
      </w:r>
    </w:p>
    <w:p>
      <w:pPr>
        <w:pStyle w:val="Compact"/>
        <w:numPr>
          <w:ilvl w:val="0"/>
          <w:numId w:val="1008"/>
        </w:numPr>
      </w:pPr>
      <w:r>
        <w:t xml:space="preserve">atomicity: a confirmation whose command cannot be queued charges nothing;</w:t>
      </w:r>
    </w:p>
    <w:p>
      <w:pPr>
        <w:pStyle w:val="Compact"/>
        <w:numPr>
          <w:ilvl w:val="0"/>
          <w:numId w:val="1008"/>
        </w:numPr>
      </w:pPr>
      <w:r>
        <w:t xml:space="preserve">billing caps and suspension;</w:t>
      </w:r>
    </w:p>
    <w:p>
      <w:pPr>
        <w:pStyle w:val="Compact"/>
        <w:numPr>
          <w:ilvl w:val="0"/>
          <w:numId w:val="1008"/>
        </w:numPr>
      </w:pPr>
      <w:r>
        <w:t xml:space="preserve">invoices;</w:t>
      </w:r>
    </w:p>
    <w:p>
      <w:pPr>
        <w:pStyle w:val="Compact"/>
        <w:numPr>
          <w:ilvl w:val="0"/>
          <w:numId w:val="1008"/>
        </w:numPr>
      </w:pPr>
      <w:r>
        <w:t xml:space="preserve">authorisation over HTTP;</w:t>
      </w:r>
    </w:p>
    <w:p>
      <w:pPr>
        <w:pStyle w:val="Compact"/>
        <w:numPr>
          <w:ilvl w:val="0"/>
          <w:numId w:val="1008"/>
        </w:numPr>
      </w:pPr>
      <w:r>
        <w:t xml:space="preserve">migrations, including a forced deadlock that</w:t>
      </w:r>
      <w:r>
        <w:t xml:space="preserve"> </w:t>
      </w:r>
      <w:r>
        <w:rPr>
          <w:rStyle w:val="VerbatimChar"/>
        </w:rPr>
        <w:t xml:space="preserve">WithTx</w:t>
      </w:r>
      <w:r>
        <w:t xml:space="preserve"> </w:t>
      </w:r>
      <w:r>
        <w:t xml:space="preserve">must survive.</w:t>
      </w:r>
    </w:p>
    <w:p>
      <w:pPr>
        <w:pStyle w:val="FirstParagraph"/>
      </w:pPr>
      <w:r>
        <w:t xml:space="preserve">CI runs the suite on MariaDB and on MySQL. The Test Plan and Report gives the results.</w:t>
      </w:r>
    </w:p>
    <w:bookmarkEnd w:id="56"/>
    <w:bookmarkEnd w:id="57"/>
    <w:bookmarkStart w:id="58" w:name="architecture-decisions"/>
    <w:p>
      <w:pPr>
        <w:pStyle w:val="Heading1"/>
      </w:pPr>
      <w:r>
        <w:rPr>
          <w:rStyle w:val="SectionNumber"/>
        </w:rPr>
        <w:t xml:space="preserve">9</w:t>
      </w:r>
      <w:r>
        <w:tab/>
      </w:r>
      <w:r>
        <w:t xml:space="preserve">Architecture decisions</w:t>
      </w:r>
    </w:p>
    <w:p>
      <w:pPr>
        <w:pStyle w:val="TableCaption"/>
      </w:pPr>
      <w:r>
        <w:t xml:space="preserve">Architecture decisions</w:t>
      </w:r>
    </w:p>
    <w:tbl>
      <w:tblPr>
        <w:tblStyle w:val="Table"/>
        <w:tblW w:type="pct" w:w="5000"/>
        <w:tblLayout w:type="fixed"/>
        <w:tblLook w:firstRow="1" w:lastRow="0" w:firstColumn="0" w:lastColumn="0" w:noHBand="0" w:noVBand="0" w:val="0020"/>
        <w:tblCaption w:val="Architecture decisions"/>
      </w:tblPr>
      <w:tblGrid>
        <w:gridCol w:w="2640"/>
        <w:gridCol w:w="2640"/>
        <w:gridCol w:w="2640"/>
      </w:tblGrid>
      <w:tr>
        <w:trPr>
          <w:tblHeader w:val="on"/>
        </w:trPr>
        <w:tc>
          <w:tcPr/>
          <w:p>
            <w:pPr>
              <w:pStyle w:val="Compact"/>
            </w:pPr>
            <w:r>
              <w:t xml:space="preserve">Decision</w:t>
            </w:r>
          </w:p>
        </w:tc>
        <w:tc>
          <w:tcPr/>
          <w:p>
            <w:pPr>
              <w:pStyle w:val="Compact"/>
            </w:pPr>
            <w:r>
              <w:t xml:space="preserve">Summary</w:t>
            </w:r>
          </w:p>
        </w:tc>
        <w:tc>
          <w:tcPr/>
          <w:p>
            <w:pPr>
              <w:pStyle w:val="Compact"/>
            </w:pPr>
            <w:r>
              <w:t xml:space="preserve">Record</w:t>
            </w:r>
          </w:p>
        </w:tc>
      </w:tr>
      <w:tr>
        <w:tc>
          <w:tcPr/>
          <w:p>
            <w:pPr>
              <w:pStyle w:val="Compact"/>
            </w:pPr>
            <w:r>
              <w:t xml:space="preserve">Controller state in MySQL or MariaDB</w:t>
            </w:r>
          </w:p>
        </w:tc>
        <w:tc>
          <w:tcPr/>
          <w:p>
            <w:pPr>
              <w:pStyle w:val="Compact"/>
            </w:pPr>
            <w:r>
              <w:t xml:space="preserve">All eleven stores move to one relational database with migrations and sealed columns.</w:t>
            </w:r>
          </w:p>
        </w:tc>
        <w:tc>
          <w:tcPr/>
          <w:p>
            <w:pPr>
              <w:pStyle w:val="Compact"/>
            </w:pPr>
            <w:r>
              <w:t xml:space="preserve">ADR-0008 (</w:t>
            </w:r>
            <w:r>
              <w:rPr>
                <w:rStyle w:val="VerbatimChar"/>
              </w:rPr>
              <w:t xml:space="preserve">docs/adr/ADR-0008-sql-controller-state.md</w:t>
            </w:r>
            <w:r>
              <w:t xml:space="preserve">)</w:t>
            </w:r>
          </w:p>
        </w:tc>
      </w:tr>
      <w:tr>
        <w:tc>
          <w:tcPr/>
          <w:p>
            <w:pPr>
              <w:pStyle w:val="Compact"/>
            </w:pPr>
            <w:r>
              <w:t xml:space="preserve">Transactional outbox for provisioning</w:t>
            </w:r>
          </w:p>
        </w:tc>
        <w:tc>
          <w:tcPr/>
          <w:p>
            <w:pPr>
              <w:pStyle w:val="Compact"/>
            </w:pPr>
            <w:r>
              <w:t xml:space="preserve">The deployment command is inserted in the confirmation transaction rather than sent after it.</w:t>
            </w:r>
          </w:p>
        </w:tc>
        <w:tc>
          <w:tcPr/>
          <w:p>
            <w:pPr>
              <w:pStyle w:val="Compact"/>
            </w:pPr>
            <w:r>
              <w:t xml:space="preserve">This document, section 6.1</w:t>
            </w:r>
          </w:p>
        </w:tc>
      </w:tr>
      <w:tr>
        <w:tc>
          <w:tcPr/>
          <w:p>
            <w:pPr>
              <w:pStyle w:val="Compact"/>
            </w:pPr>
            <w:r>
              <w:t xml:space="preserve">Append-only ledger with cached balance</w:t>
            </w:r>
          </w:p>
        </w:tc>
        <w:tc>
          <w:tcPr/>
          <w:p>
            <w:pPr>
              <w:pStyle w:val="Compact"/>
            </w:pPr>
            <w:r>
              <w:t xml:space="preserve">The ledger is the authority; the balance is a locked cache protected by a CHECK constraint.</w:t>
            </w:r>
          </w:p>
        </w:tc>
        <w:tc>
          <w:tcPr/>
          <w:p>
            <w:pPr>
              <w:pStyle w:val="Compact"/>
            </w:pPr>
            <w:r>
              <w:t xml:space="preserve">Section 8.3</w:t>
            </w:r>
          </w:p>
        </w:tc>
      </w:tr>
      <w:tr>
        <w:tc>
          <w:tcPr/>
          <w:p>
            <w:pPr>
              <w:pStyle w:val="Compact"/>
            </w:pPr>
            <w:r>
              <w:t xml:space="preserve">Wallet and administrator confirmation</w:t>
            </w:r>
          </w:p>
        </w:tc>
        <w:tc>
          <w:tcPr/>
          <w:p>
            <w:pPr>
              <w:pStyle w:val="Compact"/>
            </w:pPr>
            <w:r>
              <w:t xml:space="preserve">Prepaid wallet with simulated top-ups; each order is confirmed by an administrator, who chooses the server.</w:t>
            </w:r>
          </w:p>
        </w:tc>
        <w:tc>
          <w:tcPr/>
          <w:p>
            <w:pPr>
              <w:pStyle w:val="Compact"/>
            </w:pPr>
            <w:r>
              <w:t xml:space="preserve">Proposal, section 6</w:t>
            </w:r>
          </w:p>
        </w:tc>
      </w:tr>
      <w:tr>
        <w:tc>
          <w:tcPr/>
          <w:p>
            <w:pPr>
              <w:pStyle w:val="Compact"/>
            </w:pPr>
            <w:r>
              <w:t xml:space="preserve">Hourly billing with a monthly cap</w:t>
            </w:r>
          </w:p>
        </w:tc>
        <w:tc>
          <w:tcPr/>
          <w:p>
            <w:pPr>
              <w:pStyle w:val="Compact"/>
            </w:pPr>
            <w:r>
              <w:t xml:space="preserve">One usage row per project per hour; suspension instead of debt.</w:t>
            </w:r>
          </w:p>
        </w:tc>
        <w:tc>
          <w:tcPr/>
          <w:p>
            <w:pPr>
              <w:pStyle w:val="Compact"/>
            </w:pPr>
            <w:r>
              <w:t xml:space="preserve">Section 6.3</w:t>
            </w:r>
          </w:p>
        </w:tc>
      </w:tr>
      <w:tr>
        <w:tc>
          <w:tcPr/>
          <w:p>
            <w:pPr>
              <w:pStyle w:val="Compact"/>
            </w:pPr>
            <w:r>
              <w:t xml:space="preserve">Storefront as a second Vite entry</w:t>
            </w:r>
          </w:p>
        </w:tc>
        <w:tc>
          <w:tcPr/>
          <w:p>
            <w:pPr>
              <w:pStyle w:val="Compact"/>
            </w:pPr>
            <w:r>
              <w:t xml:space="preserve">Separate</w:t>
            </w:r>
            <w:r>
              <w:t xml:space="preserve"> </w:t>
            </w:r>
            <w:r>
              <w:rPr>
                <w:rStyle w:val="VerbatimChar"/>
              </w:rPr>
              <w:t xml:space="preserve">store.html</w:t>
            </w:r>
            <w:r>
              <w:t xml:space="preserve"> </w:t>
            </w:r>
            <w:r>
              <w:t xml:space="preserve">sharing the component kit and served by the same binary.</w:t>
            </w:r>
          </w:p>
        </w:tc>
        <w:tc>
          <w:tcPr/>
          <w:p>
            <w:pPr>
              <w:pStyle w:val="Compact"/>
            </w:pPr>
            <w:r>
              <w:t xml:space="preserve">C4 Architecture Model, section 3</w:t>
            </w:r>
          </w:p>
        </w:tc>
      </w:tr>
    </w:tbl>
    <w:bookmarkEnd w:id="58"/>
    <w:bookmarkStart w:id="60" w:name="quality-requirements"/>
    <w:p>
      <w:pPr>
        <w:pStyle w:val="Heading1"/>
      </w:pPr>
      <w:r>
        <w:rPr>
          <w:rStyle w:val="SectionNumber"/>
        </w:rPr>
        <w:t xml:space="preserve">10</w:t>
      </w:r>
      <w:r>
        <w:tab/>
      </w:r>
      <w:r>
        <w:t xml:space="preserve">Quality requirements</w:t>
      </w:r>
    </w:p>
    <w:bookmarkStart w:id="59" w:name="quality-scenarios"/>
    <w:p>
      <w:pPr>
        <w:pStyle w:val="Heading2"/>
      </w:pPr>
      <w:r>
        <w:rPr>
          <w:rStyle w:val="SectionNumber"/>
        </w:rPr>
        <w:t xml:space="preserve">10.1</w:t>
      </w:r>
      <w:r>
        <w:tab/>
      </w:r>
      <w:r>
        <w:t xml:space="preserve">Quality scenarios</w:t>
      </w:r>
    </w:p>
    <w:p>
      <w:pPr>
        <w:pStyle w:val="TableCaption"/>
      </w:pPr>
      <w:r>
        <w:t xml:space="preserve">Quality scenarios</w:t>
      </w:r>
    </w:p>
    <w:tbl>
      <w:tblPr>
        <w:tblStyle w:val="Table"/>
        <w:tblW w:type="pct" w:w="5000"/>
        <w:tblLayout w:type="fixed"/>
        <w:tblLook w:firstRow="1" w:lastRow="0" w:firstColumn="0" w:lastColumn="0" w:noHBand="0" w:noVBand="0" w:val="0020"/>
        <w:tblCaption w:val="Quality scenarios"/>
      </w:tblPr>
      <w:tblGrid>
        <w:gridCol w:w="1980"/>
        <w:gridCol w:w="1980"/>
        <w:gridCol w:w="1980"/>
        <w:gridCol w:w="1980"/>
      </w:tblGrid>
      <w:tr>
        <w:trPr>
          <w:tblHeader w:val="on"/>
        </w:trPr>
        <w:tc>
          <w:tcPr/>
          <w:p>
            <w:pPr>
              <w:pStyle w:val="Compact"/>
            </w:pPr>
            <w:r>
              <w:t xml:space="preserve">Quality</w:t>
            </w:r>
          </w:p>
        </w:tc>
        <w:tc>
          <w:tcPr/>
          <w:p>
            <w:pPr>
              <w:pStyle w:val="Compact"/>
            </w:pPr>
            <w:r>
              <w:t xml:space="preserve">Scenario</w:t>
            </w:r>
          </w:p>
        </w:tc>
        <w:tc>
          <w:tcPr/>
          <w:p>
            <w:pPr>
              <w:pStyle w:val="Compact"/>
            </w:pPr>
            <w:r>
              <w:t xml:space="preserve">Expected response</w:t>
            </w:r>
          </w:p>
        </w:tc>
        <w:tc>
          <w:tcPr/>
          <w:p>
            <w:pPr>
              <w:pStyle w:val="Compact"/>
            </w:pPr>
            <w:r>
              <w:t xml:space="preserve">Evidence</w:t>
            </w:r>
          </w:p>
        </w:tc>
      </w:tr>
      <w:tr>
        <w:tc>
          <w:tcPr/>
          <w:p>
            <w:pPr>
              <w:pStyle w:val="Compact"/>
            </w:pPr>
            <w:r>
              <w:t xml:space="preserve">Integrity</w:t>
            </w:r>
          </w:p>
        </w:tc>
        <w:tc>
          <w:tcPr/>
          <w:p>
            <w:pPr>
              <w:pStyle w:val="Compact"/>
            </w:pPr>
            <w:r>
              <w:t xml:space="preserve">Fifty concurrent charges of 30,000 rials hit a wallet holding 1,000,000 rials.</w:t>
            </w:r>
          </w:p>
        </w:tc>
        <w:tc>
          <w:tcPr/>
          <w:p>
            <w:pPr>
              <w:pStyle w:val="Compact"/>
            </w:pPr>
            <w:r>
              <w:t xml:space="preserve">Exactly 33 succeed, 17 are refused, the balance is 10,000 and equals the ledger.</w:t>
            </w:r>
          </w:p>
        </w:tc>
        <w:tc>
          <w:tcPr/>
          <w:p>
            <w:pPr>
              <w:pStyle w:val="Compact"/>
            </w:pPr>
            <w:r>
              <w:rPr>
                <w:rStyle w:val="VerbatimChar"/>
              </w:rPr>
              <w:t xml:space="preserve">TestConcurrentChargesNeverOverdrawAndMatchTheLedger</w:t>
            </w:r>
          </w:p>
        </w:tc>
      </w:tr>
      <w:tr>
        <w:tc>
          <w:tcPr/>
          <w:p>
            <w:pPr>
              <w:pStyle w:val="Compact"/>
            </w:pPr>
            <w:r>
              <w:t xml:space="preserve">Integrity</w:t>
            </w:r>
          </w:p>
        </w:tc>
        <w:tc>
          <w:tcPr/>
          <w:p>
            <w:pPr>
              <w:pStyle w:val="Compact"/>
            </w:pPr>
            <w:r>
              <w:t xml:space="preserve">A top-up request is sent twice with the same idempotency key.</w:t>
            </w:r>
          </w:p>
        </w:tc>
        <w:tc>
          <w:tcPr/>
          <w:p>
            <w:pPr>
              <w:pStyle w:val="Compact"/>
            </w:pPr>
            <w:r>
              <w:t xml:space="preserve">The wallet is credited once.</w:t>
            </w:r>
          </w:p>
        </w:tc>
        <w:tc>
          <w:tcPr/>
          <w:p>
            <w:pPr>
              <w:pStyle w:val="Compact"/>
            </w:pPr>
            <w:r>
              <w:rPr>
                <w:rStyle w:val="VerbatimChar"/>
              </w:rPr>
              <w:t xml:space="preserve">TestATopUpIsCreditedOncePerIdempotencyKey</w:t>
            </w:r>
          </w:p>
        </w:tc>
      </w:tr>
      <w:tr>
        <w:tc>
          <w:tcPr/>
          <w:p>
            <w:pPr>
              <w:pStyle w:val="Compact"/>
            </w:pPr>
            <w:r>
              <w:t xml:space="preserve">Atomicity</w:t>
            </w:r>
          </w:p>
        </w:tc>
        <w:tc>
          <w:tcPr/>
          <w:p>
            <w:pPr>
              <w:pStyle w:val="Compact"/>
            </w:pPr>
            <w:r>
              <w:t xml:space="preserve">The command queue refuses the deployment during confirmation.</w:t>
            </w:r>
          </w:p>
        </w:tc>
        <w:tc>
          <w:tcPr/>
          <w:p>
            <w:pPr>
              <w:pStyle w:val="Compact"/>
            </w:pPr>
            <w:r>
              <w:t xml:space="preserve">Nothing is charged and the order stays pending.</w:t>
            </w:r>
          </w:p>
        </w:tc>
        <w:tc>
          <w:tcPr/>
          <w:p>
            <w:pPr>
              <w:pStyle w:val="Compact"/>
            </w:pPr>
            <w:r>
              <w:rPr>
                <w:rStyle w:val="VerbatimChar"/>
              </w:rPr>
              <w:t xml:space="preserve">TestAConfirmationThatCannotQueueItsDeploymentChargesNothing</w:t>
            </w:r>
          </w:p>
        </w:tc>
      </w:tr>
      <w:tr>
        <w:tc>
          <w:tcPr/>
          <w:p>
            <w:pPr>
              <w:pStyle w:val="Compact"/>
            </w:pPr>
            <w:r>
              <w:t xml:space="preserve">Reliability</w:t>
            </w:r>
          </w:p>
        </w:tc>
        <w:tc>
          <w:tcPr/>
          <w:p>
            <w:pPr>
              <w:pStyle w:val="Compact"/>
            </w:pPr>
            <w:r>
              <w:t xml:space="preserve">A deployment fails after the charge.</w:t>
            </w:r>
          </w:p>
        </w:tc>
        <w:tc>
          <w:tcPr/>
          <w:p>
            <w:pPr>
              <w:pStyle w:val="Compact"/>
            </w:pPr>
            <w:r>
              <w:t xml:space="preserve">The order fails and one refund is recorded, even if the outcome is reported twice.</w:t>
            </w:r>
          </w:p>
        </w:tc>
        <w:tc>
          <w:tcPr/>
          <w:p>
            <w:pPr>
              <w:pStyle w:val="Compact"/>
            </w:pPr>
            <w:r>
              <w:rPr>
                <w:rStyle w:val="VerbatimChar"/>
              </w:rPr>
              <w:t xml:space="preserve">TestTheDeploymentOutcomeActivatesOrFailsAndRefundsOnce</w:t>
            </w:r>
            <w:r>
              <w:t xml:space="preserve">; orders 1 and 2 in the end-to-end run</w:t>
            </w:r>
          </w:p>
        </w:tc>
      </w:tr>
      <w:tr>
        <w:tc>
          <w:tcPr/>
          <w:p>
            <w:pPr>
              <w:pStyle w:val="Compact"/>
            </w:pPr>
            <w:r>
              <w:t xml:space="preserve">Security</w:t>
            </w:r>
          </w:p>
        </w:tc>
        <w:tc>
          <w:tcPr/>
          <w:p>
            <w:pPr>
              <w:pStyle w:val="Compact"/>
            </w:pPr>
            <w:r>
              <w:t xml:space="preserve">A customer requests another customer’s order.</w:t>
            </w:r>
          </w:p>
        </w:tc>
        <w:tc>
          <w:tcPr/>
          <w:p>
            <w:pPr>
              <w:pStyle w:val="Compact"/>
            </w:pPr>
            <w:r>
              <w:t xml:space="preserve">404, and nothing is revealed.</w:t>
            </w:r>
          </w:p>
        </w:tc>
        <w:tc>
          <w:tcPr/>
          <w:p>
            <w:pPr>
              <w:pStyle w:val="Compact"/>
            </w:pPr>
            <w:r>
              <w:t xml:space="preserve">HTTP tests in</w:t>
            </w:r>
            <w:r>
              <w:t xml:space="preserve"> </w:t>
            </w:r>
            <w:r>
              <w:rPr>
                <w:rStyle w:val="VerbatimChar"/>
              </w:rPr>
              <w:t xml:space="preserve">api/http/cloud_api_test.go</w:t>
            </w:r>
          </w:p>
        </w:tc>
      </w:tr>
      <w:tr>
        <w:tc>
          <w:tcPr/>
          <w:p>
            <w:pPr>
              <w:pStyle w:val="Compact"/>
            </w:pPr>
            <w:r>
              <w:t xml:space="preserve">Security</w:t>
            </w:r>
          </w:p>
        </w:tc>
        <w:tc>
          <w:tcPr/>
          <w:p>
            <w:pPr>
              <w:pStyle w:val="Compact"/>
            </w:pPr>
            <w:r>
              <w:t xml:space="preserve">A change is sent with an outdated CSRF token.</w:t>
            </w:r>
          </w:p>
        </w:tc>
        <w:tc>
          <w:tcPr/>
          <w:p>
            <w:pPr>
              <w:pStyle w:val="Compact"/>
            </w:pPr>
            <w:r>
              <w:t xml:space="preserve">403; the storefront recovers once with the current token.</w:t>
            </w:r>
          </w:p>
        </w:tc>
        <w:tc>
          <w:tcPr/>
          <w:p>
            <w:pPr>
              <w:pStyle w:val="Compact"/>
            </w:pPr>
            <w:r>
              <w:t xml:space="preserve">End-to-end ticket scenario</w:t>
            </w:r>
          </w:p>
        </w:tc>
      </w:tr>
      <w:tr>
        <w:tc>
          <w:tcPr/>
          <w:p>
            <w:pPr>
              <w:pStyle w:val="Compact"/>
            </w:pPr>
            <w:r>
              <w:t xml:space="preserve">Portability</w:t>
            </w:r>
          </w:p>
        </w:tc>
        <w:tc>
          <w:tcPr/>
          <w:p>
            <w:pPr>
              <w:pStyle w:val="Compact"/>
            </w:pPr>
            <w:r>
              <w:t xml:space="preserve">The full test suite runs against each engine.</w:t>
            </w:r>
          </w:p>
        </w:tc>
        <w:tc>
          <w:tcPr/>
          <w:p>
            <w:pPr>
              <w:pStyle w:val="Compact"/>
            </w:pPr>
            <w:r>
              <w:t xml:space="preserve">All tests pass on MariaDB 11.4 and MySQL 8.4.</w:t>
            </w:r>
          </w:p>
        </w:tc>
        <w:tc>
          <w:tcPr/>
          <w:p>
            <w:pPr>
              <w:pStyle w:val="Compact"/>
            </w:pPr>
            <w:r>
              <w:t xml:space="preserve">Test Plan and Report</w:t>
            </w:r>
          </w:p>
        </w:tc>
      </w:tr>
    </w:tbl>
    <w:bookmarkEnd w:id="59"/>
    <w:bookmarkEnd w:id="60"/>
    <w:bookmarkStart w:id="61" w:name="risks-and-technical-debt"/>
    <w:p>
      <w:pPr>
        <w:pStyle w:val="Heading1"/>
      </w:pPr>
      <w:r>
        <w:rPr>
          <w:rStyle w:val="SectionNumber"/>
        </w:rPr>
        <w:t xml:space="preserve">11</w:t>
      </w:r>
      <w:r>
        <w:tab/>
      </w:r>
      <w:r>
        <w:t xml:space="preserve">Risks and technical debt</w:t>
      </w:r>
    </w:p>
    <w:p>
      <w:pPr>
        <w:pStyle w:val="TableCaption"/>
      </w:pPr>
      <w:r>
        <w:t xml:space="preserve">Risks and technical debt</w:t>
      </w:r>
    </w:p>
    <w:tbl>
      <w:tblPr>
        <w:tblStyle w:val="Table"/>
        <w:tblW w:type="pct" w:w="5000"/>
        <w:tblLayout w:type="fixed"/>
        <w:tblLook w:firstRow="1" w:lastRow="0" w:firstColumn="0" w:lastColumn="0" w:noHBand="0" w:noVBand="0" w:val="0020"/>
        <w:tblCaption w:val="Risks and technical debt"/>
      </w:tblPr>
      <w:tblGrid>
        <w:gridCol w:w="2640"/>
        <w:gridCol w:w="2640"/>
        <w:gridCol w:w="2640"/>
      </w:tblGrid>
      <w:tr>
        <w:trPr>
          <w:tblHeader w:val="on"/>
        </w:trPr>
        <w:tc>
          <w:tcPr/>
          <w:p>
            <w:pPr>
              <w:pStyle w:val="Compact"/>
            </w:pPr>
            <w:r>
              <w:t xml:space="preserve">Risk or debt</w:t>
            </w:r>
          </w:p>
        </w:tc>
        <w:tc>
          <w:tcPr/>
          <w:p>
            <w:pPr>
              <w:pStyle w:val="Compact"/>
            </w:pPr>
            <w:r>
              <w:t xml:space="preserve">Effect</w:t>
            </w:r>
          </w:p>
        </w:tc>
        <w:tc>
          <w:tcPr/>
          <w:p>
            <w:pPr>
              <w:pStyle w:val="Compact"/>
            </w:pPr>
            <w:r>
              <w:t xml:space="preserve">Possible remedy</w:t>
            </w:r>
          </w:p>
        </w:tc>
      </w:tr>
      <w:tr>
        <w:tc>
          <w:tcPr/>
          <w:p>
            <w:pPr>
              <w:pStyle w:val="Compact"/>
            </w:pPr>
            <w:r>
              <w:t xml:space="preserve">The worker runs one command at a time, and a deployment waits for its service to converge.</w:t>
            </w:r>
          </w:p>
        </w:tc>
        <w:tc>
          <w:tcPr/>
          <w:p>
            <w:pPr>
              <w:pStyle w:val="Compact"/>
            </w:pPr>
            <w:r>
              <w:t xml:space="preserve">An image that never becomes healthy blocks all other commands until its ten-minute timeout. This was observed with order 2.</w:t>
            </w:r>
          </w:p>
        </w:tc>
        <w:tc>
          <w:tcPr/>
          <w:p>
            <w:pPr>
              <w:pStyle w:val="Compact"/>
            </w:pPr>
            <w:r>
              <w:t xml:space="preserve">Fail deployments early on repeated health-check failures, or run commands for different servers concurrently.</w:t>
            </w:r>
          </w:p>
        </w:tc>
      </w:tr>
      <w:tr>
        <w:tc>
          <w:tcPr/>
          <w:p>
            <w:pPr>
              <w:pStyle w:val="Compact"/>
            </w:pPr>
            <w:r>
              <w:t xml:space="preserve">A failed project keeps its application name.</w:t>
            </w:r>
          </w:p>
        </w:tc>
        <w:tc>
          <w:tcPr/>
          <w:p>
            <w:pPr>
              <w:pStyle w:val="Compact"/>
            </w:pPr>
            <w:r>
              <w:t xml:space="preserve">The customer cannot reorder under the same name.</w:t>
            </w:r>
          </w:p>
        </w:tc>
        <w:tc>
          <w:tcPr/>
          <w:p>
            <w:pPr>
              <w:pStyle w:val="Compact"/>
            </w:pPr>
            <w:r>
              <w:t xml:space="preserve">Release names of failed projects, or let customers delete them.</w:t>
            </w:r>
          </w:p>
        </w:tc>
      </w:tr>
      <w:tr>
        <w:tc>
          <w:tcPr/>
          <w:p>
            <w:pPr>
              <w:pStyle w:val="Compact"/>
            </w:pPr>
            <w:r>
              <w:t xml:space="preserve">Billing follows the project’s status, not observed running time.</w:t>
            </w:r>
          </w:p>
        </w:tc>
        <w:tc>
          <w:tcPr/>
          <w:p>
            <w:pPr>
              <w:pStyle w:val="Compact"/>
            </w:pPr>
            <w:r>
              <w:t xml:space="preserve">Hours during which the host was down are charged (defect D-10).</w:t>
            </w:r>
          </w:p>
        </w:tc>
        <w:tc>
          <w:tcPr/>
          <w:p>
            <w:pPr>
              <w:pStyle w:val="Compact"/>
            </w:pPr>
            <w:r>
              <w:t xml:space="preserve">Charge only hours in which Swarm reports a running task.</w:t>
            </w:r>
          </w:p>
        </w:tc>
      </w:tr>
      <w:tr>
        <w:tc>
          <w:tcPr/>
          <w:p>
            <w:pPr>
              <w:pStyle w:val="Compact"/>
            </w:pPr>
            <w:r>
              <w:t xml:space="preserve">No public default domain.</w:t>
            </w:r>
          </w:p>
        </w:tc>
        <w:tc>
          <w:tcPr/>
          <w:p>
            <w:pPr>
              <w:pStyle w:val="Compact"/>
            </w:pPr>
            <w:r>
              <w:t xml:space="preserve">Customers cannot reach their applications from the internet.</w:t>
            </w:r>
          </w:p>
        </w:tc>
        <w:tc>
          <w:tcPr/>
          <w:p>
            <w:pPr>
              <w:pStyle w:val="Compact"/>
            </w:pPr>
            <w:r>
              <w:t xml:space="preserve">A platform wildcard domain with DNS-01 certificates.</w:t>
            </w:r>
          </w:p>
        </w:tc>
      </w:tr>
      <w:tr>
        <w:tc>
          <w:tcPr/>
          <w:p>
            <w:pPr>
              <w:pStyle w:val="Compact"/>
            </w:pPr>
            <w:r>
              <w:t xml:space="preserve">Payments are simulated.</w:t>
            </w:r>
          </w:p>
        </w:tc>
        <w:tc>
          <w:tcPr/>
          <w:p>
            <w:pPr>
              <w:pStyle w:val="Compact"/>
            </w:pPr>
            <w:r>
              <w:t xml:space="preserve">Not usable commercially as is.</w:t>
            </w:r>
          </w:p>
        </w:tc>
        <w:tc>
          <w:tcPr/>
          <w:p>
            <w:pPr>
              <w:pStyle w:val="Compact"/>
            </w:pPr>
            <w:r>
              <w:t xml:space="preserve">Integrate a gateway; the idempotency key is ready for its reference.</w:t>
            </w:r>
          </w:p>
        </w:tc>
      </w:tr>
      <w:tr>
        <w:tc>
          <w:tcPr/>
          <w:p>
            <w:pPr>
              <w:pStyle w:val="Compact"/>
            </w:pPr>
            <w:r>
              <w:t xml:space="preserve">Billing runs every five minutes.</w:t>
            </w:r>
          </w:p>
        </w:tc>
        <w:tc>
          <w:tcPr/>
          <w:p>
            <w:pPr>
              <w:pStyle w:val="Compact"/>
            </w:pPr>
            <w:r>
              <w:t xml:space="preserve">An hour’s charge can appear up to five minutes after the hour begins.</w:t>
            </w:r>
          </w:p>
        </w:tc>
        <w:tc>
          <w:tcPr/>
          <w:p>
            <w:pPr>
              <w:pStyle w:val="Compact"/>
            </w:pPr>
            <w:r>
              <w:t xml:space="preserve">Acceptable; shorten the interval if needed.</w:t>
            </w:r>
          </w:p>
        </w:tc>
      </w:tr>
      <w:tr>
        <w:tc>
          <w:tcPr/>
          <w:p>
            <w:pPr>
              <w:pStyle w:val="Compact"/>
            </w:pPr>
            <w:r>
              <w:t xml:space="preserve">Server messages are English only.</w:t>
            </w:r>
          </w:p>
        </w:tc>
        <w:tc>
          <w:tcPr/>
          <w:p>
            <w:pPr>
              <w:pStyle w:val="Compact"/>
            </w:pPr>
            <w:r>
              <w:t xml:space="preserve">Persian customers see English validation errors.</w:t>
            </w:r>
          </w:p>
        </w:tc>
        <w:tc>
          <w:tcPr/>
          <w:p>
            <w:pPr>
              <w:pStyle w:val="Compact"/>
            </w:pPr>
            <w:r>
              <w:t xml:space="preserve">Return message keys and translate them in the storefront.</w:t>
            </w:r>
          </w:p>
        </w:tc>
      </w:tr>
      <w:tr>
        <w:tc>
          <w:tcPr/>
          <w:p>
            <w:pPr>
              <w:pStyle w:val="Compact"/>
            </w:pPr>
            <w:r>
              <w:t xml:space="preserve">The database is a single instance.</w:t>
            </w:r>
          </w:p>
        </w:tc>
        <w:tc>
          <w:tcPr/>
          <w:p>
            <w:pPr>
              <w:pStyle w:val="Compact"/>
            </w:pPr>
            <w:r>
              <w:t xml:space="preserve">It is a single point of failure.</w:t>
            </w:r>
          </w:p>
        </w:tc>
        <w:tc>
          <w:tcPr/>
          <w:p>
            <w:pPr>
              <w:pStyle w:val="Compact"/>
            </w:pPr>
            <w:r>
              <w:t xml:space="preserve">A replicated MariaDB or MySQL deployment.</w:t>
            </w:r>
          </w:p>
        </w:tc>
      </w:tr>
      <w:tr>
        <w:tc>
          <w:tcPr/>
          <w:p>
            <w:pPr>
              <w:pStyle w:val="Compact"/>
            </w:pPr>
            <w:r>
              <w:t xml:space="preserve">A ticket cannot be opened from its address.</w:t>
            </w:r>
          </w:p>
        </w:tc>
        <w:tc>
          <w:tcPr/>
          <w:p>
            <w:pPr>
              <w:pStyle w:val="Compact"/>
            </w:pPr>
            <w:r>
              <w:t xml:space="preserve">Links to a single ticket open the ticket list.</w:t>
            </w:r>
          </w:p>
        </w:tc>
        <w:tc>
          <w:tcPr/>
          <w:p>
            <w:pPr>
              <w:pStyle w:val="Compact"/>
            </w:pPr>
            <w:r>
              <w:t xml:space="preserve">Parse the ticket id in the storefront route.</w:t>
            </w:r>
          </w:p>
        </w:tc>
      </w:tr>
    </w:tbl>
    <w:bookmarkEnd w:id="61"/>
    <w:bookmarkStart w:id="62" w:name="glossary"/>
    <w:p>
      <w:pPr>
        <w:pStyle w:val="Heading1"/>
      </w:pPr>
      <w:r>
        <w:rPr>
          <w:rStyle w:val="SectionNumber"/>
        </w:rPr>
        <w:t xml:space="preserve">12</w:t>
      </w:r>
      <w:r>
        <w:tab/>
      </w:r>
      <w:r>
        <w:t xml:space="preserve">Glossary</w:t>
      </w:r>
    </w:p>
    <w:p>
      <w:pPr>
        <w:pStyle w:val="FirstParagraph"/>
      </w:pPr>
      <w:r>
        <w:t xml:space="preserve">The terms used here are defined in section 1.3 of the Software Requirements Specification.</w:t>
      </w:r>
    </w:p>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1" Target="media/rId41.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SwarmOps Cloud</dc:title>
  <dc:creator/>
  <dc:language>en</dc:language>
  <cp:keywords/>
  <dcterms:created xsi:type="dcterms:W3CDTF">2026-09-16T12:12:21Z</dcterms:created>
  <dcterms:modified xsi:type="dcterms:W3CDTF">2026-09-16T12:12:21Z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document explains how SwarmOps Cloud is built and why. It follows the arc42 template: goals and constraints, context, solution strategy, building blocks, runtime scenarios, deployment, cross-cutting concepts, decisions, quality scenarios, and risks. The structural views are drawn with the C4 model and given in full in the separate C4 Architecture Model; this document refers to them and adds the behaviour, the rationale and the trade-offs. The central architectural idea is that the command queue and the wallet ledger share one relational database. That makes paying for an application and requesting its deployment a single local transaction.</vt:lpwstr>
  </property>
  <property fmtid="{D5CDD505-2E9C-101B-9397-08002B2CF9AE}" pid="3" name="date">
    <vt:lpwstr>September 2026</vt:lpwstr>
  </property>
  <property fmtid="{D5CDD505-2E9C-101B-9397-08002B2CF9AE}" pid="4" name="subtitle">
    <vt:lpwstr>Software Architecture Document</vt:lpwstr>
  </property>
</Properties>
</file>