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title:</w:t>
      </w:r>
      <w:r>
        <w:t xml:space="preserve"> </w:t>
      </w:r>
      <w:r>
        <w:t xml:space="preserve">“Chapter 1: Welcome to the Textbook”</w:t>
      </w:r>
      <w:r>
        <w:t xml:space="preserve"> </w:t>
      </w:r>
      <w:r>
        <w:t xml:space="preserve">author:</w:t>
      </w:r>
      <w:r>
        <w:t xml:space="preserve"> </w:t>
      </w:r>
      <w:r>
        <w:t xml:space="preserve">“Nimrod Dvir, PhD”</w:t>
      </w:r>
      <w:r>
        <w:t xml:space="preserve"> </w:t>
      </w:r>
      <w:r>
        <w:t xml:space="preserve">date: 2026-03-13</w:t>
      </w:r>
      <w:r>
        <w:t xml:space="preserve"> </w:t>
      </w:r>
      <w:r>
        <w:t xml:space="preserve">lang: en-US</w:t>
      </w:r>
      <w:r>
        <w:t xml:space="preserve"> </w:t>
      </w:r>
      <w:r>
        <w:t xml:space="preserve">toc: true</w:t>
      </w:r>
      <w:r>
        <w:t xml:space="preserve"> </w:t>
      </w:r>
      <w:r>
        <w:t xml:space="preserve"> </w:t>
      </w:r>
      <w:r>
        <w:t xml:space="preserve"># Chapter 1: Welcome to the Textbook</w:t>
      </w:r>
    </w:p>
    <w:bookmarkStart w:id="20" w:name="introduction"/>
    <w:p>
      <w:pPr>
        <w:pStyle w:val="Heading2"/>
      </w:pPr>
      <w:r>
        <w:t xml:space="preserve">Introduction</w:t>
      </w:r>
    </w:p>
    <w:p>
      <w:pPr>
        <w:pStyle w:val="FirstParagraph"/>
      </w:pPr>
      <w:r>
        <w:rPr>
          <w:b/>
          <w:bCs/>
        </w:rPr>
        <w:t xml:space="preserve">Welcome!</w:t>
      </w:r>
    </w:p>
    <w:p>
      <w:pPr>
        <w:pStyle w:val="BodyText"/>
      </w:pPr>
      <w:r>
        <w:t xml:space="preserve">It is a pleasure to have you here. Thank you for choosing to read</w:t>
      </w:r>
      <w:r>
        <w:t xml:space="preserve"> </w:t>
      </w:r>
      <w:r>
        <w:rPr>
          <w:i/>
          <w:iCs/>
          <w:highlight w:val="yellow"/>
        </w:rPr>
        <w:t xml:space="preserve">Using Data to Drive Business Performance: Databases and Management Information Systems</w:t>
      </w:r>
      <w:r>
        <w:t xml:space="preserve">. We will do our best to not let you down.</w:t>
      </w:r>
    </w:p>
    <w:p>
      <w:pPr>
        <w:pStyle w:val="BodyText"/>
      </w:pPr>
      <w:r>
        <w:t xml:space="preserve">This chapter introduces the book’s purpose, philosophy, and structure. By the end, you will have a clear mental map of the book and the confidence to begin.</w:t>
      </w:r>
    </w:p>
    <w:p>
      <w:pPr>
        <w:pStyle w:val="BodyText"/>
      </w:pPr>
      <w:r>
        <w:t xml:space="preserve">Every organization today, from a global corporation to a small coffee shop, runs on data. Decisions are shaped by information, processed through technology, and translated into action through people and processes. Yet most students first encounter data as a scattered collection of abstract concepts: databases in one chapter, KPIs in another, SQL and systems like Microsoft Access in a whole different book, and business strategy somewhere in the background. Nothing quite connects.</w:t>
      </w:r>
    </w:p>
    <w:p>
      <w:pPr>
        <w:pStyle w:val="BodyText"/>
      </w:pPr>
      <w:r>
        <w:t xml:space="preserve">This book is designed to change that. It takes a different approach to information systems education. Think of it as</w:t>
      </w:r>
      <w:r>
        <w:t xml:space="preserve"> </w:t>
      </w:r>
      <w:r>
        <w:rPr>
          <w:i/>
          <w:iCs/>
        </w:rPr>
        <w:t xml:space="preserve">Your roadmap from raw data to real decisions.</w:t>
      </w:r>
      <w:r>
        <w:t xml:space="preserve"> </w:t>
      </w:r>
      <w:r>
        <w:t xml:space="preserve">Here, you will learn how data is captured, structured, queried, and transformed into information that managers actually use. You will see how databases support performance measurement, how information systems shape processes, and how technology becomes meaningful only when it drives better decisions.</w:t>
      </w:r>
    </w:p>
    <w:p>
      <w:pPr>
        <w:pStyle w:val="BodyText"/>
      </w:pPr>
      <w:r>
        <w:rPr>
          <w:b/>
          <w:bCs/>
        </w:rPr>
        <w:t xml:space="preserve">The central premise of this book is built around a simple but powerful ideas:</w:t>
      </w:r>
    </w:p>
    <w:p>
      <w:pPr>
        <w:pStyle w:val="Compact"/>
        <w:numPr>
          <w:ilvl w:val="0"/>
          <w:numId w:val="1001"/>
        </w:numPr>
      </w:pPr>
      <w:r>
        <w:t xml:space="preserve">every information system is an input-process-output system</w:t>
      </w:r>
    </w:p>
    <w:p>
      <w:pPr>
        <w:pStyle w:val="Compact"/>
        <w:numPr>
          <w:ilvl w:val="0"/>
          <w:numId w:val="1001"/>
        </w:numPr>
      </w:pPr>
      <w:r>
        <w:t xml:space="preserve">The goal of data is to be transformed into wisdom (or intelligence), which we will learn expresses through good decision making.</w:t>
      </w:r>
    </w:p>
    <w:p>
      <w:pPr>
        <w:pStyle w:val="Compact"/>
        <w:numPr>
          <w:ilvl w:val="0"/>
          <w:numId w:val="1001"/>
        </w:numPr>
      </w:pPr>
      <w:r>
        <w:t xml:space="preserve">Databases support decisions that has business consequences.</w:t>
      </w:r>
    </w:p>
    <w:p>
      <w:pPr>
        <w:pStyle w:val="FirstParagraph"/>
      </w:pPr>
      <w:r>
        <w:t xml:space="preserve">Understanding these ideas early will shape how you think about every chapter that follows.</w:t>
      </w:r>
    </w:p>
    <w:bookmarkEnd w:id="20"/>
    <w:bookmarkStart w:id="21" w:name="a-candid-promise"/>
    <w:p>
      <w:pPr>
        <w:pStyle w:val="Heading2"/>
      </w:pPr>
      <w:r>
        <w:t xml:space="preserve">A Candid Promise</w:t>
      </w:r>
    </w:p>
    <w:p>
      <w:pPr>
        <w:pStyle w:val="FirstParagraph"/>
      </w:pPr>
      <w:r>
        <w:t xml:space="preserve">Let’s be honest from the start.</w:t>
      </w:r>
    </w:p>
    <w:p>
      <w:pPr>
        <w:pStyle w:val="BodyText"/>
      </w:pPr>
      <w:r>
        <w:t xml:space="preserve">To truly understand how information systems work, you need hands-on experience with databases. That means learning to use tools like Microsoft Access, writing SQL queries, and working with platforms like SQLite, PostgreSQL, and Supabase. There is no way around it — these are not optional skills in today’s data-driven organization</w:t>
      </w:r>
    </w:p>
    <w:p>
      <w:pPr>
        <w:pStyle w:val="BodyText"/>
      </w:pPr>
      <w:r>
        <w:t xml:space="preserve">Managers do not need to become programmers, but they do need to understand how data flows through systems, how KPIs are derived, and how design choices dictate what is measurable, visible, and actionable. Without that understanding, decision-making becomes reactive, fragmented, and often misleading.</w:t>
      </w:r>
    </w:p>
    <w:p>
      <w:pPr>
        <w:pStyle w:val="BodyText"/>
      </w:pPr>
      <w:r>
        <w:t xml:space="preserve">The good news is this:</w:t>
      </w:r>
      <w:r>
        <w:t xml:space="preserve"> </w:t>
      </w:r>
      <w:r>
        <w:rPr>
          <w:b/>
          <w:bCs/>
        </w:rPr>
        <w:t xml:space="preserve">you are not expected to become a database engineer.</w:t>
      </w:r>
      <w:r>
        <w:t xml:space="preserve"> </w:t>
      </w:r>
      <w:r>
        <w:t xml:space="preserve">We will focus on</w:t>
      </w:r>
      <w:r>
        <w:t xml:space="preserve"> </w:t>
      </w:r>
      <w:r>
        <w:rPr>
          <w:i/>
          <w:iCs/>
        </w:rPr>
        <w:t xml:space="preserve">why</w:t>
      </w:r>
      <w:r>
        <w:t xml:space="preserve"> </w:t>
      </w:r>
      <w:r>
        <w:t xml:space="preserve">databases are designed the way they are,</w:t>
      </w:r>
      <w:r>
        <w:t xml:space="preserve"> </w:t>
      </w:r>
      <w:r>
        <w:rPr>
          <w:i/>
          <w:iCs/>
        </w:rPr>
        <w:t xml:space="preserve">how</w:t>
      </w:r>
      <w:r>
        <w:t xml:space="preserve"> </w:t>
      </w:r>
      <w:r>
        <w:t xml:space="preserve">queries answer business questions, and</w:t>
      </w:r>
      <w:r>
        <w:t xml:space="preserve"> </w:t>
      </w:r>
      <w:r>
        <w:rPr>
          <w:i/>
          <w:iCs/>
        </w:rPr>
        <w:t xml:space="preserve">what</w:t>
      </w:r>
      <w:r>
        <w:t xml:space="preserve"> </w:t>
      </w:r>
      <w:r>
        <w:t xml:space="preserve">the results mean for performance and decision-making. We will take it step by step, connect everything to real business scenarios, and keep the focus on understanding rather than intimidation. This is not a book about using tools for their own sake. It is a book about understanding why those tools exist and how they create value.</w:t>
      </w:r>
    </w:p>
    <w:p>
      <w:pPr>
        <w:pStyle w:val="BodyText"/>
      </w:pPr>
      <w:r>
        <w:rPr>
          <w:b/>
          <w:bCs/>
        </w:rPr>
        <w:t xml:space="preserve">In short:</w:t>
      </w:r>
      <w:r>
        <w:t xml:space="preserve"> </w:t>
      </w:r>
      <w:r>
        <w:t xml:space="preserve">yes, there will be databases and SQL. But I promise to make it as painless — and as rewarding — as possible.</w:t>
      </w:r>
    </w:p>
    <w:p>
      <w:pPr>
        <w:pStyle w:val="BlockText"/>
      </w:pPr>
      <w:r>
        <w:t xml:space="preserve">[!IMPORTANT]</w:t>
      </w:r>
      <w:r>
        <w:t xml:space="preserve"> </w:t>
      </w:r>
      <w:r>
        <w:t xml:space="preserve">If you have never written a line of code, you are in good company. This book is designed for business students, not computer science majors. Every technical concept is introduced gradually and grounded in a business context you already understand.</w:t>
      </w:r>
    </w:p>
    <w:p>
      <w:pPr>
        <w:pStyle w:val="FirstParagraph"/>
      </w:pPr>
      <w:r>
        <w:t xml:space="preserve">📝</w:t>
      </w:r>
      <w:r>
        <w:t xml:space="preserve"> </w:t>
      </w:r>
      <w:r>
        <w:rPr>
          <w:b/>
          <w:bCs/>
        </w:rPr>
        <w:t xml:space="preserve">Note:</w:t>
      </w:r>
      <w:r>
        <w:t xml:space="preserve"> </w:t>
      </w:r>
      <w:r>
        <w:t xml:space="preserve">If you have never written a line of code, you are in good company. This book is designed for business students, not computer science majors. Every technical concept is introduced gradually and grounded in a business context you already understand.</w:t>
      </w:r>
    </w:p>
    <w:p>
      <w:pPr>
        <w:pStyle w:val="BodyText"/>
      </w:pPr>
      <w:r>
        <w:t xml:space="preserve">Figure 1.1 – The learning journey: from business question to data insight</w:t>
      </w:r>
      <w:r>
        <w:t xml:space="preserve"> </w:t>
      </w:r>
      <w:r>
        <w:rPr>
          <w:i/>
          <w:iCs/>
        </w:rPr>
        <w:t xml:space="preserve">Figure 1.1 – The learning journey: from business question to data insight</w:t>
      </w:r>
    </w:p>
    <w:p>
      <w:pPr>
        <w:pStyle w:val="BodyText"/>
      </w:pPr>
      <w:r>
        <w:t xml:space="preserve">🎨 Image Generation Prompt</w:t>
      </w:r>
    </w:p>
    <w:p>
      <w:pPr>
        <w:pStyle w:val="BodyText"/>
      </w:pPr>
      <w:r>
        <w:rPr>
          <w:b/>
          <w:bCs/>
        </w:rPr>
        <w:t xml:space="preserve">Filename</w:t>
      </w:r>
      <w:r>
        <w:t xml:space="preserve">:</w:t>
      </w:r>
      <w:r>
        <w:t xml:space="preserve"> </w:t>
      </w:r>
      <w:r>
        <w:rPr>
          <w:rStyle w:val="VerbatimChar"/>
        </w:rPr>
        <w:t xml:space="preserve">figure-1.1-learning-journey.png</w:t>
      </w:r>
      <w:r>
        <w:t xml:space="preserve"> </w:t>
      </w:r>
      <w:r>
        <w:rPr>
          <w:b/>
          <w:bCs/>
        </w:rPr>
        <w:t xml:space="preserve">Caption</w:t>
      </w:r>
      <w:r>
        <w:t xml:space="preserve">:</w:t>
      </w:r>
      <w:r>
        <w:t xml:space="preserve"> </w:t>
      </w:r>
      <w:r>
        <w:t xml:space="preserve">“Figure 1.1 – The learning journey: from business question to data insight”</w:t>
      </w:r>
      <w:r>
        <w:t xml:space="preserve"> </w:t>
      </w:r>
      <w:r>
        <w:rPr>
          <w:b/>
          <w:bCs/>
        </w:rPr>
        <w:t xml:space="preserve">Gemini Prompt</w:t>
      </w:r>
      <w:r>
        <w:t xml:space="preserve">:</w:t>
      </w:r>
      <w:r>
        <w:t xml:space="preserve"> </w:t>
      </w:r>
      <w:r>
        <w:t xml:space="preserve">“Create a clean, professional educational illustration showing a three-stage learning journey for a college textbook. Stage 1 (left): a person with a business question mark above their head. Stage 2 (center): the person working with a laptop showing a database table and SQL code. Stage 3 (right): the person presenting a clear bar chart and insight bubble. Connect the stages with a gently curving arrow. Use a blue and warm-gold color palette, modern flat design, white background. No paragraph text – only short labels:</w:t>
      </w:r>
      <w:r>
        <w:t xml:space="preserve"> </w:t>
      </w:r>
      <w:r>
        <w:t xml:space="preserve">‘Business Question,’</w:t>
      </w:r>
      <w:r>
        <w:t xml:space="preserve"> </w:t>
      </w:r>
      <w:r>
        <w:t xml:space="preserve">‘Technical Tools,’</w:t>
      </w:r>
      <w:r>
        <w:t xml:space="preserve"> </w:t>
      </w:r>
      <w:r>
        <w:t xml:space="preserve">‘Actionable Insight.’</w:t>
      </w:r>
      <w:r>
        <w:t xml:space="preserve">”</w:t>
      </w:r>
    </w:p>
    <w:p>
      <w:pPr>
        <w:pStyle w:val="BodyText"/>
      </w:pPr>
      <w:r>
        <w:t xml:space="preserve">Figure 1.0 – Chapter Overview: Welcome to the Textbook</w:t>
      </w:r>
      <w:r>
        <w:t xml:space="preserve"> </w:t>
      </w:r>
      <w:r>
        <w:rPr>
          <w:i/>
          <w:iCs/>
        </w:rPr>
        <w:t xml:space="preserve">Figure 1.0 – Chapter Overview: Welcome to the Textbook</w:t>
      </w:r>
    </w:p>
    <w:p>
      <w:pPr>
        <w:pStyle w:val="BodyText"/>
      </w:pPr>
      <w:r>
        <w:t xml:space="preserve">🎨 Image Generation Prompt</w:t>
      </w:r>
    </w:p>
    <w:p>
      <w:pPr>
        <w:pStyle w:val="BodyText"/>
      </w:pPr>
      <w:r>
        <w:rPr>
          <w:b/>
          <w:bCs/>
        </w:rPr>
        <w:t xml:space="preserve">Filename</w:t>
      </w:r>
      <w:r>
        <w:t xml:space="preserve">:</w:t>
      </w:r>
      <w:r>
        <w:t xml:space="preserve"> </w:t>
      </w:r>
      <w:r>
        <w:rPr>
          <w:rStyle w:val="VerbatimChar"/>
        </w:rPr>
        <w:t xml:space="preserve">figure-1.0-chapter-overview.png</w:t>
      </w:r>
      <w:r>
        <w:t xml:space="preserve"> </w:t>
      </w:r>
      <w:r>
        <w:rPr>
          <w:b/>
          <w:bCs/>
        </w:rPr>
        <w:t xml:space="preserve">Caption</w:t>
      </w:r>
      <w:r>
        <w:t xml:space="preserve">:</w:t>
      </w:r>
      <w:r>
        <w:t xml:space="preserve"> </w:t>
      </w:r>
      <w:r>
        <w:t xml:space="preserve">“Figure 1.0 – Chapter Overview: Welcome to the Textbook”</w:t>
      </w:r>
      <w:r>
        <w:t xml:space="preserve"> </w:t>
      </w:r>
      <w:r>
        <w:rPr>
          <w:b/>
          <w:bCs/>
        </w:rPr>
        <w:t xml:space="preserve">Gemini Prompt</w:t>
      </w:r>
      <w:r>
        <w:t xml:space="preserve">:</w:t>
      </w:r>
      <w:r>
        <w:t xml:space="preserve"> </w:t>
      </w:r>
      <w:r>
        <w:t xml:space="preserve">“Create a professional, clean educational illustration for a college textbook chapter cover. Show a panoramic view of a learning journey: on the left, scattered data points and spreadsheets; in the center, a student organizing data into structured database tables; on the right, a dashboard with charts and a confident professional making decisions. Connect the stages with a flowing path or timeline ribbon. Use a blue and warm-gold color palette. Modern flat design, white background. No text labels on the image.”</w:t>
      </w:r>
    </w:p>
    <w:p>
      <w:pPr>
        <w:pStyle w:val="BlockText"/>
      </w:pPr>
      <w:r>
        <w:t xml:space="preserve">[!TIP]</w:t>
      </w:r>
      <w:r>
        <w:t xml:space="preserve"> </w:t>
      </w:r>
      <w:r>
        <w:t xml:space="preserve">Optional information to help a user be more successful</w:t>
      </w:r>
    </w:p>
    <w:bookmarkEnd w:id="21"/>
    <w:bookmarkStart w:id="24" w:name="why-this-book-exists"/>
    <w:p>
      <w:pPr>
        <w:pStyle w:val="Heading2"/>
      </w:pPr>
      <w:r>
        <w:t xml:space="preserve">1.2 Why This Book Exists</w:t>
      </w:r>
    </w:p>
    <w:bookmarkStart w:id="22" w:name="the-gap-this-book-fills"/>
    <w:p>
      <w:pPr>
        <w:pStyle w:val="Heading3"/>
      </w:pPr>
      <w:r>
        <w:t xml:space="preserve">1.2.1 The Gap This Book Fills</w:t>
      </w:r>
    </w:p>
    <w:p>
      <w:pPr>
        <w:pStyle w:val="FirstParagraph"/>
      </w:pPr>
      <w:r>
        <w:t xml:space="preserve">I wrote this book because I could not find the one I wanted to teach from.</w:t>
      </w:r>
    </w:p>
    <w:p>
      <w:pPr>
        <w:pStyle w:val="BodyText"/>
      </w:pPr>
      <w:r>
        <w:t xml:space="preserve">Most MIS textbooks fall into one of two categories. Some are overly technical — focusing on code or software features without connecting them to business performance. Others are highly conceptual — discussing strategy and digital transformation while treating databases and data work as black boxes. In practice, business performance lives in the space between those two extremes.</w:t>
      </w:r>
    </w:p>
    <w:p>
      <w:pPr>
        <w:pStyle w:val="BodyText"/>
      </w:pPr>
      <w:r>
        <w:t xml:space="preserve">Over ten years of teaching business analytics and management information systems, I heard the same things from students again and again:</w:t>
      </w:r>
    </w:p>
    <w:p>
      <w:pPr>
        <w:pStyle w:val="BlockText"/>
      </w:pPr>
      <w:r>
        <w:rPr>
          <w:i/>
          <w:iCs/>
        </w:rPr>
        <w:t xml:space="preserve">“I understand the terms, but not how they connect.”</w:t>
      </w:r>
      <w:r>
        <w:t xml:space="preserve"> </w:t>
      </w:r>
      <w:r>
        <w:rPr>
          <w:i/>
          <w:iCs/>
        </w:rPr>
        <w:t xml:space="preserve">“We learn SQL, but I don’t know why it matters.”</w:t>
      </w:r>
      <w:r>
        <w:t xml:space="preserve"> </w:t>
      </w:r>
      <w:r>
        <w:rPr>
          <w:i/>
          <w:iCs/>
        </w:rPr>
        <w:t xml:space="preserve">“Databases feel intimidating.”</w:t>
      </w:r>
    </w:p>
    <w:p>
      <w:pPr>
        <w:pStyle w:val="FirstParagraph"/>
      </w:pPr>
      <w:r>
        <w:t xml:space="preserve">And from instructors:</w:t>
      </w:r>
    </w:p>
    <w:p>
      <w:pPr>
        <w:pStyle w:val="BlockText"/>
      </w:pPr>
      <w:r>
        <w:rPr>
          <w:i/>
          <w:iCs/>
        </w:rPr>
        <w:t xml:space="preserve">“No single book integrates data, SQL, systems, and performance in one coherent narrative.”</w:t>
      </w:r>
      <w:r>
        <w:t xml:space="preserve"> </w:t>
      </w:r>
      <w:r>
        <w:rPr>
          <w:i/>
          <w:iCs/>
        </w:rPr>
        <w:t xml:space="preserve">“Labs and assessments are outdated or hard to manage.”</w:t>
      </w:r>
    </w:p>
    <w:p>
      <w:pPr>
        <w:pStyle w:val="FirstParagraph"/>
      </w:pPr>
      <w:r>
        <w:t xml:space="preserve">These are not motivation problems. They are structural pedagogy problems — and they are exactly what this book is designed to solve.</w:t>
      </w:r>
    </w:p>
    <w:p>
      <w:pPr>
        <w:pStyle w:val="BodyText"/>
      </w:pPr>
      <w:r>
        <w:t xml:space="preserve">Students were capable, curious, and motivated, yet often intimidated by databases and technical concepts. At the same time, they intuitively understood business problems and performance goals. I wanted to close that gap (Davenport &amp; Harris, 2017).</w:t>
      </w:r>
    </w:p>
    <w:p>
      <w:pPr>
        <w:pStyle w:val="BodyText"/>
      </w:pPr>
      <w:r>
        <w:t xml:space="preserve">This book is built around a simple but powerful idea:</w:t>
      </w:r>
      <w:r>
        <w:t xml:space="preserve"> </w:t>
      </w:r>
      <w:r>
        <w:rPr>
          <w:b/>
          <w:bCs/>
        </w:rPr>
        <w:t xml:space="preserve">every information system is an input-process-output system, and every database decision has business consequences.</w:t>
      </w:r>
      <w:r>
        <w:t xml:space="preserve"> </w:t>
      </w:r>
      <w:r>
        <w:t xml:space="preserve">Managers do not need to become programmers, but they do need to understand how data flows through systems, how KPIs are derived, and how design choices dictate what is measurable, visible, and actionable. Without that understanding, decision-making becomes reactive, fragmented, and often misleading.</w:t>
      </w:r>
    </w:p>
    <w:p>
      <w:pPr>
        <w:pStyle w:val="BlockText"/>
      </w:pPr>
      <w:r>
        <w:t xml:space="preserve">[!IMPORTANT]</w:t>
      </w:r>
      <w:r>
        <w:t xml:space="preserve"> </w:t>
      </w:r>
      <w:r>
        <w:t xml:space="preserve">A technically correct database is useless if nobody understands what it measures or why. This book treats business context as inseparable from technical design.</w:t>
      </w:r>
    </w:p>
    <w:bookmarkEnd w:id="22"/>
    <w:bookmarkStart w:id="23" w:name="what-makes-this-book-different"/>
    <w:p>
      <w:pPr>
        <w:pStyle w:val="Heading3"/>
      </w:pPr>
      <w:r>
        <w:t xml:space="preserve">1.2.2 What Makes This Book Different</w:t>
      </w:r>
    </w:p>
    <w:p>
      <w:pPr>
        <w:pStyle w:val="FirstParagraph"/>
      </w:pPr>
      <w:r>
        <w:t xml:space="preserve">Rather than treating databases as one chapter among many, this book positions them as the structural backbone of business performance systems. Concepts, SQL, analytics, and strategy are integrated through a single, continuous system narrative that evolves across the book:</w:t>
      </w:r>
    </w:p>
    <w:p>
      <w:pPr>
        <w:pStyle w:val="BodyText"/>
      </w:pPr>
      <w:r>
        <w:rPr>
          <w:b/>
          <w:bCs/>
        </w:rPr>
        <w:t xml:space="preserve">Data → Tables → Relationships → Queries → Analytics → Decisions</w:t>
      </w:r>
    </w:p>
    <w:p>
      <w:pPr>
        <w:pStyle w:val="BodyText"/>
      </w:pPr>
      <w:r>
        <w:t xml:space="preserve">Students build, query, and analyze the same database throughout, seeing clearly how data structure shapes metrics, insight, and managerial decision-making.</w:t>
      </w:r>
    </w:p>
    <w:p>
      <w:pPr>
        <w:pStyle w:val="BodyText"/>
      </w:pPr>
      <w:r>
        <w:t xml:space="preserve">Unlike traditional MIS textbooks, this book integrates:</w:t>
      </w:r>
    </w:p>
    <w:p>
      <w:pPr>
        <w:pStyle w:val="Compact"/>
        <w:numPr>
          <w:ilvl w:val="0"/>
          <w:numId w:val="1002"/>
        </w:numPr>
      </w:pPr>
      <w:r>
        <w:rPr>
          <w:b/>
          <w:bCs/>
        </w:rPr>
        <w:t xml:space="preserve">Multiple database platforms</w:t>
      </w:r>
      <w:r>
        <w:t xml:space="preserve"> </w:t>
      </w:r>
      <w:r>
        <w:t xml:space="preserve">— not just Microsoft Access, but SQLite, SQL, and Supabase, reflecting how databases are actually used today.</w:t>
      </w:r>
    </w:p>
    <w:p>
      <w:pPr>
        <w:pStyle w:val="Compact"/>
        <w:numPr>
          <w:ilvl w:val="0"/>
          <w:numId w:val="1002"/>
        </w:numPr>
      </w:pPr>
      <w:r>
        <w:rPr>
          <w:b/>
          <w:bCs/>
        </w:rPr>
        <w:t xml:space="preserve">Diagramming and modeling tools</w:t>
      </w:r>
      <w:r>
        <w:t xml:space="preserve"> </w:t>
      </w:r>
      <w:r>
        <w:t xml:space="preserve">— Lucidchart and Mermaid for Entity Relationship Diagrams, making design visual and collaborative.</w:t>
      </w:r>
    </w:p>
    <w:p>
      <w:pPr>
        <w:pStyle w:val="Compact"/>
        <w:numPr>
          <w:ilvl w:val="0"/>
          <w:numId w:val="1002"/>
        </w:numPr>
      </w:pPr>
      <w:r>
        <w:rPr>
          <w:b/>
          <w:bCs/>
        </w:rPr>
        <w:t xml:space="preserve">An advanced SQL workflow</w:t>
      </w:r>
      <w:r>
        <w:t xml:space="preserve"> </w:t>
      </w:r>
      <w:r>
        <w:t xml:space="preserve">— moving beyond basic SELECT statements into real analytical queries.</w:t>
      </w:r>
    </w:p>
    <w:p>
      <w:pPr>
        <w:pStyle w:val="Compact"/>
        <w:numPr>
          <w:ilvl w:val="0"/>
          <w:numId w:val="1002"/>
        </w:numPr>
      </w:pPr>
      <w:r>
        <w:rPr>
          <w:b/>
          <w:bCs/>
        </w:rPr>
        <w:t xml:space="preserve">Cloud-based tools</w:t>
      </w:r>
      <w:r>
        <w:t xml:space="preserve"> </w:t>
      </w:r>
      <w:r>
        <w:t xml:space="preserve">— introducing modern platforms alongside desktop applications.</w:t>
      </w:r>
    </w:p>
    <w:p>
      <w:pPr>
        <w:pStyle w:val="Compact"/>
        <w:numPr>
          <w:ilvl w:val="0"/>
          <w:numId w:val="1002"/>
        </w:numPr>
      </w:pPr>
      <w:r>
        <w:rPr>
          <w:b/>
          <w:bCs/>
        </w:rPr>
        <w:t xml:space="preserve">A clear, step-by-step progression</w:t>
      </w:r>
      <w:r>
        <w:t xml:space="preserve"> </w:t>
      </w:r>
      <w:r>
        <w:t xml:space="preserve">— designed to be genuinely easy to follow, even if you have never written a line of code.</w:t>
      </w:r>
    </w:p>
    <w:p>
      <w:pPr>
        <w:pStyle w:val="Compact"/>
        <w:numPr>
          <w:ilvl w:val="0"/>
          <w:numId w:val="1002"/>
        </w:numPr>
      </w:pPr>
      <w:r>
        <w:rPr>
          <w:b/>
          <w:bCs/>
        </w:rPr>
        <w:t xml:space="preserve">A single running case study</w:t>
      </w:r>
      <w:r>
        <w:t xml:space="preserve"> </w:t>
      </w:r>
      <w:r>
        <w:t xml:space="preserve">— the Grading Database, which gives every chapter a shared, familiar context.</w:t>
      </w:r>
    </w:p>
    <w:p>
      <w:pPr>
        <w:pStyle w:val="Compact"/>
        <w:numPr>
          <w:ilvl w:val="0"/>
          <w:numId w:val="1002"/>
        </w:numPr>
      </w:pPr>
      <w:r>
        <w:rPr>
          <w:b/>
          <w:bCs/>
        </w:rPr>
        <w:t xml:space="preserve">Digital-first design</w:t>
      </w:r>
      <w:r>
        <w:t xml:space="preserve"> </w:t>
      </w:r>
      <w:r>
        <w:t xml:space="preserve">— written in Markdown and publishable across HTML, EPUB, PDF, and DOCX formats, ensuring the content stays maintainable, accessible, and future-proof.</w:t>
      </w:r>
    </w:p>
    <w:p>
      <w:pPr>
        <w:pStyle w:val="FirstParagraph"/>
      </w:pPr>
      <w:r>
        <w:t xml:space="preserve">The result is a textbook that meets you where you are and prepares you for how organizations actually work with data.</w:t>
      </w:r>
    </w:p>
    <w:p>
      <w:pPr>
        <w:pStyle w:val="BodyText"/>
      </w:pPr>
      <w:r>
        <w:rPr>
          <w:b/>
          <w:bCs/>
        </w:rPr>
        <w:t xml:space="preserve">In short:</w:t>
      </w:r>
      <w:r>
        <w:t xml:space="preserve"> </w:t>
      </w:r>
      <w:r>
        <w:t xml:space="preserve">this book is not just about learning SQL or Access. It is about understanding how databases support business performance — and how you can design, query, and analyze them to drive better decisions.</w:t>
      </w:r>
    </w:p>
    <w:p>
      <w:pPr>
        <w:pStyle w:val="BlockText"/>
      </w:pPr>
      <w:r>
        <w:t xml:space="preserve">rrrr</w:t>
      </w:r>
    </w:p>
    <w:p>
      <w:pPr>
        <w:pStyle w:val="BlockText"/>
      </w:pPr>
      <w:r>
        <w:t xml:space="preserve">rrrrr</w:t>
      </w:r>
    </w:p>
    <w:bookmarkEnd w:id="23"/>
    <w:bookmarkEnd w:id="24"/>
    <w:bookmarkStart w:id="25" w:name="about-the-author"/>
    <w:p>
      <w:pPr>
        <w:pStyle w:val="Heading2"/>
      </w:pPr>
      <w:r>
        <w:t xml:space="preserve">1.3 About the Author</w:t>
      </w:r>
    </w:p>
    <w:p>
      <w:pPr>
        <w:pStyle w:val="FirstParagraph"/>
      </w:pPr>
      <w:r>
        <w:t xml:space="preserve">I’m Dr. Nimrod Dvir. I teach Information Systems and Business Analytics at the University at Albany, SUNY (AACSB-accredited).</w:t>
      </w:r>
    </w:p>
    <w:p>
      <w:pPr>
        <w:pStyle w:val="BodyText"/>
      </w:pPr>
      <w:r>
        <w:t xml:space="preserve">My background spans Information Science, Human-Computer Interaction, and Management Information Systems — with six years of doctoral training and over five years of university teaching. I have taught more than 3,000 students across 20+ course deliveries in multiple formats. Professionally, I have worked at the intersection of business, data, and technology — in academia, UX research, product development, and digital strategy — helping organizations understand not just what systems do, but how people actually use them to make decisions.</w:t>
      </w:r>
    </w:p>
    <w:p>
      <w:pPr>
        <w:pStyle w:val="BodyText"/>
      </w:pPr>
      <w:r>
        <w:t xml:space="preserve">Over years of teaching at this scale, I noticed something consistent: students were capable, curious, and motivated, yet often intimidated by databases and technical concepts. At the same time, they intuitively understood business problems and performance goals. This book is built on that observation.</w:t>
      </w:r>
    </w:p>
    <w:p>
      <w:pPr>
        <w:pStyle w:val="BodyText"/>
      </w:pPr>
      <w:r>
        <w:t xml:space="preserve">My teaching philosophy is straightforward:</w:t>
      </w:r>
    </w:p>
    <w:p>
      <w:pPr>
        <w:pStyle w:val="BodyText"/>
      </w:pPr>
      <w:r>
        <w:rPr>
          <w:b/>
          <w:bCs/>
        </w:rPr>
        <w:t xml:space="preserve">Technology should never be taught in isolation.</w:t>
      </w:r>
      <w:r>
        <w:t xml:space="preserve"> </w:t>
      </w:r>
      <w:r>
        <w:t xml:space="preserve">Databases, SQL, dashboards, and information systems only make sense when they are clearly connected to organizational goals, human behavior, and measurable outcomes. Students learn best when concepts are grounded in realistic examples, explained clearly, and treated as tools for thinking rather than obstacles to overcome (Krathwohl, 2002).</w:t>
      </w:r>
    </w:p>
    <w:p>
      <w:pPr>
        <w:pStyle w:val="BodyText"/>
      </w:pPr>
      <w:r>
        <w:t xml:space="preserve">Y</w:t>
      </w:r>
    </w:p>
    <w:bookmarkEnd w:id="25"/>
    <w:bookmarkStart w:id="27" w:name="what-you-will-learn"/>
    <w:p>
      <w:pPr>
        <w:pStyle w:val="Heading2"/>
      </w:pPr>
      <w:r>
        <w:t xml:space="preserve">1.4 What You Will Learn</w:t>
      </w:r>
    </w:p>
    <w:p>
      <w:pPr>
        <w:pStyle w:val="FirstParagraph"/>
      </w:pPr>
      <w:r>
        <w:t xml:space="preserve">This book develops five core competencies — the abilities that separate someone who can recite definitions from someone who can actually work with data.</w:t>
      </w:r>
    </w:p>
    <w:bookmarkStart w:id="26" w:name="five-core-competencies"/>
    <w:p>
      <w:pPr>
        <w:pStyle w:val="Heading3"/>
      </w:pPr>
      <w:r>
        <w:t xml:space="preserve">1.4.1 Five Core Competencies</w:t>
      </w:r>
    </w:p>
    <w:p>
      <w:pPr>
        <w:pStyle w:val="FirstParagraph"/>
      </w:pPr>
      <w:r>
        <w:rPr>
          <w:b/>
          <w:bCs/>
        </w:rPr>
        <w:t xml:space="preserve">Competency 1: Foundational Information Literacy</w:t>
      </w:r>
      <w:r>
        <w:t xml:space="preserve"> </w:t>
      </w:r>
      <w:r>
        <w:t xml:space="preserve">Explain the core principles of database design and articulate how structured data supports effective business decision-making.</w:t>
      </w:r>
    </w:p>
    <w:p>
      <w:pPr>
        <w:pStyle w:val="BodyText"/>
      </w:pPr>
      <w:r>
        <w:rPr>
          <w:b/>
          <w:bCs/>
        </w:rPr>
        <w:t xml:space="preserve">Competency 2: Applied Database Management</w:t>
      </w:r>
      <w:r>
        <w:t xml:space="preserve"> </w:t>
      </w:r>
      <w:r>
        <w:t xml:space="preserve">Design, query, and manage relational databases using SQL and Microsoft Access to solve real-world business challenges.</w:t>
      </w:r>
    </w:p>
    <w:p>
      <w:pPr>
        <w:pStyle w:val="BodyText"/>
      </w:pPr>
      <w:r>
        <w:rPr>
          <w:b/>
          <w:bCs/>
        </w:rPr>
        <w:t xml:space="preserve">Competency 3: System Optimization and Integrity</w:t>
      </w:r>
      <w:r>
        <w:t xml:space="preserve"> </w:t>
      </w:r>
      <w:r>
        <w:t xml:space="preserve">Apply relational modeling and normalization techniques to ensure data accuracy, efficiency, and scalability within an organization.</w:t>
      </w:r>
    </w:p>
    <w:p>
      <w:pPr>
        <w:pStyle w:val="BodyText"/>
      </w:pPr>
      <w:r>
        <w:rPr>
          <w:b/>
          <w:bCs/>
        </w:rPr>
        <w:t xml:space="preserve">Competency 4: Data-Driven Performance Analysis</w:t>
      </w:r>
      <w:r>
        <w:t xml:space="preserve"> </w:t>
      </w:r>
      <w:r>
        <w:t xml:space="preserve">Use hands-on tools — including SQL, Access, and Excel — to bridge the gap between technical database management and measurable business outcomes.</w:t>
      </w:r>
    </w:p>
    <w:p>
      <w:pPr>
        <w:pStyle w:val="BodyText"/>
      </w:pPr>
      <w:r>
        <w:rPr>
          <w:b/>
          <w:bCs/>
        </w:rPr>
        <w:t xml:space="preserve">Competency 5: Strategic Problem Solving</w:t>
      </w:r>
      <w:r>
        <w:t xml:space="preserve"> </w:t>
      </w:r>
      <w:r>
        <w:t xml:space="preserve">Synthesize technical skills with business context to analyze complex problems, propose data-driven solutions, and support strategic organizational goals.</w:t>
      </w:r>
    </w:p>
    <w:p>
      <w:pPr>
        <w:pStyle w:val="BodyText"/>
      </w:pPr>
      <w:r>
        <w:t xml:space="preserve">Rather than memorizing terms, you will:</w:t>
      </w:r>
    </w:p>
    <w:p>
      <w:pPr>
        <w:pStyle w:val="Compact"/>
        <w:numPr>
          <w:ilvl w:val="0"/>
          <w:numId w:val="1003"/>
        </w:numPr>
      </w:pPr>
      <w:r>
        <w:t xml:space="preserve">Design databases to solve organizational problems</w:t>
      </w:r>
    </w:p>
    <w:p>
      <w:pPr>
        <w:pStyle w:val="Compact"/>
        <w:numPr>
          <w:ilvl w:val="0"/>
          <w:numId w:val="1003"/>
        </w:numPr>
      </w:pPr>
      <w:r>
        <w:t xml:space="preserve">Write SQL queries to extract actionable insights</w:t>
      </w:r>
    </w:p>
    <w:p>
      <w:pPr>
        <w:pStyle w:val="Compact"/>
        <w:numPr>
          <w:ilvl w:val="0"/>
          <w:numId w:val="1003"/>
        </w:numPr>
      </w:pPr>
      <w:r>
        <w:t xml:space="preserve">Analyze how information systems influence human behavior and accountability</w:t>
      </w:r>
    </w:p>
    <w:p>
      <w:pPr>
        <w:pStyle w:val="FirstParagraph"/>
      </w:pPr>
      <w:r>
        <w:t xml:space="preserve">✅</w:t>
      </w:r>
      <w:r>
        <w:t xml:space="preserve"> </w:t>
      </w:r>
      <w:r>
        <w:rPr>
          <w:b/>
          <w:bCs/>
        </w:rPr>
        <w:t xml:space="preserve">Good Practice:</w:t>
      </w:r>
      <w:r>
        <w:t xml:space="preserve"> </w:t>
      </w:r>
      <w:r>
        <w:t xml:space="preserve">As you progress through the book, revisit these five competencies periodically. They are not just learning objectives — they are professional capabilities you are building, one chapter at a time.</w:t>
      </w:r>
    </w:p>
    <w:p>
      <w:pPr>
        <w:pStyle w:val="BodyText"/>
      </w:pPr>
      <w:r>
        <w:t xml:space="preserve">Figure 1.2 – Five core competencies mapped to the book’s progression</w:t>
      </w:r>
      <w:r>
        <w:t xml:space="preserve"> </w:t>
      </w:r>
      <w:r>
        <w:rPr>
          <w:i/>
          <w:iCs/>
        </w:rPr>
        <w:t xml:space="preserve">Figure 1.2 – Five core competencies mapped to the book’s progression</w:t>
      </w:r>
    </w:p>
    <w:p>
      <w:pPr>
        <w:pStyle w:val="BodyText"/>
      </w:pPr>
      <w:r>
        <w:t xml:space="preserve">🎨 Image Generation Prompt</w:t>
      </w:r>
    </w:p>
    <w:p>
      <w:pPr>
        <w:pStyle w:val="BodyText"/>
      </w:pPr>
      <w:r>
        <w:rPr>
          <w:b/>
          <w:bCs/>
        </w:rPr>
        <w:t xml:space="preserve">Filename</w:t>
      </w:r>
      <w:r>
        <w:t xml:space="preserve">:</w:t>
      </w:r>
      <w:r>
        <w:t xml:space="preserve"> </w:t>
      </w:r>
      <w:r>
        <w:rPr>
          <w:rStyle w:val="VerbatimChar"/>
        </w:rPr>
        <w:t xml:space="preserve">figure-1.2-competency-map.png</w:t>
      </w:r>
      <w:r>
        <w:t xml:space="preserve"> </w:t>
      </w:r>
      <w:r>
        <w:rPr>
          <w:b/>
          <w:bCs/>
        </w:rPr>
        <w:t xml:space="preserve">Caption</w:t>
      </w:r>
      <w:r>
        <w:t xml:space="preserve">:</w:t>
      </w:r>
      <w:r>
        <w:t xml:space="preserve"> </w:t>
      </w:r>
      <w:r>
        <w:t xml:space="preserve">“Figure 1.2 – Five core competencies mapped to the book’s progression”</w:t>
      </w:r>
      <w:r>
        <w:t xml:space="preserve"> </w:t>
      </w:r>
      <w:r>
        <w:rPr>
          <w:b/>
          <w:bCs/>
        </w:rPr>
        <w:t xml:space="preserve">Gemini Prompt</w:t>
      </w:r>
      <w:r>
        <w:t xml:space="preserve">:</w:t>
      </w:r>
      <w:r>
        <w:t xml:space="preserve"> </w:t>
      </w:r>
      <w:r>
        <w:t xml:space="preserve">“Create a professional, horizontal staircase or ascending-path infographic for a college textbook. Show five labeled steps rising from left to right: (1) Foundational Information Literacy, (2) Applied Database Management, (3) System Optimization and Integrity, (4) Data-Driven Performance Analysis, (5) Strategic Problem Solving. Each step should have a small relevant icon (book, database cylinder, gears, chart, lightbulb). Use a blue and warm-gold color palette, clean modern flat design, white background. Include a subtle arrow from start to finish suggesting progression.”</w:t>
      </w:r>
    </w:p>
    <w:bookmarkEnd w:id="26"/>
    <w:bookmarkEnd w:id="27"/>
    <w:bookmarkStart w:id="30" w:name="the-books-philosophy-from-data-to-wisdom"/>
    <w:p>
      <w:pPr>
        <w:pStyle w:val="Heading2"/>
      </w:pPr>
      <w:r>
        <w:t xml:space="preserve">1.5 The Book’s Philosophy: From Data to Wisdom</w:t>
      </w:r>
    </w:p>
    <w:bookmarkStart w:id="28" w:name="why-data-matters"/>
    <w:p>
      <w:pPr>
        <w:pStyle w:val="Heading3"/>
      </w:pPr>
      <w:r>
        <w:t xml:space="preserve">1.5.1 Why Data Matters</w:t>
      </w:r>
    </w:p>
    <w:p>
      <w:pPr>
        <w:pStyle w:val="FirstParagraph"/>
      </w:pPr>
      <w:r>
        <w:t xml:space="preserve">Every modern organization, regardless of size, runs on data. Whether it is a local cafe optimizing its inventory or a tech giant refining its algorithms, the difference between success and failure often lies in the ability to turn information into action.</w:t>
      </w:r>
    </w:p>
    <w:p>
      <w:pPr>
        <w:pStyle w:val="BodyText"/>
      </w:pPr>
      <w:r>
        <w:t xml:space="preserve">In the past, business decisions were often driven by gut feeling. Today, they are driven by systems. Information technologies have moved from the basement to the boardroom, shaping how teams collaborate, how products are designed, and how value is delivered.</w:t>
      </w:r>
    </w:p>
    <w:p>
      <w:pPr>
        <w:pStyle w:val="BodyText"/>
      </w:pPr>
      <w:r>
        <w:t xml:space="preserve">But having data is not enough. You must know how to use it. This book is designed to make you an architect of that process — someone who can build, query, and interpret the systems that power modern business. You will see how raw data becomes organizational intelligence, and how the design choices you make today influence the business outcomes of tomorrow.</w:t>
      </w:r>
    </w:p>
    <w:p>
      <w:pPr>
        <w:pStyle w:val="BodyText"/>
      </w:pPr>
      <w:r>
        <w:t xml:space="preserve">ℹ️</w:t>
      </w:r>
      <w:r>
        <w:t xml:space="preserve"> </w:t>
      </w:r>
      <w:r>
        <w:rPr>
          <w:b/>
          <w:bCs/>
        </w:rPr>
        <w:t xml:space="preserve">Info:</w:t>
      </w:r>
      <w:r>
        <w:t xml:space="preserve"> </w:t>
      </w:r>
      <w:r>
        <w:t xml:space="preserve">The journey from raw data to strategic wisdom is not automatic. It requires deliberate design, clear processes, and human judgment at every step. That is what this book teaches.</w:t>
      </w:r>
    </w:p>
    <w:bookmarkEnd w:id="28"/>
    <w:bookmarkStart w:id="29" w:name="the-design-thinking-mindset"/>
    <w:p>
      <w:pPr>
        <w:pStyle w:val="Heading3"/>
      </w:pPr>
      <w:r>
        <w:t xml:space="preserve">1.5.2 The Design Thinking Mindset</w:t>
      </w:r>
    </w:p>
    <w:p>
      <w:pPr>
        <w:pStyle w:val="FirstParagraph"/>
      </w:pPr>
      <w:r>
        <w:t xml:space="preserve">Throughout this book, you will notice that we rarely start with technology. Instead, we start with a question:</w:t>
      </w:r>
      <w:r>
        <w:t xml:space="preserve"> </w:t>
      </w:r>
      <w:r>
        <w:rPr>
          <w:i/>
          <w:iCs/>
        </w:rPr>
        <w:t xml:space="preserve">What problem are we trying to solve?</w:t>
      </w:r>
    </w:p>
    <w:p>
      <w:pPr>
        <w:pStyle w:val="BodyText"/>
      </w:pPr>
      <w:r>
        <w:t xml:space="preserve">This is the essence of design thinking — a problem-solving approach that puts the end user and the business need at the center before choosing tools, writing queries, or building tables. In the context of databases and information systems, design thinking means:</w:t>
      </w:r>
    </w:p>
    <w:p>
      <w:pPr>
        <w:pStyle w:val="Compact"/>
        <w:numPr>
          <w:ilvl w:val="0"/>
          <w:numId w:val="1004"/>
        </w:numPr>
      </w:pPr>
      <w:r>
        <w:rPr>
          <w:b/>
          <w:bCs/>
        </w:rPr>
        <w:t xml:space="preserve">Empathize</w:t>
      </w:r>
      <w:r>
        <w:t xml:space="preserve"> </w:t>
      </w:r>
      <w:r>
        <w:t xml:space="preserve">— Understand who will use the system and what decisions they need to make. A grading database built without understanding how an instructor actually calculates final grades will produce the wrong outputs.</w:t>
      </w:r>
    </w:p>
    <w:p>
      <w:pPr>
        <w:pStyle w:val="Compact"/>
        <w:numPr>
          <w:ilvl w:val="0"/>
          <w:numId w:val="1004"/>
        </w:numPr>
      </w:pPr>
      <w:r>
        <w:rPr>
          <w:b/>
          <w:bCs/>
        </w:rPr>
        <w:t xml:space="preserve">Define</w:t>
      </w:r>
      <w:r>
        <w:t xml:space="preserve"> </w:t>
      </w:r>
      <w:r>
        <w:t xml:space="preserve">— Frame the problem clearly.</w:t>
      </w:r>
      <w:r>
        <w:t xml:space="preserve"> </w:t>
      </w:r>
      <w:r>
        <w:t xml:space="preserve">“We need a database”</w:t>
      </w:r>
      <w:r>
        <w:t xml:space="preserve"> </w:t>
      </w:r>
      <w:r>
        <w:t xml:space="preserve">is not a problem statement.</w:t>
      </w:r>
      <w:r>
        <w:t xml:space="preserve"> </w:t>
      </w:r>
      <w:r>
        <w:t xml:space="preserve">“We need to track student performance across five deliverable types and generate weighted final grades”</w:t>
      </w:r>
      <w:r>
        <w:t xml:space="preserve"> </w:t>
      </w:r>
      <w:r>
        <w:t xml:space="preserve">is.</w:t>
      </w:r>
    </w:p>
    <w:p>
      <w:pPr>
        <w:pStyle w:val="Compact"/>
        <w:numPr>
          <w:ilvl w:val="0"/>
          <w:numId w:val="1004"/>
        </w:numPr>
      </w:pPr>
      <w:r>
        <w:rPr>
          <w:b/>
          <w:bCs/>
        </w:rPr>
        <w:t xml:space="preserve">Ideate</w:t>
      </w:r>
      <w:r>
        <w:t xml:space="preserve"> </w:t>
      </w:r>
      <w:r>
        <w:t xml:space="preserve">— Consider multiple ways to structure the data before committing to one. Should attendance live in its own table or as a column in a grades table? The answer depends on the questions you need to answer.</w:t>
      </w:r>
    </w:p>
    <w:p>
      <w:pPr>
        <w:pStyle w:val="Compact"/>
        <w:numPr>
          <w:ilvl w:val="0"/>
          <w:numId w:val="1004"/>
        </w:numPr>
      </w:pPr>
      <w:r>
        <w:rPr>
          <w:b/>
          <w:bCs/>
        </w:rPr>
        <w:t xml:space="preserve">Prototype</w:t>
      </w:r>
      <w:r>
        <w:t xml:space="preserve"> </w:t>
      </w:r>
      <w:r>
        <w:t xml:space="preserve">— Build a working version quickly. In database terms, this means sketching an Entity Relationship Diagram, creating a few tables, entering sample data, and testing queries before scaling up.</w:t>
      </w:r>
    </w:p>
    <w:p>
      <w:pPr>
        <w:pStyle w:val="Compact"/>
        <w:numPr>
          <w:ilvl w:val="0"/>
          <w:numId w:val="1004"/>
        </w:numPr>
      </w:pPr>
      <w:r>
        <w:rPr>
          <w:b/>
          <w:bCs/>
        </w:rPr>
        <w:t xml:space="preserve">Test</w:t>
      </w:r>
      <w:r>
        <w:t xml:space="preserve"> </w:t>
      </w:r>
      <w:r>
        <w:t xml:space="preserve">— Run real queries against your design. If a simple question like</w:t>
      </w:r>
      <w:r>
        <w:t xml:space="preserve"> </w:t>
      </w:r>
      <w:r>
        <w:t xml:space="preserve">“What is this student’s attendance percentage?”</w:t>
      </w:r>
      <w:r>
        <w:t xml:space="preserve"> </w:t>
      </w:r>
      <w:r>
        <w:t xml:space="preserve">requires a convoluted five-table join, the design needs rethinking.</w:t>
      </w:r>
    </w:p>
    <w:p>
      <w:pPr>
        <w:pStyle w:val="FirstParagraph"/>
      </w:pPr>
      <w:r>
        <w:t xml:space="preserve">Design thinking is not a detour from technical work — it is the foundation of good technical work. The best databases are not the ones with the most tables or the most complex SQL. They are the ones where someone asked the right questions before writing a single line of code.</w:t>
      </w:r>
    </w:p>
    <w:p>
      <w:pPr>
        <w:pStyle w:val="BodyText"/>
      </w:pPr>
      <w:r>
        <w:t xml:space="preserve">💡</w:t>
      </w:r>
      <w:r>
        <w:t xml:space="preserve"> </w:t>
      </w:r>
      <w:r>
        <w:rPr>
          <w:b/>
          <w:bCs/>
        </w:rPr>
        <w:t xml:space="preserve">Tip:</w:t>
      </w:r>
      <w:r>
        <w:t xml:space="preserve"> </w:t>
      </w:r>
      <w:r>
        <w:t xml:space="preserve">Before you design a table, write down the three most important questions the database should answer. If your design cannot answer them simply, revisit your structure.</w:t>
      </w:r>
    </w:p>
    <w:bookmarkEnd w:id="29"/>
    <w:bookmarkEnd w:id="30"/>
    <w:bookmarkStart w:id="31" w:name="the-student-mindset-how-to-succeed"/>
    <w:p>
      <w:pPr>
        <w:pStyle w:val="Heading2"/>
      </w:pPr>
      <w:r>
        <w:t xml:space="preserve">1.6 The Student Mindset: How to Succeed</w:t>
      </w:r>
    </w:p>
    <w:p>
      <w:pPr>
        <w:pStyle w:val="FirstParagraph"/>
      </w:pPr>
      <w:r>
        <w:t xml:space="preserve">To get the most out of this book, you need more than time — you need the right mindset. The students who thrive are not necessarily those with the most technical background, but the ones who bring these five qualities:</w:t>
      </w:r>
    </w:p>
    <w:p>
      <w:pPr>
        <w:pStyle w:val="Compact"/>
        <w:numPr>
          <w:ilvl w:val="0"/>
          <w:numId w:val="1005"/>
        </w:numPr>
      </w:pPr>
      <w:r>
        <w:rPr>
          <w:b/>
          <w:bCs/>
        </w:rPr>
        <w:t xml:space="preserve">Curiosity Over Comfort</w:t>
      </w:r>
      <w:r>
        <w:t xml:space="preserve"> </w:t>
      </w:r>
      <w:r>
        <w:t xml:space="preserve">— Approach every chapter with a willingness to learn. We will tackle new languages (SQL) and new ways of thinking. It is okay to feel out of your depth — that is where learning happens. Lean into the unknown.</w:t>
      </w:r>
    </w:p>
    <w:p>
      <w:pPr>
        <w:pStyle w:val="Compact"/>
        <w:numPr>
          <w:ilvl w:val="0"/>
          <w:numId w:val="1005"/>
        </w:numPr>
      </w:pPr>
      <w:r>
        <w:rPr>
          <w:b/>
          <w:bCs/>
        </w:rPr>
        <w:t xml:space="preserve">Professionalism as a Habit</w:t>
      </w:r>
      <w:r>
        <w:t xml:space="preserve"> </w:t>
      </w:r>
      <w:r>
        <w:t xml:space="preserve">— Excellence is not an act; it is a habit. Approach every assignment and interaction with professionalism and respect. Whether you are debugging code with a teammate or presenting an analysis, treat your peers as the future colleagues they are.</w:t>
      </w:r>
    </w:p>
    <w:p>
      <w:pPr>
        <w:pStyle w:val="Compact"/>
        <w:numPr>
          <w:ilvl w:val="0"/>
          <w:numId w:val="1005"/>
        </w:numPr>
      </w:pPr>
      <w:r>
        <w:rPr>
          <w:b/>
          <w:bCs/>
        </w:rPr>
        <w:t xml:space="preserve">Relentless Engagement</w:t>
      </w:r>
      <w:r>
        <w:t xml:space="preserve"> </w:t>
      </w:r>
      <w:r>
        <w:t xml:space="preserve">— Do not just read —</w:t>
      </w:r>
      <w:r>
        <w:t xml:space="preserve"> </w:t>
      </w:r>
      <w:r>
        <w:rPr>
          <w:i/>
          <w:iCs/>
        </w:rPr>
        <w:t xml:space="preserve">do</w:t>
      </w:r>
      <w:r>
        <w:t xml:space="preserve">. Challenge the text, test the examples, wrestle with the concepts. The more you put into the exercises, the more value you will extract.</w:t>
      </w:r>
    </w:p>
    <w:p>
      <w:pPr>
        <w:pStyle w:val="Compact"/>
        <w:numPr>
          <w:ilvl w:val="0"/>
          <w:numId w:val="1005"/>
        </w:numPr>
      </w:pPr>
      <w:r>
        <w:rPr>
          <w:b/>
          <w:bCs/>
        </w:rPr>
        <w:t xml:space="preserve">Dedication to the Details</w:t>
      </w:r>
      <w:r>
        <w:t xml:space="preserve"> </w:t>
      </w:r>
      <w:r>
        <w:t xml:space="preserve">— Data work requires precision. It rewards those who double-check their logic and persist through errors. When things get difficult, remember that resilience is a skill as valuable as any software command.</w:t>
      </w:r>
    </w:p>
    <w:p>
      <w:pPr>
        <w:pStyle w:val="Compact"/>
        <w:numPr>
          <w:ilvl w:val="0"/>
          <w:numId w:val="1005"/>
        </w:numPr>
      </w:pPr>
      <w:r>
        <w:rPr>
          <w:b/>
          <w:bCs/>
        </w:rPr>
        <w:t xml:space="preserve">A Sense of Play</w:t>
      </w:r>
      <w:r>
        <w:t xml:space="preserve"> </w:t>
      </w:r>
      <w:r>
        <w:t xml:space="preserve">— We are building systems that model the real world — a fundamentally creative act. View every error message as a clue and every database challenge as a puzzle. If you can find the fun in the logic, you have already won.</w:t>
      </w:r>
    </w:p>
    <w:p>
      <w:pPr>
        <w:pStyle w:val="FirstParagraph"/>
      </w:pPr>
      <w:r>
        <w:t xml:space="preserve">💡</w:t>
      </w:r>
      <w:r>
        <w:t xml:space="preserve"> </w:t>
      </w:r>
      <w:r>
        <w:rPr>
          <w:b/>
          <w:bCs/>
        </w:rPr>
        <w:t xml:space="preserve">Tip:</w:t>
      </w:r>
      <w:r>
        <w:t xml:space="preserve"> </w:t>
      </w:r>
      <w:r>
        <w:t xml:space="preserve">When you hit a wall with SQL or Access, step away for ten minutes, then re-read the error message as if you were a detective reading a clue. Most errors tell you exactly what went wrong — you just need to slow down enough to listen.</w:t>
      </w:r>
    </w:p>
    <w:bookmarkEnd w:id="31"/>
    <w:bookmarkStart w:id="32" w:name="how-this-book-is-structured"/>
    <w:p>
      <w:pPr>
        <w:pStyle w:val="Heading2"/>
      </w:pPr>
      <w:r>
        <w:t xml:space="preserve">1.7 How This Book Is Structured</w:t>
      </w:r>
    </w:p>
    <w:bookmarkEnd w:id="32"/>
    <w:bookmarkStart w:id="44" w:name="book-structure-and-flow"/>
    <w:p>
      <w:pPr>
        <w:pStyle w:val="Heading2"/>
      </w:pPr>
      <w:r>
        <w:t xml:space="preserve">1.8 Book Structure and Flow</w:t>
      </w:r>
    </w:p>
    <w:p>
      <w:pPr>
        <w:pStyle w:val="FirstParagraph"/>
      </w:pPr>
      <w:r>
        <w:t xml:space="preserve">The book is organized in six parts that build gradually from foundational concepts to strategic application. Each part aligns theory with practice and concludes with reflection and integration. The overall arc follows a deliberate progression:</w:t>
      </w:r>
      <w:r>
        <w:t xml:space="preserve"> </w:t>
      </w:r>
      <w:r>
        <w:rPr>
          <w:b/>
          <w:bCs/>
        </w:rPr>
        <w:t xml:space="preserve">Data → Structure → Queries → Systems → Analytics → Strategy</w:t>
      </w:r>
      <w:r>
        <w:t xml:space="preserve">.</w:t>
      </w:r>
    </w:p>
    <w:bookmarkStart w:id="33" w:name="part-1-foundations-and-philosophy"/>
    <w:p>
      <w:pPr>
        <w:pStyle w:val="Heading3"/>
      </w:pPr>
      <w:r>
        <w:t xml:space="preserve">Part 1: Foundations and Philosophy</w:t>
      </w:r>
    </w:p>
    <w:p>
      <w:pPr>
        <w:pStyle w:val="Compact"/>
        <w:numPr>
          <w:ilvl w:val="0"/>
          <w:numId w:val="1006"/>
        </w:numPr>
      </w:pPr>
      <w:r>
        <w:rPr>
          <w:b/>
          <w:bCs/>
        </w:rPr>
        <w:t xml:space="preserve">Welcome to the Textbook</w:t>
      </w:r>
      <w:r>
        <w:t xml:space="preserve"> </w:t>
      </w:r>
      <w:r>
        <w:t xml:space="preserve">— Orientation, philosophy, and the journey from data to wisdom</w:t>
      </w:r>
      <w:r>
        <w:t xml:space="preserve"> </w:t>
      </w:r>
      <w:r>
        <w:rPr>
          <w:i/>
          <w:iCs/>
        </w:rPr>
        <w:t xml:space="preserve">(this chapter)</w:t>
      </w:r>
    </w:p>
    <w:p>
      <w:pPr>
        <w:pStyle w:val="Compact"/>
        <w:numPr>
          <w:ilvl w:val="0"/>
          <w:numId w:val="1006"/>
        </w:numPr>
      </w:pPr>
      <w:r>
        <w:rPr>
          <w:b/>
          <w:bCs/>
        </w:rPr>
        <w:t xml:space="preserve">Foundations of Information Systems</w:t>
      </w:r>
      <w:r>
        <w:t xml:space="preserve"> </w:t>
      </w:r>
      <w:r>
        <w:t xml:space="preserve">— Business performance, management, decisions, and the role of IT</w:t>
      </w:r>
    </w:p>
    <w:p>
      <w:pPr>
        <w:pStyle w:val="Compact"/>
        <w:numPr>
          <w:ilvl w:val="0"/>
          <w:numId w:val="1006"/>
        </w:numPr>
      </w:pPr>
      <w:r>
        <w:rPr>
          <w:b/>
          <w:bCs/>
        </w:rPr>
        <w:t xml:space="preserve">Understanding Data Fundamentals</w:t>
      </w:r>
      <w:r>
        <w:t xml:space="preserve"> </w:t>
      </w:r>
      <w:r>
        <w:t xml:space="preserve">— Data classification, quality, governance, and the data lifecycle</w:t>
      </w:r>
    </w:p>
    <w:bookmarkEnd w:id="33"/>
    <w:bookmarkStart w:id="34" w:name="part-2-database-fundamentals-and-sql"/>
    <w:p>
      <w:pPr>
        <w:pStyle w:val="Heading3"/>
      </w:pPr>
      <w:r>
        <w:t xml:space="preserve">Part 2: Database Fundamentals and SQL</w:t>
      </w:r>
    </w:p>
    <w:p>
      <w:pPr>
        <w:pStyle w:val="Compact"/>
        <w:numPr>
          <w:ilvl w:val="0"/>
          <w:numId w:val="1007"/>
        </w:numPr>
      </w:pPr>
      <w:r>
        <w:rPr>
          <w:b/>
          <w:bCs/>
        </w:rPr>
        <w:t xml:space="preserve">Introduction to Databases</w:t>
      </w:r>
      <w:r>
        <w:t xml:space="preserve"> </w:t>
      </w:r>
      <w:r>
        <w:t xml:space="preserve">— Why databases matter, why spreadsheets are not databases, and DBMS platforms</w:t>
      </w:r>
    </w:p>
    <w:p>
      <w:pPr>
        <w:pStyle w:val="Compact"/>
        <w:numPr>
          <w:ilvl w:val="0"/>
          <w:numId w:val="1007"/>
        </w:numPr>
      </w:pPr>
      <w:r>
        <w:rPr>
          <w:b/>
          <w:bCs/>
        </w:rPr>
        <w:t xml:space="preserve">SQL — The Language of Databases</w:t>
      </w:r>
      <w:r>
        <w:t xml:space="preserve"> </w:t>
      </w:r>
      <w:r>
        <w:t xml:space="preserve">— From SELECT to JOINs to aggregation; SQL as a tool for insight</w:t>
      </w:r>
    </w:p>
    <w:p>
      <w:pPr>
        <w:pStyle w:val="Compact"/>
        <w:numPr>
          <w:ilvl w:val="0"/>
          <w:numId w:val="1007"/>
        </w:numPr>
      </w:pPr>
      <w:r>
        <w:rPr>
          <w:b/>
          <w:bCs/>
        </w:rPr>
        <w:t xml:space="preserve">The Relational Model</w:t>
      </w:r>
      <w:r>
        <w:t xml:space="preserve"> </w:t>
      </w:r>
      <w:r>
        <w:t xml:space="preserve">— Entities, relationships, keys, integrity, and how the Grading Database evolves</w:t>
      </w:r>
    </w:p>
    <w:p>
      <w:pPr>
        <w:pStyle w:val="Compact"/>
        <w:numPr>
          <w:ilvl w:val="0"/>
          <w:numId w:val="1007"/>
        </w:numPr>
      </w:pPr>
      <w:r>
        <w:rPr>
          <w:b/>
          <w:bCs/>
        </w:rPr>
        <w:t xml:space="preserve">Data Normalization</w:t>
      </w:r>
      <w:r>
        <w:t xml:space="preserve"> </w:t>
      </w:r>
      <w:r>
        <w:t xml:space="preserve">— From flat files to reliable relational design; 1NF, 2NF, 3NF in practice</w:t>
      </w:r>
    </w:p>
    <w:bookmarkEnd w:id="34"/>
    <w:bookmarkStart w:id="35" w:name="X7c33f7c4090cd6e27af8224811087534db0f29b"/>
    <w:p>
      <w:pPr>
        <w:pStyle w:val="Heading3"/>
      </w:pPr>
      <w:r>
        <w:t xml:space="preserve">Part 3: SQL Mastery and Database Operations</w:t>
      </w:r>
    </w:p>
    <w:p>
      <w:pPr>
        <w:pStyle w:val="Compact"/>
        <w:numPr>
          <w:ilvl w:val="0"/>
          <w:numId w:val="1008"/>
        </w:numPr>
      </w:pPr>
      <w:r>
        <w:rPr>
          <w:b/>
          <w:bCs/>
        </w:rPr>
        <w:t xml:space="preserve">Advanced SQL With the Grading Database</w:t>
      </w:r>
      <w:r>
        <w:t xml:space="preserve"> </w:t>
      </w:r>
      <w:r>
        <w:t xml:space="preserve">— Sophisticated query patterns for business intelligence</w:t>
      </w:r>
    </w:p>
    <w:p>
      <w:pPr>
        <w:pStyle w:val="Compact"/>
        <w:numPr>
          <w:ilvl w:val="0"/>
          <w:numId w:val="1008"/>
        </w:numPr>
      </w:pPr>
      <w:r>
        <w:rPr>
          <w:b/>
          <w:bCs/>
        </w:rPr>
        <w:t xml:space="preserve">Midterm Review — Concepts</w:t>
      </w:r>
      <w:r>
        <w:t xml:space="preserve"> </w:t>
      </w:r>
      <w:r>
        <w:t xml:space="preserve">— Integrated checkpoint: Chapters 1–8 revisited and connected</w:t>
      </w:r>
    </w:p>
    <w:bookmarkEnd w:id="35"/>
    <w:bookmarkStart w:id="36" w:name="Xe55859b178d57de07b89a78def0189ad71da742"/>
    <w:p>
      <w:pPr>
        <w:pStyle w:val="Heading3"/>
      </w:pPr>
      <w:r>
        <w:t xml:space="preserve">Part 4: Database Design and Administration</w:t>
      </w:r>
    </w:p>
    <w:p>
      <w:pPr>
        <w:pStyle w:val="Compact"/>
        <w:numPr>
          <w:ilvl w:val="0"/>
          <w:numId w:val="1009"/>
        </w:numPr>
      </w:pPr>
      <w:r>
        <w:rPr>
          <w:b/>
          <w:bCs/>
        </w:rPr>
        <w:t xml:space="preserve">From Data to Design</w:t>
      </w:r>
      <w:r>
        <w:t xml:space="preserve"> </w:t>
      </w:r>
      <w:r>
        <w:t xml:space="preserve">— From requirements to robust logical database design</w:t>
      </w:r>
    </w:p>
    <w:p>
      <w:pPr>
        <w:pStyle w:val="Compact"/>
        <w:numPr>
          <w:ilvl w:val="0"/>
          <w:numId w:val="1009"/>
        </w:numPr>
      </w:pPr>
      <w:r>
        <w:rPr>
          <w:b/>
          <w:bCs/>
        </w:rPr>
        <w:t xml:space="preserve">Database Administration</w:t>
      </w:r>
      <w:r>
        <w:t xml:space="preserve"> </w:t>
      </w:r>
      <w:r>
        <w:t xml:space="preserve">— User management, security, backup/recovery, compliance</w:t>
      </w:r>
    </w:p>
    <w:p>
      <w:pPr>
        <w:pStyle w:val="Compact"/>
        <w:numPr>
          <w:ilvl w:val="0"/>
          <w:numId w:val="1009"/>
        </w:numPr>
      </w:pPr>
      <w:r>
        <w:rPr>
          <w:b/>
          <w:bCs/>
        </w:rPr>
        <w:t xml:space="preserve">Business Intelligence and Analytics</w:t>
      </w:r>
      <w:r>
        <w:t xml:space="preserve"> </w:t>
      </w:r>
      <w:r>
        <w:t xml:space="preserve">— Data warehousing, dashboards, KPIs, and performance improvement</w:t>
      </w:r>
    </w:p>
    <w:p>
      <w:pPr>
        <w:pStyle w:val="Compact"/>
        <w:numPr>
          <w:ilvl w:val="0"/>
          <w:numId w:val="1009"/>
        </w:numPr>
      </w:pPr>
      <w:r>
        <w:rPr>
          <w:b/>
          <w:bCs/>
        </w:rPr>
        <w:t xml:space="preserve">Advanced Database Techniques</w:t>
      </w:r>
      <w:r>
        <w:t xml:space="preserve"> </w:t>
      </w:r>
      <w:r>
        <w:t xml:space="preserve">— Optimization, indexing, stored procedures, enterprise systems</w:t>
      </w:r>
    </w:p>
    <w:bookmarkEnd w:id="36"/>
    <w:bookmarkStart w:id="37" w:name="part-5-strategy-and-integration"/>
    <w:p>
      <w:pPr>
        <w:pStyle w:val="Heading3"/>
      </w:pPr>
      <w:r>
        <w:t xml:space="preserve">Part 5: Strategy and Integration</w:t>
      </w:r>
    </w:p>
    <w:p>
      <w:pPr>
        <w:pStyle w:val="Compact"/>
        <w:numPr>
          <w:ilvl w:val="0"/>
          <w:numId w:val="1010"/>
        </w:numPr>
      </w:pPr>
      <w:r>
        <w:rPr>
          <w:b/>
          <w:bCs/>
        </w:rPr>
        <w:t xml:space="preserve">Business Strategy and Information Systems</w:t>
      </w:r>
      <w:r>
        <w:t xml:space="preserve"> </w:t>
      </w:r>
      <w:r>
        <w:t xml:space="preserve">— Strategic alignment, competitive advantage, digital transformation</w:t>
      </w:r>
    </w:p>
    <w:p>
      <w:pPr>
        <w:pStyle w:val="Compact"/>
        <w:numPr>
          <w:ilvl w:val="0"/>
          <w:numId w:val="1010"/>
        </w:numPr>
      </w:pPr>
      <w:r>
        <w:rPr>
          <w:b/>
          <w:bCs/>
        </w:rPr>
        <w:t xml:space="preserve">Final Review and Integration</w:t>
      </w:r>
      <w:r>
        <w:t xml:space="preserve"> </w:t>
      </w:r>
      <w:r>
        <w:t xml:space="preserve">— Full-cycle review integrating all 14 prior chapters</w:t>
      </w:r>
    </w:p>
    <w:p>
      <w:pPr>
        <w:pStyle w:val="Compact"/>
        <w:numPr>
          <w:ilvl w:val="0"/>
          <w:numId w:val="1010"/>
        </w:numPr>
      </w:pPr>
      <w:r>
        <w:rPr>
          <w:b/>
          <w:bCs/>
        </w:rPr>
        <w:t xml:space="preserve">Designing Systems That Matter</w:t>
      </w:r>
      <w:r>
        <w:t xml:space="preserve"> </w:t>
      </w:r>
      <w:r>
        <w:t xml:space="preserve">— Conclusion, managerial judgment, ethics, and professional readiness</w:t>
      </w:r>
    </w:p>
    <w:p>
      <w:pPr>
        <w:pStyle w:val="FirstParagraph"/>
      </w:pPr>
      <w:r>
        <w:t xml:space="preserve">📝</w:t>
      </w:r>
      <w:r>
        <w:t xml:space="preserve"> </w:t>
      </w:r>
      <w:r>
        <w:rPr>
          <w:b/>
          <w:bCs/>
        </w:rPr>
        <w:t xml:space="preserve">Note:</w:t>
      </w:r>
      <w:r>
        <w:t xml:space="preserve"> </w:t>
      </w:r>
      <w:r>
        <w:t xml:space="preserve">This progression — from foundational concepts through technical mastery to strategic thinking and professional practice — mirrors the journey that organizations and professionals travel as they mature in their use of data. As you move through each part, notice how the ideas build on each other: you cannot write meaningful SQL without understanding data structure, and you cannot lead strategic initiatives without solid technical grounding.</w:t>
      </w:r>
    </w:p>
    <w:bookmarkEnd w:id="37"/>
    <w:bookmarkStart w:id="38" w:name="the-anatomy-of-a-chapter"/>
    <w:p>
      <w:pPr>
        <w:pStyle w:val="Heading3"/>
      </w:pPr>
      <w:r>
        <w:t xml:space="preserve">1.7.1 The Anatomy of a Chapter</w:t>
      </w:r>
    </w:p>
    <w:p>
      <w:pPr>
        <w:pStyle w:val="FirstParagraph"/>
      </w:pPr>
      <w:r>
        <w:t xml:space="preserve">Each chapter follows a consistent learning cycle designed to move you from theory to practice to reflection:</w:t>
      </w:r>
    </w:p>
    <w:p>
      <w:pPr>
        <w:numPr>
          <w:ilvl w:val="0"/>
          <w:numId w:val="1011"/>
        </w:numPr>
      </w:pPr>
      <w:r>
        <w:rPr>
          <w:b/>
          <w:bCs/>
        </w:rPr>
        <w:t xml:space="preserve">Concept Explanations</w:t>
      </w:r>
      <w:r>
        <w:t xml:space="preserve"> </w:t>
      </w:r>
      <w:r>
        <w:t xml:space="preserve">— Each chapter opens with clear, illustrated explanations of foundational concepts. Diagrams, examples, and narratives connect theory to real-world applications, ensuring that even complex ideas become intuitive and relevant.</w:t>
      </w:r>
    </w:p>
    <w:p>
      <w:pPr>
        <w:numPr>
          <w:ilvl w:val="0"/>
          <w:numId w:val="1011"/>
        </w:numPr>
      </w:pPr>
      <w:r>
        <w:rPr>
          <w:b/>
          <w:bCs/>
        </w:rPr>
        <w:t xml:space="preserve">Let’s Build</w:t>
      </w:r>
      <w:r>
        <w:t xml:space="preserve"> </w:t>
      </w:r>
      <w:r>
        <w:t xml:space="preserve">— Throughout the book, you will engage in a guided, step-by-step project to build a</w:t>
      </w:r>
      <w:r>
        <w:t xml:space="preserve"> </w:t>
      </w:r>
      <w:r>
        <w:rPr>
          <w:b/>
          <w:bCs/>
        </w:rPr>
        <w:t xml:space="preserve">Grading Database</w:t>
      </w:r>
      <w:r>
        <w:t xml:space="preserve">. This evolving example includes tables for students, assignments, grades, attendance, and more. Each chapter adds a new layer — a new table, a new query pattern, a new constraint, a new automation — so that by the final submission you have a complete, functioning system.</w:t>
      </w:r>
    </w:p>
    <w:p>
      <w:pPr>
        <w:numPr>
          <w:ilvl w:val="0"/>
          <w:numId w:val="1011"/>
        </w:numPr>
      </w:pPr>
      <w:r>
        <w:rPr>
          <w:b/>
          <w:bCs/>
        </w:rPr>
        <w:t xml:space="preserve">Key Terms</w:t>
      </w:r>
      <w:r>
        <w:t xml:space="preserve"> </w:t>
      </w:r>
      <w:r>
        <w:t xml:space="preserve">— Essential terminology is highlighted and defined throughout, reinforcing vocabulary and conceptual fluency.</w:t>
      </w:r>
    </w:p>
    <w:p>
      <w:pPr>
        <w:numPr>
          <w:ilvl w:val="0"/>
          <w:numId w:val="1011"/>
        </w:numPr>
      </w:pPr>
      <w:r>
        <w:rPr>
          <w:b/>
          <w:bCs/>
        </w:rPr>
        <w:t xml:space="preserve">Discussion Questions</w:t>
      </w:r>
      <w:r>
        <w:t xml:space="preserve"> </w:t>
      </w:r>
      <w:r>
        <w:t xml:space="preserve">— Guided questions foster deeper understanding and practical insight through critical thinking and engagement. -</w:t>
      </w:r>
      <w:r>
        <w:t xml:space="preserve"> </w:t>
      </w:r>
      <w:r>
        <w:rPr>
          <w:b/>
          <w:bCs/>
        </w:rPr>
        <w:t xml:space="preserve">Review and Reflection</w:t>
      </w:r>
      <w:r>
        <w:t xml:space="preserve"> </w:t>
      </w:r>
      <w:r>
        <w:t xml:space="preserve">— Each chapter concludes with summaries and reflection prompts that encourage you to connect technical concepts to organizational and strategic outcomes.</w:t>
      </w:r>
    </w:p>
    <w:p>
      <w:pPr>
        <w:numPr>
          <w:ilvl w:val="0"/>
          <w:numId w:val="1011"/>
        </w:numPr>
      </w:pPr>
      <w:r>
        <w:rPr>
          <w:b/>
          <w:bCs/>
        </w:rPr>
        <w:t xml:space="preserve">RATs (Reading Assessment Tests)</w:t>
      </w:r>
      <w:r>
        <w:t xml:space="preserve"> </w:t>
      </w:r>
      <w:r>
        <w:t xml:space="preserve">— Short assessments following each chapter check comprehension and readiness, allowing you to self-assess your progress.</w:t>
      </w:r>
    </w:p>
    <w:p>
      <w:pPr>
        <w:numPr>
          <w:ilvl w:val="0"/>
          <w:numId w:val="1011"/>
        </w:numPr>
      </w:pPr>
      <w:r>
        <w:rPr>
          <w:b/>
          <w:bCs/>
        </w:rPr>
        <w:t xml:space="preserve">Lab Exercises</w:t>
      </w:r>
      <w:r>
        <w:t xml:space="preserve"> </w:t>
      </w:r>
      <w:r>
        <w:t xml:space="preserve">— At the end of each chapter, you will apply what you have learned by building a</w:t>
      </w:r>
      <w:r>
        <w:t xml:space="preserve"> </w:t>
      </w:r>
      <w:r>
        <w:rPr>
          <w:b/>
          <w:bCs/>
        </w:rPr>
        <w:t xml:space="preserve">PetVax Veterinary Hospital Database</w:t>
      </w:r>
      <w:r>
        <w:t xml:space="preserve">. This parallel project mirrors the Grading Database while focusing on managing data for pets, owners, appointments, and clinical operations — developing your skills in database architecture, reporting, and automation.</w:t>
      </w:r>
    </w:p>
    <w:bookmarkEnd w:id="38"/>
    <w:bookmarkStart w:id="39" w:name="blooms-taxonomy-in-practice"/>
    <w:p>
      <w:pPr>
        <w:pStyle w:val="Heading3"/>
      </w:pPr>
      <w:r>
        <w:t xml:space="preserve">1.7.2 Bloom’s Taxonomy in Practice</w:t>
      </w:r>
    </w:p>
    <w:p>
      <w:pPr>
        <w:pStyle w:val="FirstParagraph"/>
      </w:pPr>
      <w:r>
        <w:t xml:space="preserve">Bloom’s Taxonomy is simply a way to describe</w:t>
      </w:r>
      <w:r>
        <w:t xml:space="preserve"> </w:t>
      </w:r>
      <w:r>
        <w:rPr>
          <w:b/>
          <w:bCs/>
        </w:rPr>
        <w:t xml:space="preserve">different levels of thinking</w:t>
      </w:r>
      <w:r>
        <w:t xml:space="preserve">. It reminds us that learning is not just about remembering facts — it is about knowing what to</w:t>
      </w:r>
      <w:r>
        <w:t xml:space="preserve"> </w:t>
      </w:r>
      <w:r>
        <w:rPr>
          <w:i/>
          <w:iCs/>
        </w:rPr>
        <w:t xml:space="preserve">do</w:t>
      </w:r>
      <w:r>
        <w:t xml:space="preserve"> </w:t>
      </w:r>
      <w:r>
        <w:t xml:space="preserve">with them. This book deliberately moves you through these levels as you progress (Krathwohl, 2002):</w:t>
      </w:r>
    </w:p>
    <w:p>
      <w:pPr>
        <w:pStyle w:val="Compact"/>
        <w:numPr>
          <w:ilvl w:val="0"/>
          <w:numId w:val="1012"/>
        </w:numPr>
      </w:pPr>
      <w:r>
        <w:rPr>
          <w:b/>
          <w:bCs/>
        </w:rPr>
        <w:t xml:space="preserve">Remember</w:t>
      </w:r>
      <w:r>
        <w:t xml:space="preserve"> </w:t>
      </w:r>
      <w:r>
        <w:t xml:space="preserve">— Can you recall a term or definition?</w:t>
      </w:r>
      <w:r>
        <w:t xml:space="preserve"> </w:t>
      </w:r>
      <w:r>
        <w:rPr>
          <w:i/>
          <w:iCs/>
        </w:rPr>
        <w:t xml:space="preserve">Example:</w:t>
      </w:r>
      <w:r>
        <w:t xml:space="preserve"> </w:t>
      </w:r>
      <w:r>
        <w:t xml:space="preserve">What is a primary key?</w:t>
      </w:r>
    </w:p>
    <w:p>
      <w:pPr>
        <w:pStyle w:val="Compact"/>
        <w:numPr>
          <w:ilvl w:val="0"/>
          <w:numId w:val="1012"/>
        </w:numPr>
      </w:pPr>
      <w:r>
        <w:rPr>
          <w:b/>
          <w:bCs/>
        </w:rPr>
        <w:t xml:space="preserve">Understand</w:t>
      </w:r>
      <w:r>
        <w:t xml:space="preserve"> </w:t>
      </w:r>
      <w:r>
        <w:t xml:space="preserve">— Do you grasp what it means?</w:t>
      </w:r>
      <w:r>
        <w:t xml:space="preserve"> </w:t>
      </w:r>
      <w:r>
        <w:rPr>
          <w:i/>
          <w:iCs/>
        </w:rPr>
        <w:t xml:space="preserve">Example:</w:t>
      </w:r>
      <w:r>
        <w:t xml:space="preserve"> </w:t>
      </w:r>
      <w:r>
        <w:t xml:space="preserve">Why does a primary key matter in a table?</w:t>
      </w:r>
    </w:p>
    <w:p>
      <w:pPr>
        <w:pStyle w:val="Compact"/>
        <w:numPr>
          <w:ilvl w:val="0"/>
          <w:numId w:val="1012"/>
        </w:numPr>
      </w:pPr>
      <w:r>
        <w:rPr>
          <w:b/>
          <w:bCs/>
        </w:rPr>
        <w:t xml:space="preserve">Apply</w:t>
      </w:r>
      <w:r>
        <w:t xml:space="preserve"> </w:t>
      </w:r>
      <w:r>
        <w:t xml:space="preserve">— Can you use it in a concrete situation?</w:t>
      </w:r>
      <w:r>
        <w:t xml:space="preserve"> </w:t>
      </w:r>
      <w:r>
        <w:rPr>
          <w:i/>
          <w:iCs/>
        </w:rPr>
        <w:t xml:space="preserve">Example:</w:t>
      </w:r>
      <w:r>
        <w:t xml:space="preserve"> </w:t>
      </w:r>
      <w:r>
        <w:t xml:space="preserve">Choose the correct primary key for a grading table.</w:t>
      </w:r>
    </w:p>
    <w:p>
      <w:pPr>
        <w:pStyle w:val="Compact"/>
        <w:numPr>
          <w:ilvl w:val="0"/>
          <w:numId w:val="1012"/>
        </w:numPr>
      </w:pPr>
      <w:r>
        <w:rPr>
          <w:b/>
          <w:bCs/>
        </w:rPr>
        <w:t xml:space="preserve">Analyze</w:t>
      </w:r>
      <w:r>
        <w:t xml:space="preserve"> </w:t>
      </w:r>
      <w:r>
        <w:t xml:space="preserve">— Can you break a problem apart and see relationships?</w:t>
      </w:r>
      <w:r>
        <w:t xml:space="preserve"> </w:t>
      </w:r>
      <w:r>
        <w:rPr>
          <w:i/>
          <w:iCs/>
        </w:rPr>
        <w:t xml:space="preserve">Example:</w:t>
      </w:r>
      <w:r>
        <w:t xml:space="preserve"> </w:t>
      </w:r>
      <w:r>
        <w:t xml:space="preserve">Identify why a table design will cause redundancy.</w:t>
      </w:r>
    </w:p>
    <w:p>
      <w:pPr>
        <w:pStyle w:val="Compact"/>
        <w:numPr>
          <w:ilvl w:val="0"/>
          <w:numId w:val="1012"/>
        </w:numPr>
      </w:pPr>
      <w:r>
        <w:rPr>
          <w:b/>
          <w:bCs/>
        </w:rPr>
        <w:t xml:space="preserve">Evaluate</w:t>
      </w:r>
      <w:r>
        <w:t xml:space="preserve"> </w:t>
      </w:r>
      <w:r>
        <w:t xml:space="preserve">— Can you judge between alternatives?</w:t>
      </w:r>
      <w:r>
        <w:t xml:space="preserve"> </w:t>
      </w:r>
      <w:r>
        <w:rPr>
          <w:i/>
          <w:iCs/>
        </w:rPr>
        <w:t xml:space="preserve">Example:</w:t>
      </w:r>
      <w:r>
        <w:t xml:space="preserve"> </w:t>
      </w:r>
      <w:r>
        <w:t xml:space="preserve">Which schema better supports accurate reporting — and why?</w:t>
      </w:r>
    </w:p>
    <w:p>
      <w:pPr>
        <w:pStyle w:val="Compact"/>
        <w:numPr>
          <w:ilvl w:val="0"/>
          <w:numId w:val="1012"/>
        </w:numPr>
      </w:pPr>
      <w:r>
        <w:rPr>
          <w:b/>
          <w:bCs/>
        </w:rPr>
        <w:t xml:space="preserve">Create</w:t>
      </w:r>
      <w:r>
        <w:t xml:space="preserve"> </w:t>
      </w:r>
      <w:r>
        <w:t xml:space="preserve">— Can you design something new?</w:t>
      </w:r>
      <w:r>
        <w:t xml:space="preserve"> </w:t>
      </w:r>
      <w:r>
        <w:rPr>
          <w:i/>
          <w:iCs/>
        </w:rPr>
        <w:t xml:space="preserve">Example:</w:t>
      </w:r>
      <w:r>
        <w:t xml:space="preserve"> </w:t>
      </w:r>
      <w:r>
        <w:t xml:space="preserve">Propose a normalized structure for a new business scenario.</w:t>
      </w:r>
    </w:p>
    <w:p>
      <w:pPr>
        <w:pStyle w:val="FirstParagraph"/>
      </w:pPr>
      <w:r>
        <w:t xml:space="preserve">Figure 1.4 – Bloom’s Taxonomy applied to database learning</w:t>
      </w:r>
      <w:r>
        <w:t xml:space="preserve"> </w:t>
      </w:r>
      <w:r>
        <w:rPr>
          <w:i/>
          <w:iCs/>
        </w:rPr>
        <w:t xml:space="preserve">Figure 1.4 – Bloom’s Taxonomy applied to database learning</w:t>
      </w:r>
    </w:p>
    <w:p>
      <w:pPr>
        <w:pStyle w:val="BodyText"/>
      </w:pPr>
      <w:r>
        <w:t xml:space="preserve">🎨 Image Generation Prompt</w:t>
      </w:r>
    </w:p>
    <w:p>
      <w:pPr>
        <w:pStyle w:val="BodyText"/>
      </w:pPr>
      <w:r>
        <w:rPr>
          <w:b/>
          <w:bCs/>
        </w:rPr>
        <w:t xml:space="preserve">Filename</w:t>
      </w:r>
      <w:r>
        <w:t xml:space="preserve">:</w:t>
      </w:r>
      <w:r>
        <w:t xml:space="preserve"> </w:t>
      </w:r>
      <w:r>
        <w:rPr>
          <w:rStyle w:val="VerbatimChar"/>
        </w:rPr>
        <w:t xml:space="preserve">figure-1.4-blooms-taxonomy.png</w:t>
      </w:r>
      <w:r>
        <w:t xml:space="preserve"> </w:t>
      </w:r>
      <w:r>
        <w:rPr>
          <w:b/>
          <w:bCs/>
        </w:rPr>
        <w:t xml:space="preserve">Caption</w:t>
      </w:r>
      <w:r>
        <w:t xml:space="preserve">:</w:t>
      </w:r>
      <w:r>
        <w:t xml:space="preserve"> </w:t>
      </w:r>
      <w:r>
        <w:t xml:space="preserve">“Figure 1.4 – Bloom’s Taxonomy applied to database learning”</w:t>
      </w:r>
      <w:r>
        <w:t xml:space="preserve"> </w:t>
      </w:r>
      <w:r>
        <w:rPr>
          <w:b/>
          <w:bCs/>
        </w:rPr>
        <w:t xml:space="preserve">Gemini Prompt</w:t>
      </w:r>
      <w:r>
        <w:t xml:space="preserve">:</w:t>
      </w:r>
      <w:r>
        <w:t xml:space="preserve"> </w:t>
      </w:r>
      <w:r>
        <w:t xml:space="preserve">“Create a professional educational pyramid (inverted or standard) for Bloom’s Taxonomy in a college textbook. Six levels from bottom to top: Remember, Understand, Apply, Analyze, Evaluate, Create. On the left side of each level, show a short database-related example (e.g.,</w:t>
      </w:r>
      <w:r>
        <w:t xml:space="preserve"> </w:t>
      </w:r>
      <w:r>
        <w:t xml:space="preserve">‘Define a primary key,’</w:t>
      </w:r>
      <w:r>
        <w:t xml:space="preserve"> </w:t>
      </w:r>
      <w:r>
        <w:t xml:space="preserve">‘Choose the right key,’</w:t>
      </w:r>
      <w:r>
        <w:t xml:space="preserve"> </w:t>
      </w:r>
      <w:r>
        <w:t xml:space="preserve">‘Design a normalized schema’</w:t>
      </w:r>
      <w:r>
        <w:t xml:space="preserve">). Use a blue and warm-gold gradient from light at the bottom to dark at the top. Clean white background, modern flat design, large readable labels.”</w:t>
      </w:r>
    </w:p>
    <w:bookmarkEnd w:id="39"/>
    <w:bookmarkStart w:id="40" w:name="the-grading-database-project"/>
    <w:p>
      <w:pPr>
        <w:pStyle w:val="Heading3"/>
      </w:pPr>
      <w:r>
        <w:t xml:space="preserve">1.7.3 The Grading Database Project</w:t>
      </w:r>
    </w:p>
    <w:p>
      <w:pPr>
        <w:pStyle w:val="FirstParagraph"/>
      </w:pPr>
      <w:r>
        <w:t xml:space="preserve">The central hands-on project in this book is the</w:t>
      </w:r>
      <w:r>
        <w:t xml:space="preserve"> </w:t>
      </w:r>
      <w:r>
        <w:rPr>
          <w:b/>
          <w:bCs/>
        </w:rPr>
        <w:t xml:space="preserve">Grading Database</w:t>
      </w:r>
      <w:r>
        <w:t xml:space="preserve"> </w:t>
      </w:r>
      <w:r>
        <w:t xml:space="preserve">— a relational database that you will design, build, populate, query, and refine across the entire text. This is not a hypothetical exercise. You will model a real system: one that stores grades and attendance, calculates final grades, computes running averages, and presents results through forms and reports.</w:t>
      </w:r>
    </w:p>
    <w:p>
      <w:pPr>
        <w:pStyle w:val="BodyText"/>
      </w:pPr>
      <w:r>
        <w:t xml:space="preserve">📖</w:t>
      </w:r>
      <w:r>
        <w:t xml:space="preserve"> </w:t>
      </w:r>
      <w:r>
        <w:rPr>
          <w:b/>
          <w:bCs/>
        </w:rPr>
        <w:t xml:space="preserve">Definition:</w:t>
      </w:r>
      <w:r>
        <w:t xml:space="preserve"> </w:t>
      </w:r>
      <w:r>
        <w:t xml:space="preserve">The</w:t>
      </w:r>
      <w:r>
        <w:t xml:space="preserve"> </w:t>
      </w:r>
      <w:r>
        <w:rPr>
          <w:b/>
          <w:bCs/>
        </w:rPr>
        <w:t xml:space="preserve">Grading Database</w:t>
      </w:r>
      <w:r>
        <w:t xml:space="preserve"> </w:t>
      </w:r>
      <w:r>
        <w:t xml:space="preserve">is a relational database system that tracks students, class sessions, deliverables (quizzes, assignments, exams), individual scores, and attendance records. It serves as the book’s primary running case study, providing a consistent, familiar context for illustrating concepts across every chapter.</w:t>
      </w:r>
    </w:p>
    <w:p>
      <w:pPr>
        <w:pStyle w:val="BodyText"/>
      </w:pPr>
      <w:r>
        <w:t xml:space="preserve">The canonical schema includes six core tables:</w:t>
      </w:r>
    </w:p>
    <w:tbl>
      <w:tblPr>
        <w:tblStyle w:val="Table"/>
        <w:tblW w:type="pct" w:w="5000"/>
        <w:tblLayout w:type="fixed"/>
        <w:tblLook w:firstRow="1" w:lastRow="0" w:firstColumn="0" w:lastColumn="0" w:noHBand="0" w:noVBand="0" w:val="0020"/>
      </w:tblPr>
      <w:tblGrid>
        <w:gridCol w:w="975"/>
        <w:gridCol w:w="2467"/>
        <w:gridCol w:w="4476"/>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Fields</w:t>
            </w:r>
          </w:p>
        </w:tc>
      </w:tr>
      <w:tr>
        <w:tc>
          <w:tcPr/>
          <w:p>
            <w:pPr>
              <w:pStyle w:val="Compact"/>
            </w:pPr>
            <w:r>
              <w:rPr>
                <w:rStyle w:val="VerbatimChar"/>
              </w:rPr>
              <w:t xml:space="preserve">STUDENT</w:t>
            </w:r>
          </w:p>
        </w:tc>
        <w:tc>
          <w:tcPr/>
          <w:p>
            <w:pPr>
              <w:pStyle w:val="Compact"/>
            </w:pPr>
            <w:r>
              <w:t xml:space="preserve">Stores student records</w:t>
            </w:r>
          </w:p>
        </w:tc>
        <w:tc>
          <w:tcPr/>
          <w:p>
            <w:pPr>
              <w:pStyle w:val="Compact"/>
            </w:pPr>
            <w:r>
              <w:rPr>
                <w:rStyle w:val="VerbatimChar"/>
              </w:rPr>
              <w:t xml:space="preserve">StudentID</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Email</w:t>
            </w:r>
            <w:r>
              <w:t xml:space="preserve">,</w:t>
            </w:r>
            <w:r>
              <w:t xml:space="preserve"> </w:t>
            </w:r>
            <w:r>
              <w:rPr>
                <w:rStyle w:val="VerbatimChar"/>
              </w:rPr>
              <w:t xml:space="preserve">Birthday</w:t>
            </w:r>
            <w:r>
              <w:t xml:space="preserve">,</w:t>
            </w:r>
            <w:r>
              <w:t xml:space="preserve"> </w:t>
            </w:r>
            <w:r>
              <w:rPr>
                <w:rStyle w:val="VerbatimChar"/>
              </w:rPr>
              <w:t xml:space="preserve">Grade</w:t>
            </w:r>
          </w:p>
        </w:tc>
      </w:tr>
      <w:tr>
        <w:tc>
          <w:tcPr/>
          <w:p>
            <w:pPr>
              <w:pStyle w:val="Compact"/>
            </w:pPr>
            <w:r>
              <w:rPr>
                <w:rStyle w:val="VerbatimChar"/>
              </w:rPr>
              <w:t xml:space="preserve">ASSIGNMENT</w:t>
            </w:r>
          </w:p>
        </w:tc>
        <w:tc>
          <w:tcPr/>
          <w:p>
            <w:pPr>
              <w:pStyle w:val="Compact"/>
            </w:pPr>
            <w:r>
              <w:t xml:space="preserve">Defines deliverable types and weights</w:t>
            </w:r>
          </w:p>
        </w:tc>
        <w:tc>
          <w:tcPr/>
          <w:p>
            <w:pPr>
              <w:pStyle w:val="Compact"/>
            </w:pPr>
            <w:r>
              <w:rPr>
                <w:rStyle w:val="VerbatimChar"/>
              </w:rPr>
              <w:t xml:space="preserve">Type</w:t>
            </w:r>
            <w:r>
              <w:t xml:space="preserve">,</w:t>
            </w:r>
            <w:r>
              <w:t xml:space="preserve"> </w:t>
            </w:r>
            <w:r>
              <w:rPr>
                <w:rStyle w:val="VerbatimChar"/>
              </w:rPr>
              <w:t xml:space="preserve">Quantity</w:t>
            </w:r>
            <w:r>
              <w:t xml:space="preserve">,</w:t>
            </w:r>
            <w:r>
              <w:t xml:space="preserve"> </w:t>
            </w:r>
            <w:r>
              <w:rPr>
                <w:rStyle w:val="VerbatimChar"/>
              </w:rPr>
              <w:t xml:space="preserve">Points</w:t>
            </w:r>
            <w:r>
              <w:t xml:space="preserve">,</w:t>
            </w:r>
            <w:r>
              <w:t xml:space="preserve"> </w:t>
            </w:r>
            <w:r>
              <w:rPr>
                <w:rStyle w:val="VerbatimChar"/>
              </w:rPr>
              <w:t xml:space="preserve">Points_per_one</w:t>
            </w:r>
          </w:p>
        </w:tc>
      </w:tr>
      <w:tr>
        <w:tc>
          <w:tcPr/>
          <w:p>
            <w:pPr>
              <w:pStyle w:val="Compact"/>
            </w:pPr>
            <w:r>
              <w:rPr>
                <w:rStyle w:val="VerbatimChar"/>
              </w:rPr>
              <w:t xml:space="preserve">SCHEDULE</w:t>
            </w:r>
          </w:p>
        </w:tc>
        <w:tc>
          <w:tcPr/>
          <w:p>
            <w:pPr>
              <w:pStyle w:val="Compact"/>
            </w:pPr>
            <w:r>
              <w:t xml:space="preserve">Tracks class sessions</w:t>
            </w:r>
          </w:p>
        </w:tc>
        <w:tc>
          <w:tcPr/>
          <w:p>
            <w:pPr>
              <w:pStyle w:val="Compact"/>
            </w:pPr>
            <w:r>
              <w:rPr>
                <w:rStyle w:val="VerbatimChar"/>
              </w:rPr>
              <w:t xml:space="preserve">ClassNum</w:t>
            </w:r>
            <w:r>
              <w:t xml:space="preserve">,</w:t>
            </w:r>
            <w:r>
              <w:t xml:space="preserve"> </w:t>
            </w:r>
            <w:r>
              <w:rPr>
                <w:rStyle w:val="VerbatimChar"/>
              </w:rPr>
              <w:t xml:space="preserve">Week</w:t>
            </w:r>
            <w:r>
              <w:t xml:space="preserve">,</w:t>
            </w:r>
            <w:r>
              <w:t xml:space="preserve"> </w:t>
            </w:r>
            <w:r>
              <w:rPr>
                <w:rStyle w:val="VerbatimChar"/>
              </w:rPr>
              <w:t xml:space="preserve">Date</w:t>
            </w:r>
            <w:r>
              <w:t xml:space="preserve">,</w:t>
            </w:r>
            <w:r>
              <w:t xml:space="preserve"> </w:t>
            </w:r>
            <w:r>
              <w:rPr>
                <w:rStyle w:val="VerbatimChar"/>
              </w:rPr>
              <w:t xml:space="preserve">Day</w:t>
            </w:r>
            <w:r>
              <w:t xml:space="preserve">,</w:t>
            </w:r>
            <w:r>
              <w:t xml:space="preserve"> </w:t>
            </w:r>
            <w:r>
              <w:rPr>
                <w:rStyle w:val="VerbatimChar"/>
              </w:rPr>
              <w:t xml:space="preserve">Topic</w:t>
            </w:r>
            <w:r>
              <w:t xml:space="preserve">,</w:t>
            </w:r>
            <w:r>
              <w:t xml:space="preserve"> </w:t>
            </w:r>
            <w:r>
              <w:rPr>
                <w:rStyle w:val="VerbatimChar"/>
              </w:rPr>
              <w:t xml:space="preserve">Format</w:t>
            </w:r>
          </w:p>
        </w:tc>
      </w:tr>
      <w:tr>
        <w:tc>
          <w:tcPr/>
          <w:p>
            <w:pPr>
              <w:pStyle w:val="Compact"/>
            </w:pPr>
            <w:r>
              <w:rPr>
                <w:rStyle w:val="VerbatimChar"/>
              </w:rPr>
              <w:t xml:space="preserve">ATTENDANCE</w:t>
            </w:r>
          </w:p>
        </w:tc>
        <w:tc>
          <w:tcPr/>
          <w:p>
            <w:pPr>
              <w:pStyle w:val="Compact"/>
            </w:pPr>
            <w:r>
              <w:t xml:space="preserve">Records attendance per session</w:t>
            </w:r>
          </w:p>
        </w:tc>
        <w:tc>
          <w:tcPr/>
          <w:p>
            <w:pPr>
              <w:pStyle w:val="Compact"/>
            </w:pPr>
            <w:r>
              <w:rPr>
                <w:rStyle w:val="VerbatimChar"/>
              </w:rPr>
              <w:t xml:space="preserve">AttendanceID</w:t>
            </w:r>
            <w:r>
              <w:t xml:space="preserve">,</w:t>
            </w:r>
            <w:r>
              <w:t xml:space="preserve"> </w:t>
            </w:r>
            <w:r>
              <w:rPr>
                <w:rStyle w:val="VerbatimChar"/>
              </w:rPr>
              <w:t xml:space="preserve">ClassNum</w:t>
            </w:r>
            <w:r>
              <w:t xml:space="preserve">,</w:t>
            </w:r>
            <w:r>
              <w:t xml:space="preserve"> </w:t>
            </w:r>
            <w:r>
              <w:rPr>
                <w:rStyle w:val="VerbatimChar"/>
              </w:rPr>
              <w:t xml:space="preserve">StudentID</w:t>
            </w:r>
            <w:r>
              <w:t xml:space="preserve">,</w:t>
            </w:r>
            <w:r>
              <w:t xml:space="preserve"> </w:t>
            </w:r>
            <w:r>
              <w:rPr>
                <w:rStyle w:val="VerbatimChar"/>
              </w:rPr>
              <w:t xml:space="preserve">Attended</w:t>
            </w:r>
          </w:p>
        </w:tc>
      </w:tr>
      <w:tr>
        <w:tc>
          <w:tcPr/>
          <w:p>
            <w:pPr>
              <w:pStyle w:val="Compact"/>
            </w:pPr>
            <w:r>
              <w:rPr>
                <w:rStyle w:val="VerbatimChar"/>
              </w:rPr>
              <w:t xml:space="preserve">DELIVERABLE</w:t>
            </w:r>
          </w:p>
        </w:tc>
        <w:tc>
          <w:tcPr/>
          <w:p>
            <w:pPr>
              <w:pStyle w:val="Compact"/>
            </w:pPr>
            <w:r>
              <w:t xml:space="preserve">Lists individual deliverables</w:t>
            </w:r>
          </w:p>
        </w:tc>
        <w:tc>
          <w:tcPr/>
          <w:p>
            <w:pPr>
              <w:pStyle w:val="Compact"/>
            </w:pPr>
            <w:r>
              <w:rPr>
                <w:rStyle w:val="VerbatimChar"/>
              </w:rPr>
              <w:t xml:space="preserve">DeliverableID</w:t>
            </w:r>
            <w:r>
              <w:t xml:space="preserve">,</w:t>
            </w:r>
            <w:r>
              <w:t xml:space="preserve"> </w:t>
            </w:r>
            <w:r>
              <w:rPr>
                <w:rStyle w:val="VerbatimChar"/>
              </w:rPr>
              <w:t xml:space="preserve">Type</w:t>
            </w:r>
            <w:r>
              <w:t xml:space="preserve">,</w:t>
            </w:r>
            <w:r>
              <w:t xml:space="preserve"> </w:t>
            </w:r>
            <w:r>
              <w:rPr>
                <w:rStyle w:val="VerbatimChar"/>
              </w:rPr>
              <w:t xml:space="preserve">DeliverableNumber</w:t>
            </w:r>
            <w:r>
              <w:t xml:space="preserve">,</w:t>
            </w:r>
            <w:r>
              <w:t xml:space="preserve"> </w:t>
            </w:r>
            <w:r>
              <w:rPr>
                <w:rStyle w:val="VerbatimChar"/>
              </w:rPr>
              <w:t xml:space="preserve">DueDate</w:t>
            </w:r>
            <w:r>
              <w:t xml:space="preserve">,</w:t>
            </w:r>
            <w:r>
              <w:t xml:space="preserve"> </w:t>
            </w:r>
            <w:r>
              <w:rPr>
                <w:rStyle w:val="VerbatimChar"/>
              </w:rPr>
              <w:t xml:space="preserve">Topic</w:t>
            </w:r>
          </w:p>
        </w:tc>
      </w:tr>
      <w:tr>
        <w:tc>
          <w:tcPr/>
          <w:p>
            <w:pPr>
              <w:pStyle w:val="Compact"/>
            </w:pPr>
            <w:r>
              <w:rPr>
                <w:rStyle w:val="VerbatimChar"/>
              </w:rPr>
              <w:t xml:space="preserve">STUDENT_GRADE</w:t>
            </w:r>
          </w:p>
        </w:tc>
        <w:tc>
          <w:tcPr/>
          <w:p>
            <w:pPr>
              <w:pStyle w:val="Compact"/>
            </w:pPr>
            <w:r>
              <w:t xml:space="preserve">Captures scores per student per deliverable</w:t>
            </w:r>
          </w:p>
        </w:tc>
        <w:tc>
          <w:tcPr/>
          <w:p>
            <w:pPr>
              <w:pStyle w:val="Compact"/>
            </w:pPr>
            <w:r>
              <w:rPr>
                <w:rStyle w:val="VerbatimChar"/>
              </w:rPr>
              <w:t xml:space="preserve">GradeID</w:t>
            </w:r>
            <w:r>
              <w:t xml:space="preserve">,</w:t>
            </w:r>
            <w:r>
              <w:t xml:space="preserve"> </w:t>
            </w:r>
            <w:r>
              <w:rPr>
                <w:rStyle w:val="VerbatimChar"/>
              </w:rPr>
              <w:t xml:space="preserve">StudentID</w:t>
            </w:r>
            <w:r>
              <w:t xml:space="preserve">,</w:t>
            </w:r>
            <w:r>
              <w:t xml:space="preserve"> </w:t>
            </w:r>
            <w:r>
              <w:rPr>
                <w:rStyle w:val="VerbatimChar"/>
              </w:rPr>
              <w:t xml:space="preserve">DeliverableID</w:t>
            </w:r>
            <w:r>
              <w:t xml:space="preserve">,</w:t>
            </w:r>
            <w:r>
              <w:t xml:space="preserve"> </w:t>
            </w:r>
            <w:r>
              <w:rPr>
                <w:rStyle w:val="VerbatimChar"/>
              </w:rPr>
              <w:t xml:space="preserve">Score</w:t>
            </w:r>
          </w:p>
        </w:tc>
      </w:tr>
    </w:tbl>
    <w:p>
      <w:pPr>
        <w:pStyle w:val="BodyText"/>
      </w:pPr>
      <w:r>
        <w:t xml:space="preserve">By the end of the project, your database will be a</w:t>
      </w:r>
      <w:r>
        <w:t xml:space="preserve"> </w:t>
      </w:r>
      <w:r>
        <w:rPr>
          <w:b/>
          <w:bCs/>
        </w:rPr>
        <w:t xml:space="preserve">working information system</w:t>
      </w:r>
      <w:r>
        <w:t xml:space="preserve"> </w:t>
      </w:r>
      <w:r>
        <w:t xml:space="preserve">capable of:</w:t>
      </w:r>
    </w:p>
    <w:p>
      <w:pPr>
        <w:pStyle w:val="Compact"/>
        <w:numPr>
          <w:ilvl w:val="0"/>
          <w:numId w:val="1013"/>
        </w:numPr>
      </w:pPr>
      <w:r>
        <w:rPr>
          <w:b/>
          <w:bCs/>
        </w:rPr>
        <w:t xml:space="preserve">Storing structured academic data</w:t>
      </w:r>
      <w:r>
        <w:t xml:space="preserve"> </w:t>
      </w:r>
      <w:r>
        <w:t xml:space="preserve">— students, deliverables, individual grades, and attendance records across multiple related tables.</w:t>
      </w:r>
    </w:p>
    <w:p>
      <w:pPr>
        <w:pStyle w:val="Compact"/>
        <w:numPr>
          <w:ilvl w:val="0"/>
          <w:numId w:val="1013"/>
        </w:numPr>
      </w:pPr>
      <w:r>
        <w:rPr>
          <w:b/>
          <w:bCs/>
        </w:rPr>
        <w:t xml:space="preserve">Enforcing data integrity</w:t>
      </w:r>
      <w:r>
        <w:t xml:space="preserve"> </w:t>
      </w:r>
      <w:r>
        <w:t xml:space="preserve">— using primary keys, foreign keys, data types, and relationships to ensure that every record is valid and connected.</w:t>
      </w:r>
    </w:p>
    <w:p>
      <w:pPr>
        <w:pStyle w:val="Compact"/>
        <w:numPr>
          <w:ilvl w:val="0"/>
          <w:numId w:val="1013"/>
        </w:numPr>
      </w:pPr>
      <w:r>
        <w:rPr>
          <w:b/>
          <w:bCs/>
        </w:rPr>
        <w:t xml:space="preserve">Answering real questions with SQL</w:t>
      </w:r>
      <w:r>
        <w:t xml:space="preserve"> </w:t>
      </w:r>
      <w:r>
        <w:t xml:space="preserve">— retrieving grades, calculating averages by deliverable type, computing attendance percentages, and joining data across tables to produce meaningful results.</w:t>
      </w:r>
    </w:p>
    <w:p>
      <w:pPr>
        <w:pStyle w:val="Compact"/>
        <w:numPr>
          <w:ilvl w:val="0"/>
          <w:numId w:val="1013"/>
        </w:numPr>
      </w:pPr>
      <w:r>
        <w:rPr>
          <w:b/>
          <w:bCs/>
        </w:rPr>
        <w:t xml:space="preserve">Supporting data entry through forms</w:t>
      </w:r>
      <w:r>
        <w:t xml:space="preserve"> </w:t>
      </w:r>
      <w:r>
        <w:t xml:space="preserve">— building Access forms that make it easy to input grades consistently and correctly, reducing manual errors.</w:t>
      </w:r>
    </w:p>
    <w:p>
      <w:pPr>
        <w:pStyle w:val="Compact"/>
        <w:numPr>
          <w:ilvl w:val="0"/>
          <w:numId w:val="1013"/>
        </w:numPr>
      </w:pPr>
      <w:r>
        <w:rPr>
          <w:b/>
          <w:bCs/>
        </w:rPr>
        <w:t xml:space="preserve">Presenting results through reports</w:t>
      </w:r>
      <w:r>
        <w:t xml:space="preserve"> </w:t>
      </w:r>
      <w:r>
        <w:t xml:space="preserve">— generating clear, formatted outputs that a non-technical stakeholder could read and act on.</w:t>
      </w:r>
    </w:p>
    <w:p>
      <w:pPr>
        <w:pStyle w:val="Compact"/>
        <w:numPr>
          <w:ilvl w:val="0"/>
          <w:numId w:val="1013"/>
        </w:numPr>
      </w:pPr>
      <w:r>
        <w:rPr>
          <w:b/>
          <w:bCs/>
        </w:rPr>
        <w:t xml:space="preserve">Automating repetitive tasks</w:t>
      </w:r>
      <w:r>
        <w:t xml:space="preserve"> </w:t>
      </w:r>
      <w:r>
        <w:t xml:space="preserve">— using macros to calculate final grades, refresh reports, and generate outputs with a single click.</w:t>
      </w:r>
    </w:p>
    <w:p>
      <w:pPr>
        <w:pStyle w:val="Compact"/>
        <w:numPr>
          <w:ilvl w:val="0"/>
          <w:numId w:val="1013"/>
        </w:numPr>
      </w:pPr>
      <w:r>
        <w:rPr>
          <w:b/>
          <w:bCs/>
        </w:rPr>
        <w:t xml:space="preserve">Performing what-if analysis</w:t>
      </w:r>
      <w:r>
        <w:t xml:space="preserve"> </w:t>
      </w:r>
      <w:r>
        <w:t xml:space="preserve">— estimating minimum possible grades (if all remaining work scores zero) and maximum possible grades (if all remaining work scores perfectly).</w:t>
      </w:r>
    </w:p>
    <w:p>
      <w:pPr>
        <w:pStyle w:val="Compact"/>
        <w:numPr>
          <w:ilvl w:val="0"/>
          <w:numId w:val="1013"/>
        </w:numPr>
      </w:pPr>
      <w:r>
        <w:rPr>
          <w:b/>
          <w:bCs/>
        </w:rPr>
        <w:t xml:space="preserve">Mapping numeric grades to letter grades</w:t>
      </w:r>
      <w:r>
        <w:t xml:space="preserve"> </w:t>
      </w:r>
      <w:r>
        <w:t xml:space="preserve">— using a lookup table and SQL joins to translate calculated averages into the grading scale.</w:t>
      </w:r>
    </w:p>
    <w:p>
      <w:pPr>
        <w:pStyle w:val="FirstParagraph"/>
      </w:pPr>
      <w:r>
        <w:t xml:space="preserve">Figure 1.5 – Simplified Entity Relationship Diagram for the Grading Database</w:t>
      </w:r>
      <w:r>
        <w:t xml:space="preserve"> </w:t>
      </w:r>
      <w:r>
        <w:rPr>
          <w:i/>
          <w:iCs/>
        </w:rPr>
        <w:t xml:space="preserve">Figure 1.5 – Simplified Entity Relationship Diagram for the Grading Database</w:t>
      </w:r>
    </w:p>
    <w:p>
      <w:pPr>
        <w:pStyle w:val="BodyText"/>
      </w:pPr>
      <w:r>
        <w:t xml:space="preserve">🎨 Image Generation Prompt</w:t>
      </w:r>
    </w:p>
    <w:p>
      <w:pPr>
        <w:pStyle w:val="BodyText"/>
      </w:pPr>
      <w:r>
        <w:rPr>
          <w:b/>
          <w:bCs/>
        </w:rPr>
        <w:t xml:space="preserve">Filename</w:t>
      </w:r>
      <w:r>
        <w:t xml:space="preserve">:</w:t>
      </w:r>
      <w:r>
        <w:t xml:space="preserve"> </w:t>
      </w:r>
      <w:r>
        <w:rPr>
          <w:rStyle w:val="VerbatimChar"/>
        </w:rPr>
        <w:t xml:space="preserve">figure-1.5-grading-db-erd.png</w:t>
      </w:r>
      <w:r>
        <w:t xml:space="preserve"> </w:t>
      </w:r>
      <w:r>
        <w:rPr>
          <w:b/>
          <w:bCs/>
        </w:rPr>
        <w:t xml:space="preserve">Caption</w:t>
      </w:r>
      <w:r>
        <w:t xml:space="preserve">:</w:t>
      </w:r>
      <w:r>
        <w:t xml:space="preserve"> </w:t>
      </w:r>
      <w:r>
        <w:t xml:space="preserve">“Figure 1.5 – Simplified Entity Relationship Diagram for the Grading Database”</w:t>
      </w:r>
      <w:r>
        <w:t xml:space="preserve"> </w:t>
      </w:r>
      <w:r>
        <w:rPr>
          <w:b/>
          <w:bCs/>
        </w:rPr>
        <w:t xml:space="preserve">Gemini Prompt</w:t>
      </w:r>
      <w:r>
        <w:t xml:space="preserve">:</w:t>
      </w:r>
      <w:r>
        <w:t xml:space="preserve"> </w:t>
      </w:r>
      <w:r>
        <w:t xml:space="preserve">“Create a clean, professional Entity Relationship Diagram for a college textbook. Show six tables: STUDENT, ASSIGNMENT, SCHEDULE, ATTENDANCE, DELIVERABLE, and STUDENT_GRADE. Each table is a rectangle with the table name as header and 3-4 key field names listed inside. Draw relationship lines between tables: STUDENT connects to ATTENDANCE and STUDENT_GRADE; SCHEDULE connects to ATTENDANCE; DELIVERABLE connects to STUDENT_GRADE and ASSIGNMENT. Use crow’s foot notation for one-to-many relationships. Use a blue and warm-gold color scheme, clean grid layout, white background, professional typography.”</w:t>
      </w:r>
    </w:p>
    <w:bookmarkEnd w:id="40"/>
    <w:bookmarkStart w:id="41" w:name="how-the-project-evolves"/>
    <w:p>
      <w:pPr>
        <w:pStyle w:val="Heading3"/>
      </w:pPr>
      <w:r>
        <w:t xml:space="preserve">1.7.4 How the Project Evolves</w:t>
      </w:r>
    </w:p>
    <w:p>
      <w:pPr>
        <w:pStyle w:val="FirstParagraph"/>
      </w:pPr>
      <w:r>
        <w:t xml:space="preserve">The Grading Database is built in two major phases, each corresponding to a milestone in the book:</w:t>
      </w:r>
    </w:p>
    <w:p>
      <w:pPr>
        <w:pStyle w:val="BodyText"/>
      </w:pPr>
      <w:r>
        <w:rPr>
          <w:b/>
          <w:bCs/>
        </w:rPr>
        <w:t xml:space="preserve">Phase 1 — Midterm: Foundation.</w:t>
      </w:r>
      <w:r>
        <w:t xml:space="preserve"> </w:t>
      </w:r>
      <w:r>
        <w:t xml:space="preserve">You will design a relational schema with at least four tables, create the tables and relationships in Microsoft Access, enter real data, build a data-entry form, and write SQL queries that retrieve student details, calculate averages by deliverable type, and compute attendance percentages.</w:t>
      </w:r>
    </w:p>
    <w:p>
      <w:pPr>
        <w:pStyle w:val="BodyText"/>
      </w:pPr>
      <w:r>
        <w:rPr>
          <w:b/>
          <w:bCs/>
        </w:rPr>
        <w:t xml:space="preserve">Phase 2 — Final: Integration and Analysis.</w:t>
      </w:r>
      <w:r>
        <w:t xml:space="preserve"> </w:t>
      </w:r>
      <w:r>
        <w:t xml:space="preserve">Building on the midterm database, you will create a formal Entity Relationship Diagram, write SQL table-creation scripts, calculate weighted final grades, perform minimum and maximum grade analysis, build macros for automation, and reflect on database administration and business intelligence concepts.</w:t>
      </w:r>
    </w:p>
    <w:p>
      <w:pPr>
        <w:pStyle w:val="SourceCode"/>
      </w:pPr>
      <w:r>
        <w:rPr>
          <w:rStyle w:val="VerbatimChar"/>
        </w:rPr>
        <w:t xml:space="preserve">flowchart LR</w:t>
      </w:r>
      <w:r>
        <w:br/>
      </w:r>
      <w:r>
        <w:rPr>
          <w:rStyle w:val="VerbatimChar"/>
        </w:rPr>
        <w:t xml:space="preserve">    A["📋 Design Schema"] --&gt; B["🗄️ Create Tables&lt;br/&gt;&amp; Relationships"]</w:t>
      </w:r>
      <w:r>
        <w:br/>
      </w:r>
      <w:r>
        <w:rPr>
          <w:rStyle w:val="VerbatimChar"/>
        </w:rPr>
        <w:t xml:space="preserve">    B --&gt; C["📝 Enter Data&lt;br/&gt;&amp; Build Forms"]</w:t>
      </w:r>
      <w:r>
        <w:br/>
      </w:r>
      <w:r>
        <w:rPr>
          <w:rStyle w:val="VerbatimChar"/>
        </w:rPr>
        <w:t xml:space="preserve">    C --&gt; D["🔍 Write SQL&lt;br/&gt;Queries"]</w:t>
      </w:r>
      <w:r>
        <w:br/>
      </w:r>
      <w:r>
        <w:rPr>
          <w:rStyle w:val="VerbatimChar"/>
        </w:rPr>
        <w:t xml:space="preserve">    D --&gt; E["📊 Automate&lt;br/&gt;&amp; Analyze"]</w:t>
      </w:r>
      <w:r>
        <w:br/>
      </w:r>
      <w:r>
        <w:rPr>
          <w:rStyle w:val="VerbatimChar"/>
        </w:rPr>
        <w:t xml:space="preserve">    E --&gt; F["📈 Report&lt;br/&gt;&amp; Reflect"]</w:t>
      </w:r>
      <w:r>
        <w:br/>
      </w:r>
      <w:r>
        <w:br/>
      </w:r>
      <w:r>
        <w:rPr>
          <w:rStyle w:val="VerbatimChar"/>
        </w:rPr>
        <w:t xml:space="preserve">    subgraph "Phase 1: Midterm"</w:t>
      </w:r>
      <w:r>
        <w:br/>
      </w:r>
      <w:r>
        <w:rPr>
          <w:rStyle w:val="VerbatimChar"/>
        </w:rPr>
        <w:t xml:space="preserve">        A</w:t>
      </w:r>
      <w:r>
        <w:br/>
      </w:r>
      <w:r>
        <w:rPr>
          <w:rStyle w:val="VerbatimChar"/>
        </w:rPr>
        <w:t xml:space="preserve">        B</w:t>
      </w:r>
      <w:r>
        <w:br/>
      </w:r>
      <w:r>
        <w:rPr>
          <w:rStyle w:val="VerbatimChar"/>
        </w:rPr>
        <w:t xml:space="preserve">        C</w:t>
      </w:r>
      <w:r>
        <w:br/>
      </w:r>
      <w:r>
        <w:rPr>
          <w:rStyle w:val="VerbatimChar"/>
        </w:rPr>
        <w:t xml:space="preserve">        D</w:t>
      </w:r>
      <w:r>
        <w:br/>
      </w:r>
      <w:r>
        <w:rPr>
          <w:rStyle w:val="VerbatimChar"/>
        </w:rPr>
        <w:t xml:space="preserve">    end</w:t>
      </w:r>
      <w:r>
        <w:br/>
      </w:r>
      <w:r>
        <w:br/>
      </w:r>
      <w:r>
        <w:rPr>
          <w:rStyle w:val="VerbatimChar"/>
        </w:rPr>
        <w:t xml:space="preserve">    subgraph "Phase 2: Final"</w:t>
      </w:r>
      <w:r>
        <w:br/>
      </w:r>
      <w:r>
        <w:rPr>
          <w:rStyle w:val="VerbatimChar"/>
        </w:rPr>
        <w:t xml:space="preserve">        E</w:t>
      </w:r>
      <w:r>
        <w:br/>
      </w:r>
      <w:r>
        <w:rPr>
          <w:rStyle w:val="VerbatimChar"/>
        </w:rPr>
        <w:t xml:space="preserve">        F</w:t>
      </w:r>
      <w:r>
        <w:br/>
      </w:r>
      <w:r>
        <w:rPr>
          <w:rStyle w:val="VerbatimChar"/>
        </w:rPr>
        <w:t xml:space="preserve">    end</w:t>
      </w:r>
    </w:p>
    <w:p>
      <w:pPr>
        <w:pStyle w:val="FirstParagraph"/>
      </w:pPr>
      <w:r>
        <w:t xml:space="preserve">Figure 1.6 – Two-phase progression of the Grading Database project</w:t>
      </w:r>
      <w:r>
        <w:t xml:space="preserve"> </w:t>
      </w:r>
      <w:r>
        <w:rPr>
          <w:i/>
          <w:iCs/>
        </w:rPr>
        <w:t xml:space="preserve">Figure 1.6 – Two-phase progression of the Grading Database project</w:t>
      </w:r>
    </w:p>
    <w:p>
      <w:pPr>
        <w:pStyle w:val="BodyText"/>
      </w:pPr>
      <w:r>
        <w:t xml:space="preserve">🎨 Image Generation Prompt</w:t>
      </w:r>
    </w:p>
    <w:p>
      <w:pPr>
        <w:pStyle w:val="BodyText"/>
      </w:pPr>
      <w:r>
        <w:rPr>
          <w:b/>
          <w:bCs/>
        </w:rPr>
        <w:t xml:space="preserve">Filename</w:t>
      </w:r>
      <w:r>
        <w:t xml:space="preserve">:</w:t>
      </w:r>
      <w:r>
        <w:t xml:space="preserve"> </w:t>
      </w:r>
      <w:r>
        <w:rPr>
          <w:rStyle w:val="VerbatimChar"/>
        </w:rPr>
        <w:t xml:space="preserve">figure-1.6-project-phases.png</w:t>
      </w:r>
      <w:r>
        <w:t xml:space="preserve"> </w:t>
      </w:r>
      <w:r>
        <w:rPr>
          <w:b/>
          <w:bCs/>
        </w:rPr>
        <w:t xml:space="preserve">Caption</w:t>
      </w:r>
      <w:r>
        <w:t xml:space="preserve">:</w:t>
      </w:r>
      <w:r>
        <w:t xml:space="preserve"> </w:t>
      </w:r>
      <w:r>
        <w:t xml:space="preserve">“Figure 1.6 – Two-phase progression of the Grading Database project”</w:t>
      </w:r>
      <w:r>
        <w:t xml:space="preserve"> </w:t>
      </w:r>
      <w:r>
        <w:rPr>
          <w:b/>
          <w:bCs/>
        </w:rPr>
        <w:t xml:space="preserve">Gemini Prompt</w:t>
      </w:r>
      <w:r>
        <w:t xml:space="preserve">:</w:t>
      </w:r>
      <w:r>
        <w:t xml:space="preserve"> </w:t>
      </w:r>
      <w:r>
        <w:t xml:space="preserve">“Create a static version of a two-phase project timeline for a college textbook. Phase 1 (Midterm) includes four steps: Design Schema, Create Tables &amp; Relationships, Enter Data &amp; Build Forms, Write SQL Queries. Phase 2 (Final) includes two steps: Automate &amp; Analyze, Report &amp; Reflect. Show these as a left-to-right flow with two colored regions (blue for Phase 1, warm-gold for Phase 2). Each step is a rounded rectangle connected by arrows. Use a blue and warm-gold color palette. Clean white background, professional flat design.”</w:t>
      </w:r>
    </w:p>
    <w:p>
      <w:pPr>
        <w:pStyle w:val="BodyText"/>
      </w:pPr>
      <w:r>
        <w:t xml:space="preserve">🎨 Gemini Prompt for Mermaid Static Version</w:t>
      </w:r>
    </w:p>
    <w:p>
      <w:pPr>
        <w:pStyle w:val="BodyText"/>
      </w:pPr>
      <w:r>
        <w:rPr>
          <w:b/>
          <w:bCs/>
        </w:rPr>
        <w:t xml:space="preserve">Gemini Prompt</w:t>
      </w:r>
      <w:r>
        <w:t xml:space="preserve">:</w:t>
      </w:r>
      <w:r>
        <w:t xml:space="preserve"> </w:t>
      </w:r>
      <w:r>
        <w:t xml:space="preserve">“Create a professional static version of a left-to-right flowchart with six nodes in two groups for a college textbook. Group 1</w:t>
      </w:r>
      <w:r>
        <w:t xml:space="preserve"> </w:t>
      </w:r>
      <w:r>
        <w:t xml:space="preserve">‘Phase 1: Midterm’</w:t>
      </w:r>
      <w:r>
        <w:t xml:space="preserve"> </w:t>
      </w:r>
      <w:r>
        <w:t xml:space="preserve">(light blue background): Design Schema, Create Tables &amp; Relationships, Enter Data &amp; Build Forms, Write SQL Queries. Group 2</w:t>
      </w:r>
      <w:r>
        <w:t xml:space="preserve"> </w:t>
      </w:r>
      <w:r>
        <w:t xml:space="preserve">‘Phase 2: Final’</w:t>
      </w:r>
      <w:r>
        <w:t xml:space="preserve"> </w:t>
      </w:r>
      <w:r>
        <w:t xml:space="preserve">(light warm-gold background): Automate &amp; Analyze, Report &amp; Reflect. Rounded rectangles with directional arrows, clean white outer background, suitable for print.”</w:t>
      </w:r>
    </w:p>
    <w:bookmarkEnd w:id="41"/>
    <w:bookmarkStart w:id="42" w:name="why-a-grading-database"/>
    <w:p>
      <w:pPr>
        <w:pStyle w:val="Heading3"/>
      </w:pPr>
      <w:r>
        <w:t xml:space="preserve">1.7.5 Why a Grading Database?</w:t>
      </w:r>
    </w:p>
    <w:p>
      <w:pPr>
        <w:pStyle w:val="FirstParagraph"/>
      </w:pPr>
      <w:r>
        <w:t xml:space="preserve">The Grading Database is deliberately chosen because it is a system you already understand as a user. You know what grades are, how attendance works, and what a final grade means. That familiarity removes the guesswork about business rules and lets you focus on the real learning objectives: how to</w:t>
      </w:r>
      <w:r>
        <w:t xml:space="preserve"> </w:t>
      </w:r>
      <w:r>
        <w:rPr>
          <w:b/>
          <w:bCs/>
        </w:rPr>
        <w:t xml:space="preserve">structure</w:t>
      </w:r>
      <w:r>
        <w:t xml:space="preserve"> </w:t>
      </w:r>
      <w:r>
        <w:t xml:space="preserve">data, how to</w:t>
      </w:r>
      <w:r>
        <w:t xml:space="preserve"> </w:t>
      </w:r>
      <w:r>
        <w:rPr>
          <w:b/>
          <w:bCs/>
        </w:rPr>
        <w:t xml:space="preserve">query</w:t>
      </w:r>
      <w:r>
        <w:t xml:space="preserve"> </w:t>
      </w:r>
      <w:r>
        <w:t xml:space="preserve">it, how to</w:t>
      </w:r>
      <w:r>
        <w:t xml:space="preserve"> </w:t>
      </w:r>
      <w:r>
        <w:rPr>
          <w:b/>
          <w:bCs/>
        </w:rPr>
        <w:t xml:space="preserve">protect</w:t>
      </w:r>
      <w:r>
        <w:t xml:space="preserve"> </w:t>
      </w:r>
      <w:r>
        <w:t xml:space="preserve">it, and how to</w:t>
      </w:r>
      <w:r>
        <w:t xml:space="preserve"> </w:t>
      </w:r>
      <w:r>
        <w:rPr>
          <w:b/>
          <w:bCs/>
        </w:rPr>
        <w:t xml:space="preserve">present</w:t>
      </w:r>
      <w:r>
        <w:t xml:space="preserve"> </w:t>
      </w:r>
      <w:r>
        <w:t xml:space="preserve">it.</w:t>
      </w:r>
    </w:p>
    <w:p>
      <w:pPr>
        <w:pStyle w:val="BodyText"/>
      </w:pPr>
      <w:r>
        <w:t xml:space="preserve">At the same time, it is genuinely complex enough to surface real design challenges: one-to-many relationships, aggregate calculations, conditional logic, weighted scoring, and multi-table joins. These are the same patterns that appear in inventory systems, CRM platforms, healthcare records, and financial reporting — just applied to a domain you live in every day.</w:t>
      </w:r>
    </w:p>
    <w:p>
      <w:pPr>
        <w:pStyle w:val="BodyText"/>
      </w:pPr>
      <w:r>
        <w:t xml:space="preserve">🧠</w:t>
      </w:r>
      <w:r>
        <w:t xml:space="preserve"> </w:t>
      </w:r>
      <w:r>
        <w:rPr>
          <w:b/>
          <w:bCs/>
        </w:rPr>
        <w:t xml:space="preserve">Concept:</w:t>
      </w:r>
      <w:r>
        <w:t xml:space="preserve"> </w:t>
      </w:r>
      <w:r>
        <w:t xml:space="preserve">The best way to learn database design is with a domain you already understand. When you know the business rules intuitively, you can focus on</w:t>
      </w:r>
      <w:r>
        <w:t xml:space="preserve"> </w:t>
      </w:r>
      <w:r>
        <w:rPr>
          <w:i/>
          <w:iCs/>
        </w:rPr>
        <w:t xml:space="preserve">how</w:t>
      </w:r>
      <w:r>
        <w:t xml:space="preserve"> </w:t>
      </w:r>
      <w:r>
        <w:t xml:space="preserve">the system represents them rather than</w:t>
      </w:r>
      <w:r>
        <w:t xml:space="preserve"> </w:t>
      </w:r>
      <w:r>
        <w:rPr>
          <w:i/>
          <w:iCs/>
        </w:rPr>
        <w:t xml:space="preserve">what</w:t>
      </w:r>
      <w:r>
        <w:t xml:space="preserve"> </w:t>
      </w:r>
      <w:r>
        <w:t xml:space="preserve">they mean. That is precisely why the Grading Database works so well as a teaching tool.</w:t>
      </w:r>
    </w:p>
    <w:bookmarkEnd w:id="42"/>
    <w:bookmarkStart w:id="43" w:name="professional-roles-you-will-practice"/>
    <w:p>
      <w:pPr>
        <w:pStyle w:val="Heading3"/>
      </w:pPr>
      <w:r>
        <w:t xml:space="preserve">1.7.6 Professional Roles You Will Practice</w:t>
      </w:r>
    </w:p>
    <w:p>
      <w:pPr>
        <w:pStyle w:val="FirstParagraph"/>
      </w:pPr>
      <w:r>
        <w:t xml:space="preserve">By completing this project, you step into multiple professional roles:</w:t>
      </w:r>
    </w:p>
    <w:tbl>
      <w:tblPr>
        <w:tblStyle w:val="Table"/>
        <w:tblW w:type="pct" w:w="5000"/>
        <w:tblLayout w:type="fixed"/>
        <w:tblLook w:firstRow="1" w:lastRow="0" w:firstColumn="0" w:lastColumn="0" w:noHBand="0" w:noVBand="0" w:val="0020"/>
      </w:tblPr>
      <w:tblGrid>
        <w:gridCol w:w="2011"/>
        <w:gridCol w:w="5908"/>
      </w:tblGrid>
      <w:tr>
        <w:trPr>
          <w:tblHeader w:val="on"/>
        </w:trPr>
        <w:tc>
          <w:tcPr/>
          <w:p>
            <w:pPr>
              <w:pStyle w:val="Compact"/>
            </w:pPr>
            <w:r>
              <w:t xml:space="preserve">Role</w:t>
            </w:r>
          </w:p>
        </w:tc>
        <w:tc>
          <w:tcPr/>
          <w:p>
            <w:pPr>
              <w:pStyle w:val="Compact"/>
            </w:pPr>
            <w:r>
              <w:t xml:space="preserve">What You Practice</w:t>
            </w:r>
          </w:p>
        </w:tc>
      </w:tr>
      <w:tr>
        <w:tc>
          <w:tcPr/>
          <w:p>
            <w:pPr>
              <w:pStyle w:val="Compact"/>
            </w:pPr>
            <w:r>
              <w:rPr>
                <w:b/>
                <w:bCs/>
              </w:rPr>
              <w:t xml:space="preserve">Data Architect</w:t>
            </w:r>
          </w:p>
        </w:tc>
        <w:tc>
          <w:tcPr/>
          <w:p>
            <w:pPr>
              <w:pStyle w:val="Compact"/>
            </w:pPr>
            <w:r>
              <w:t xml:space="preserve">Designing structure and relationships</w:t>
            </w:r>
          </w:p>
        </w:tc>
      </w:tr>
      <w:tr>
        <w:tc>
          <w:tcPr/>
          <w:p>
            <w:pPr>
              <w:pStyle w:val="Compact"/>
            </w:pPr>
            <w:r>
              <w:rPr>
                <w:b/>
                <w:bCs/>
              </w:rPr>
              <w:t xml:space="preserve">SQL Developer</w:t>
            </w:r>
          </w:p>
        </w:tc>
        <w:tc>
          <w:tcPr/>
          <w:p>
            <w:pPr>
              <w:pStyle w:val="Compact"/>
            </w:pPr>
            <w:r>
              <w:t xml:space="preserve">Writing correct and expressive queries</w:t>
            </w:r>
          </w:p>
        </w:tc>
      </w:tr>
      <w:tr>
        <w:tc>
          <w:tcPr/>
          <w:p>
            <w:pPr>
              <w:pStyle w:val="Compact"/>
            </w:pPr>
            <w:r>
              <w:rPr>
                <w:b/>
                <w:bCs/>
              </w:rPr>
              <w:t xml:space="preserve">Database Administrator</w:t>
            </w:r>
          </w:p>
        </w:tc>
        <w:tc>
          <w:tcPr/>
          <w:p>
            <w:pPr>
              <w:pStyle w:val="Compact"/>
            </w:pPr>
            <w:r>
              <w:t xml:space="preserve">Protecting reliability and integrity</w:t>
            </w:r>
          </w:p>
        </w:tc>
      </w:tr>
      <w:tr>
        <w:tc>
          <w:tcPr/>
          <w:p>
            <w:pPr>
              <w:pStyle w:val="Compact"/>
            </w:pPr>
            <w:r>
              <w:rPr>
                <w:b/>
                <w:bCs/>
              </w:rPr>
              <w:t xml:space="preserve">Analyst</w:t>
            </w:r>
          </w:p>
        </w:tc>
        <w:tc>
          <w:tcPr/>
          <w:p>
            <w:pPr>
              <w:pStyle w:val="Compact"/>
            </w:pPr>
            <w:r>
              <w:t xml:space="preserve">Transforming data into insight</w:t>
            </w:r>
          </w:p>
        </w:tc>
      </w:tr>
      <w:tr>
        <w:tc>
          <w:tcPr/>
          <w:p>
            <w:pPr>
              <w:pStyle w:val="Compact"/>
            </w:pPr>
            <w:r>
              <w:rPr>
                <w:b/>
                <w:bCs/>
              </w:rPr>
              <w:t xml:space="preserve">Communicator</w:t>
            </w:r>
          </w:p>
        </w:tc>
        <w:tc>
          <w:tcPr/>
          <w:p>
            <w:pPr>
              <w:pStyle w:val="Compact"/>
            </w:pPr>
            <w:r>
              <w:t xml:space="preserve">Presenting technical results so that non-technical stakeholders can understand and act on them</w:t>
            </w:r>
          </w:p>
        </w:tc>
      </w:tr>
    </w:tbl>
    <w:p>
      <w:pPr>
        <w:pStyle w:val="BodyText"/>
      </w:pPr>
      <w:r>
        <w:t xml:space="preserve">💡</w:t>
      </w:r>
      <w:r>
        <w:t xml:space="preserve"> </w:t>
      </w:r>
      <w:r>
        <w:rPr>
          <w:b/>
          <w:bCs/>
        </w:rPr>
        <w:t xml:space="preserve">Tip:</w:t>
      </w:r>
      <w:r>
        <w:t xml:space="preserve"> </w:t>
      </w:r>
      <w:r>
        <w:t xml:space="preserve">As you work through the Grading Database, keep track of which role you are playing at each step. Real-world database projects require all five — and understanding how they interact is itself a professional skill.</w:t>
      </w:r>
    </w:p>
    <w:bookmarkEnd w:id="43"/>
    <w:bookmarkEnd w:id="44"/>
    <w:bookmarkStart w:id="45" w:name="how-this-book-approaches-assessment"/>
    <w:p>
      <w:pPr>
        <w:pStyle w:val="Heading2"/>
      </w:pPr>
      <w:r>
        <w:t xml:space="preserve">1.9 How This Book Approaches Assessment</w:t>
      </w:r>
    </w:p>
    <w:p>
      <w:pPr>
        <w:pStyle w:val="FirstParagraph"/>
      </w:pPr>
      <w:r>
        <w:t xml:space="preserve">A quick word about how the assessments in this book are designed — because it matters for how you study.</w:t>
      </w:r>
    </w:p>
    <w:p>
      <w:pPr>
        <w:pStyle w:val="BodyText"/>
      </w:pPr>
      <w:r>
        <w:t xml:space="preserve">You may have noticed that AI tools can answer many textbook questions by pattern-matching keywords or recalling generic definitions. The assessments in this book are written to reward</w:t>
      </w:r>
      <w:r>
        <w:t xml:space="preserve"> </w:t>
      </w:r>
      <w:r>
        <w:rPr>
          <w:b/>
          <w:bCs/>
        </w:rPr>
        <w:t xml:space="preserve">genuine understanding</w:t>
      </w:r>
      <w:r>
        <w:t xml:space="preserve">, not surface-level recall. Here is what that means in practice:</w:t>
      </w:r>
    </w:p>
    <w:p>
      <w:pPr>
        <w:numPr>
          <w:ilvl w:val="0"/>
          <w:numId w:val="1014"/>
        </w:numPr>
      </w:pPr>
      <w:r>
        <w:rPr>
          <w:b/>
          <w:bCs/>
        </w:rPr>
        <w:t xml:space="preserve">Chapter-specific reasoning matters.</w:t>
      </w:r>
      <w:r>
        <w:t xml:space="preserve"> </w:t>
      </w:r>
      <w:r>
        <w:t xml:space="preserve">Questions are tied to</w:t>
      </w:r>
      <w:r>
        <w:t xml:space="preserve"> </w:t>
      </w:r>
      <w:r>
        <w:rPr>
          <w:i/>
          <w:iCs/>
        </w:rPr>
        <w:t xml:space="preserve">this chapter’s</w:t>
      </w:r>
      <w:r>
        <w:t xml:space="preserve"> </w:t>
      </w:r>
      <w:r>
        <w:t xml:space="preserve">specific framing, not to generic database knowledge. A technically correct statement from another context may be the wrong answer here if it contradicts how the concept was introduced.</w:t>
      </w:r>
    </w:p>
    <w:p>
      <w:pPr>
        <w:numPr>
          <w:ilvl w:val="0"/>
          <w:numId w:val="1014"/>
        </w:numPr>
      </w:pPr>
      <w:r>
        <w:rPr>
          <w:b/>
          <w:bCs/>
        </w:rPr>
        <w:t xml:space="preserve">Scenarios require careful reading.</w:t>
      </w:r>
      <w:r>
        <w:t xml:space="preserve"> </w:t>
      </w:r>
      <w:r>
        <w:t xml:space="preserve">Many questions describe a realistic situation where the correct answer depends on a specific principle from the chapter. Skimming the stem or relying on general knowledge can lead you to a plausible — but wrong — choice.</w:t>
      </w:r>
    </w:p>
    <w:p>
      <w:pPr>
        <w:numPr>
          <w:ilvl w:val="0"/>
          <w:numId w:val="1014"/>
        </w:numPr>
      </w:pPr>
      <w:r>
        <w:rPr>
          <w:b/>
          <w:bCs/>
        </w:rPr>
        <w:t xml:space="preserve">“Select all that apply”</w:t>
      </w:r>
      <w:r>
        <w:rPr>
          <w:b/>
          <w:bCs/>
        </w:rPr>
        <w:t xml:space="preserve"> </w:t>
      </w:r>
      <w:r>
        <w:rPr>
          <w:b/>
          <w:bCs/>
        </w:rPr>
        <w:t xml:space="preserve">questions test precision.</w:t>
      </w:r>
      <w:r>
        <w:t xml:space="preserve"> </w:t>
      </w:r>
      <w:r>
        <w:t xml:space="preserve">These questions mix correct options with subtly incorrect ones. For example,</w:t>
      </w:r>
      <w:r>
        <w:t xml:space="preserve"> </w:t>
      </w:r>
      <w:r>
        <w:t xml:space="preserve">“databases automatically generate purchase orders”</w:t>
      </w:r>
      <w:r>
        <w:t xml:space="preserve"> </w:t>
      </w:r>
      <w:r>
        <w:rPr>
          <w:i/>
          <w:iCs/>
        </w:rPr>
        <w:t xml:space="preserve">sounds</w:t>
      </w:r>
      <w:r>
        <w:t xml:space="preserve"> </w:t>
      </w:r>
      <w:r>
        <w:t xml:space="preserve">reasonable, but it describes an application-level feature, not a DBMS capability. You need to know the boundaries.</w:t>
      </w:r>
    </w:p>
    <w:p>
      <w:pPr>
        <w:numPr>
          <w:ilvl w:val="0"/>
          <w:numId w:val="1014"/>
        </w:numPr>
      </w:pPr>
      <w:r>
        <w:rPr>
          <w:b/>
          <w:bCs/>
        </w:rPr>
        <w:t xml:space="preserve">Distractors borrow from neighboring concepts.</w:t>
      </w:r>
      <w:r>
        <w:t xml:space="preserve"> </w:t>
      </w:r>
      <w:r>
        <w:t xml:space="preserve">Wrong answers often use language from related ideas — confusing what a DBMS does with what SQL does, or mixing up logical views with physical views. Clear conceptual boundaries matter.</w:t>
      </w:r>
    </w:p>
    <w:p>
      <w:pPr>
        <w:numPr>
          <w:ilvl w:val="0"/>
          <w:numId w:val="1014"/>
        </w:numPr>
      </w:pPr>
      <w:r>
        <w:rPr>
          <w:b/>
          <w:bCs/>
        </w:rPr>
        <w:t xml:space="preserve">Correct answers may be phrased differently from the text.</w:t>
      </w:r>
      <w:r>
        <w:t xml:space="preserve"> </w:t>
      </w:r>
      <w:r>
        <w:t xml:space="preserve">You will not always find the exact wording from the chapter in the answer choices. The goal is comprehension, not keyword matching.</w:t>
      </w:r>
    </w:p>
    <w:p>
      <w:pPr>
        <w:pStyle w:val="FirstParagraph"/>
      </w:pPr>
      <w:r>
        <w:t xml:space="preserve">💡</w:t>
      </w:r>
      <w:r>
        <w:t xml:space="preserve"> </w:t>
      </w:r>
      <w:r>
        <w:rPr>
          <w:b/>
          <w:bCs/>
        </w:rPr>
        <w:t xml:space="preserve">Tip:</w:t>
      </w:r>
      <w:r>
        <w:t xml:space="preserve"> </w:t>
      </w:r>
      <w:r>
        <w:t xml:space="preserve">The best way to prepare is not to memorize definitions, but to make sure you can</w:t>
      </w:r>
      <w:r>
        <w:t xml:space="preserve"> </w:t>
      </w:r>
      <w:r>
        <w:rPr>
          <w:b/>
          <w:bCs/>
        </w:rPr>
        <w:t xml:space="preserve">explain each concept in your own words</w:t>
      </w:r>
      <w:r>
        <w:t xml:space="preserve"> </w:t>
      </w:r>
      <w:r>
        <w:t xml:space="preserve">and</w:t>
      </w:r>
      <w:r>
        <w:t xml:space="preserve"> </w:t>
      </w:r>
      <w:r>
        <w:rPr>
          <w:b/>
          <w:bCs/>
        </w:rPr>
        <w:t xml:space="preserve">apply it to a new scenario</w:t>
      </w:r>
      <w:r>
        <w:t xml:space="preserve">. If you can do that, the assessments will feel straightforward.</w:t>
      </w:r>
    </w:p>
    <w:p>
      <w:pPr>
        <w:pStyle w:val="BodyText"/>
      </w:pPr>
      <w:r>
        <w:t xml:space="preserve">🔑</w:t>
      </w:r>
      <w:r>
        <w:t xml:space="preserve"> </w:t>
      </w:r>
      <w:r>
        <w:rPr>
          <w:b/>
          <w:bCs/>
        </w:rPr>
        <w:t xml:space="preserve">Key Takeaway:</w:t>
      </w:r>
      <w:r>
        <w:t xml:space="preserve"> </w:t>
      </w:r>
      <w:r>
        <w:t xml:space="preserve">Every chapter includes evaluation layers deliberately mapped to Bloom’s Taxonomy — reading quizzes at the Remember, Understand, and Apply levels; discussion questions at the Analyze and Evaluate levels; and labs that are performance-based and straightforward to grade. This cognitive scaffolding reduces intimidation, builds confidence, and reinforces systems thinking rather than memorization.</w:t>
      </w:r>
    </w:p>
    <w:bookmarkEnd w:id="45"/>
    <w:bookmarkStart w:id="46" w:name="repository-and-digital-materials"/>
    <w:p>
      <w:pPr>
        <w:pStyle w:val="Heading2"/>
      </w:pPr>
      <w:r>
        <w:t xml:space="preserve">1.10 Repository and Digital Materials</w:t>
      </w:r>
    </w:p>
    <w:p>
      <w:pPr>
        <w:pStyle w:val="FirstParagraph"/>
      </w:pPr>
      <w:r>
        <w:t xml:space="preserve">All materials are accessible through the digital companion site:</w:t>
      </w:r>
    </w:p>
    <w:p>
      <w:pPr>
        <w:pStyle w:val="BodyText"/>
      </w:pPr>
      <w:r>
        <w:rPr>
          <w:b/>
          <w:bCs/>
        </w:rPr>
        <w:t xml:space="preserve">https://github.com/nimdvir/BITM330-Book</w:t>
      </w:r>
    </w:p>
    <w:p>
      <w:pPr>
        <w:pStyle w:val="BodyText"/>
      </w:pPr>
      <w:r>
        <w:t xml:space="preserve">The repository includes:</w:t>
      </w:r>
    </w:p>
    <w:p>
      <w:pPr>
        <w:pStyle w:val="Compact"/>
        <w:numPr>
          <w:ilvl w:val="0"/>
          <w:numId w:val="1015"/>
        </w:numPr>
      </w:pPr>
      <w:r>
        <w:t xml:space="preserve">SQL scripts and Access database files</w:t>
      </w:r>
    </w:p>
    <w:p>
      <w:pPr>
        <w:pStyle w:val="Compact"/>
        <w:numPr>
          <w:ilvl w:val="0"/>
          <w:numId w:val="1015"/>
        </w:numPr>
      </w:pPr>
      <w:r>
        <w:t xml:space="preserve">Sample data for exercises and case studies</w:t>
      </w:r>
    </w:p>
    <w:p>
      <w:pPr>
        <w:pStyle w:val="Compact"/>
        <w:numPr>
          <w:ilvl w:val="0"/>
          <w:numId w:val="1015"/>
        </w:numPr>
      </w:pPr>
      <w:r>
        <w:t xml:space="preserve">Lecture slides and video tutorials</w:t>
      </w:r>
    </w:p>
    <w:p>
      <w:pPr>
        <w:pStyle w:val="Compact"/>
        <w:numPr>
          <w:ilvl w:val="0"/>
          <w:numId w:val="1015"/>
        </w:numPr>
      </w:pPr>
      <w:r>
        <w:t xml:space="preserve">Links to supplementary readings and research papers</w:t>
      </w:r>
    </w:p>
    <w:p>
      <w:pPr>
        <w:pStyle w:val="FirstParagraph"/>
      </w:pPr>
      <w:r>
        <w:t xml:space="preserve">Readers are encouraged to fork, modify, and share examples. The repository is a living extension of this textbook — a space for updates, innovation, and collaborative learning.</w:t>
      </w:r>
    </w:p>
    <w:p>
      <w:pPr>
        <w:pStyle w:val="BodyText"/>
      </w:pPr>
      <w:r>
        <w:t xml:space="preserve">ℹ️</w:t>
      </w:r>
      <w:r>
        <w:t xml:space="preserve"> </w:t>
      </w:r>
      <w:r>
        <w:rPr>
          <w:b/>
          <w:bCs/>
        </w:rPr>
        <w:t xml:space="preserve">Info:</w:t>
      </w:r>
      <w:r>
        <w:t xml:space="preserve"> </w:t>
      </w:r>
      <w:r>
        <w:t xml:space="preserve">Think of the GitHub repository as the</w:t>
      </w:r>
      <w:r>
        <w:t xml:space="preserve"> </w:t>
      </w:r>
      <w:r>
        <w:t xml:space="preserve">“lab”</w:t>
      </w:r>
      <w:r>
        <w:t xml:space="preserve"> </w:t>
      </w:r>
      <w:r>
        <w:t xml:space="preserve">that accompanies this</w:t>
      </w:r>
      <w:r>
        <w:t xml:space="preserve"> </w:t>
      </w:r>
      <w:r>
        <w:t xml:space="preserve">“lecture.”</w:t>
      </w:r>
      <w:r>
        <w:t xml:space="preserve"> </w:t>
      </w:r>
      <w:r>
        <w:t xml:space="preserve">The book provides concepts, context, and explanations; the repository provides the files, scripts, and databases you will work with directly.</w:t>
      </w:r>
    </w:p>
    <w:p>
      <w:pPr>
        <w:pStyle w:val="BodyText"/>
      </w:pPr>
      <w:r>
        <w:t xml:space="preserve">📝</w:t>
      </w:r>
      <w:r>
        <w:t xml:space="preserve"> </w:t>
      </w:r>
      <w:r>
        <w:rPr>
          <w:b/>
          <w:bCs/>
        </w:rPr>
        <w:t xml:space="preserve">Note:</w:t>
      </w:r>
      <w:r>
        <w:t xml:space="preserve"> </w:t>
      </w:r>
      <w:r>
        <w:t xml:space="preserve">A textbook is never finished — it is continuously improved. The combination of a live GitHub repository and ongoing classroom testing means that this book evolves based on real evidence, not assumptions. Portions of this text have been developed and tested in live course sections, with strong qualitative feedback from students. Draft chapters, labs, assessment instruments, and the Grading Database project have all been refined through real classroom use.</w:t>
      </w:r>
    </w:p>
    <w:p>
      <w:pPr>
        <w:pStyle w:val="BodyText"/>
      </w:pPr>
      <w:r>
        <w:rPr>
          <w:i/>
          <w:iCs/>
        </w:rPr>
        <w:t xml:space="preserve">This book does not just teach databases. It teaches you how data systems shape business performance — and gives you the confidence to build, analyze, and evaluate those systems.</w:t>
      </w:r>
    </w:p>
    <w:p>
      <w:pPr>
        <w:pStyle w:val="BodyText"/>
      </w:pPr>
      <w:r>
        <w:rPr>
          <w:i/>
          <w:iCs/>
        </w:rPr>
        <w:t xml:space="preserve">Let’s get started.</w:t>
      </w:r>
    </w:p>
    <w:bookmarkEnd w:id="46"/>
    <w:bookmarkStart w:id="47" w:name="chapter-summary"/>
    <w:p>
      <w:pPr>
        <w:pStyle w:val="Heading2"/>
      </w:pPr>
      <w:r>
        <w:t xml:space="preserve">Chapter Summary</w:t>
      </w:r>
    </w:p>
    <w:p>
      <w:pPr>
        <w:pStyle w:val="FirstParagraph"/>
      </w:pPr>
      <w:r>
        <w:t xml:space="preserve">This chapter welcomed you to</w:t>
      </w:r>
      <w:r>
        <w:t xml:space="preserve"> </w:t>
      </w:r>
      <w:r>
        <w:rPr>
          <w:i/>
          <w:iCs/>
        </w:rPr>
        <w:t xml:space="preserve">Using Data to Drive Business Performance: Databases and Management Information Systems</w:t>
      </w:r>
      <w:r>
        <w:t xml:space="preserve"> </w:t>
      </w:r>
      <w:r>
        <w:t xml:space="preserve">and introduced the book’s purpose, philosophy, and structure. You learned that the book follows a deliberate arc from foundational data concepts to strategic decision-making, and that every chapter is designed to build on the one before it. The five core competencies — from foundational information literacy to strategic problem solving — define the skills you will develop. The R.E.A.D. framework provides a conceptual model for understanding how organizations evolve from managing raw data to deploying strategic wisdom. Finally, you met the Grading Database, the running case study that anchors every concept in a familiar, consistent context. With the right mindset — curiosity, professionalism, engagement, precision, and a sense of play — you are ready for Chapter 2, where we explore how information systems and business performance connect.</w:t>
      </w:r>
    </w:p>
    <w:p>
      <w:pPr>
        <w:pStyle w:val="BodyText"/>
      </w:pPr>
      <w:r>
        <w:t xml:space="preserve">You will be challenged in this book. You will design databases, write queries, and analyze performance metrics. But you will always do so with context, purpose, and support. My goal is not to turn you into a programmer. My goal is to help you think like someone who understands how data-driven organizations actually function.</w:t>
      </w:r>
    </w:p>
    <w:p>
      <w:pPr>
        <w:pStyle w:val="BodyText"/>
      </w:pPr>
      <w:r>
        <w:t xml:space="preserve">If this book helps you feel more confident working with data, more critical when evaluating metrics, and more thoughtful about the role of technology in business decisions, then it has accomplished what I set out to do.</w:t>
      </w:r>
    </w:p>
    <w:bookmarkEnd w:id="47"/>
    <w:bookmarkStart w:id="48" w:name="references"/>
    <w:p>
      <w:pPr>
        <w:pStyle w:val="Heading2"/>
      </w:pPr>
      <w:r>
        <w:t xml:space="preserve">References</w:t>
      </w:r>
    </w:p>
    <w:p>
      <w:pPr>
        <w:pStyle w:val="FirstParagraph"/>
      </w:pPr>
      <w:r>
        <w:t xml:space="preserve">Davenport, T. H., &amp; Harris, J. G. (2017).</w:t>
      </w:r>
      <w:r>
        <w:t xml:space="preserve"> </w:t>
      </w:r>
      <w:r>
        <w:rPr>
          <w:i/>
          <w:iCs/>
        </w:rPr>
        <w:t xml:space="preserve">Competing on analytics: The new science of winning</w:t>
      </w:r>
      <w:r>
        <w:t xml:space="preserve"> </w:t>
      </w:r>
      <w:r>
        <w:t xml:space="preserve">(Updated ed.). Harvard Business Review Press.</w:t>
      </w:r>
    </w:p>
    <w:p>
      <w:pPr>
        <w:pStyle w:val="BodyText"/>
      </w:pPr>
      <w:r>
        <w:t xml:space="preserve">Krathwohl, D. R. (2002). A revision of Bloom’s taxonomy: An overview.</w:t>
      </w:r>
      <w:r>
        <w:t xml:space="preserve"> </w:t>
      </w:r>
      <w:r>
        <w:rPr>
          <w:i/>
          <w:iCs/>
        </w:rPr>
        <w:t xml:space="preserve">Theory Into Practice, 41</w:t>
      </w:r>
      <w:r>
        <w:t xml:space="preserve">(4), 212–218.</w:t>
      </w:r>
    </w:p>
    <w:p>
      <w:pPr>
        <w:pStyle w:val="BodyText"/>
      </w:pPr>
      <w:r>
        <w:t xml:space="preserve">Laudon, K. C., &amp; Laudon, J. P. (2024).</w:t>
      </w:r>
      <w:r>
        <w:t xml:space="preserve"> </w:t>
      </w:r>
      <w:r>
        <w:rPr>
          <w:i/>
          <w:iCs/>
        </w:rPr>
        <w:t xml:space="preserve">Management information systems: Managing the digital firm</w:t>
      </w:r>
      <w:r>
        <w:t xml:space="preserve"> </w:t>
      </w:r>
      <w:r>
        <w:t xml:space="preserve">(18th ed.). Pearson.</w:t>
      </w:r>
    </w:p>
    <w:p>
      <w:pPr>
        <w:pStyle w:val="BodyText"/>
      </w:pPr>
      <w:r>
        <w:t xml:space="preserve">Stair, R. M., &amp; Reynolds, G. W. (2021).</w:t>
      </w:r>
      <w:r>
        <w:t xml:space="preserve"> </w:t>
      </w:r>
      <w:r>
        <w:rPr>
          <w:i/>
          <w:iCs/>
        </w:rPr>
        <w:t xml:space="preserve">Principles of information systems</w:t>
      </w:r>
      <w:r>
        <w:t xml:space="preserve"> </w:t>
      </w:r>
      <w:r>
        <w:t xml:space="preserve">(14th ed.). Cengage Learning.</w:t>
      </w:r>
    </w:p>
    <w:bookmarkEnd w:id="48"/>
    <w:bookmarkStart w:id="49" w:name="table-of-figures"/>
    <w:p>
      <w:pPr>
        <w:pStyle w:val="Heading2"/>
      </w:pPr>
      <w:r>
        <w:t xml:space="preserve">Table of Figures</w:t>
      </w:r>
    </w:p>
    <w:tbl>
      <w:tblPr>
        <w:tblStyle w:val="Table"/>
        <w:tblW w:type="pct" w:w="5000"/>
        <w:tblLayout w:type="fixed"/>
        <w:tblLook w:firstRow="1" w:lastRow="0" w:firstColumn="0" w:lastColumn="0" w:noHBand="0" w:noVBand="0" w:val="0020"/>
      </w:tblPr>
      <w:tblGrid>
        <w:gridCol w:w="1070"/>
        <w:gridCol w:w="749"/>
        <w:gridCol w:w="1819"/>
        <w:gridCol w:w="749"/>
        <w:gridCol w:w="856"/>
        <w:gridCol w:w="2247"/>
        <w:gridCol w:w="428"/>
      </w:tblGrid>
      <w:tr>
        <w:trPr>
          <w:tblHeader w:val="on"/>
        </w:trPr>
        <w:tc>
          <w:tcPr/>
          <w:p>
            <w:pPr>
              <w:pStyle w:val="Compact"/>
            </w:pPr>
            <w:r>
              <w:t xml:space="preserve">Figure ID</w:t>
            </w:r>
          </w:p>
        </w:tc>
        <w:tc>
          <w:tcPr/>
          <w:p>
            <w:pPr>
              <w:pStyle w:val="Compact"/>
            </w:pPr>
            <w:r>
              <w:t xml:space="preserve">Section</w:t>
            </w:r>
          </w:p>
        </w:tc>
        <w:tc>
          <w:tcPr/>
          <w:p>
            <w:pPr>
              <w:pStyle w:val="Compact"/>
            </w:pPr>
            <w:r>
              <w:t xml:space="preserve">Placement Context</w:t>
            </w:r>
          </w:p>
        </w:tc>
        <w:tc>
          <w:tcPr/>
          <w:p>
            <w:pPr>
              <w:pStyle w:val="Compact"/>
            </w:pPr>
            <w:r>
              <w:t xml:space="preserve">Caption</w:t>
            </w:r>
          </w:p>
        </w:tc>
        <w:tc>
          <w:tcPr/>
          <w:p>
            <w:pPr>
              <w:pStyle w:val="Compact"/>
            </w:pPr>
            <w:r>
              <w:t xml:space="preserve">Filename</w:t>
            </w:r>
          </w:p>
        </w:tc>
        <w:tc>
          <w:tcPr/>
          <w:p>
            <w:pPr>
              <w:pStyle w:val="Compact"/>
            </w:pPr>
            <w:r>
              <w:t xml:space="preserve">Gemini Prompt Summary</w:t>
            </w:r>
          </w:p>
        </w:tc>
        <w:tc>
          <w:tcPr/>
          <w:p>
            <w:pPr>
              <w:pStyle w:val="Compact"/>
            </w:pPr>
            <w:r>
              <w:t xml:space="preserve">Type</w:t>
            </w:r>
          </w:p>
        </w:tc>
      </w:tr>
      <w:tr>
        <w:tc>
          <w:tcPr/>
          <w:p>
            <w:pPr>
              <w:pStyle w:val="Compact"/>
            </w:pPr>
            <w:r>
              <w:t xml:space="preserve">Figure 1.0</w:t>
            </w:r>
          </w:p>
        </w:tc>
        <w:tc>
          <w:tcPr/>
          <w:p>
            <w:pPr>
              <w:pStyle w:val="Compact"/>
            </w:pPr>
            <w:r>
              <w:t xml:space="preserve">Cover Page</w:t>
            </w:r>
          </w:p>
        </w:tc>
        <w:tc>
          <w:tcPr/>
          <w:p>
            <w:pPr>
              <w:pStyle w:val="Compact"/>
            </w:pPr>
            <w:r>
              <w:t xml:space="preserve">Chapter cover image</w:t>
            </w:r>
          </w:p>
        </w:tc>
        <w:tc>
          <w:tcPr/>
          <w:p>
            <w:pPr>
              <w:pStyle w:val="Compact"/>
            </w:pPr>
            <w:r>
              <w:t xml:space="preserve">Chapter Overview: Welcome to the Textbook</w:t>
            </w:r>
          </w:p>
        </w:tc>
        <w:tc>
          <w:tcPr/>
          <w:p>
            <w:pPr>
              <w:pStyle w:val="Compact"/>
            </w:pPr>
            <w:r>
              <w:t xml:space="preserve">figure-1.0-chapter-overview.png</w:t>
            </w:r>
          </w:p>
        </w:tc>
        <w:tc>
          <w:tcPr/>
          <w:p>
            <w:pPr>
              <w:pStyle w:val="Compact"/>
            </w:pPr>
            <w:r>
              <w:t xml:space="preserve">Panoramic learning journey — scattered data to structured tables to dashboard decisions. Blue and warm-gold palette, flat design, white background.</w:t>
            </w:r>
          </w:p>
        </w:tc>
        <w:tc>
          <w:tcPr/>
          <w:p>
            <w:pPr>
              <w:pStyle w:val="Compact"/>
            </w:pPr>
            <w:r>
              <w:t xml:space="preserve">Image</w:t>
            </w:r>
          </w:p>
        </w:tc>
      </w:tr>
      <w:tr>
        <w:tc>
          <w:tcPr/>
          <w:p>
            <w:pPr>
              <w:pStyle w:val="Compact"/>
            </w:pPr>
            <w:r>
              <w:t xml:space="preserve">Figure 1.1</w:t>
            </w:r>
          </w:p>
        </w:tc>
        <w:tc>
          <w:tcPr/>
          <w:p>
            <w:pPr>
              <w:pStyle w:val="Compact"/>
            </w:pPr>
            <w:r>
              <w:t xml:space="preserve">Section 1.1.1</w:t>
            </w:r>
          </w:p>
        </w:tc>
        <w:tc>
          <w:tcPr/>
          <w:p>
            <w:pPr>
              <w:pStyle w:val="Compact"/>
            </w:pPr>
            <w:r>
              <w:t xml:space="preserve">After the Candid Promise to illustrate the learning journey</w:t>
            </w:r>
          </w:p>
        </w:tc>
        <w:tc>
          <w:tcPr/>
          <w:p>
            <w:pPr>
              <w:pStyle w:val="Compact"/>
            </w:pPr>
            <w:r>
              <w:t xml:space="preserve">The learning journey: from business question to data insight</w:t>
            </w:r>
          </w:p>
        </w:tc>
        <w:tc>
          <w:tcPr/>
          <w:p>
            <w:pPr>
              <w:pStyle w:val="Compact"/>
            </w:pPr>
            <w:r>
              <w:t xml:space="preserve">figure-1.1-learning-journey.png</w:t>
            </w:r>
          </w:p>
        </w:tc>
        <w:tc>
          <w:tcPr/>
          <w:p>
            <w:pPr>
              <w:pStyle w:val="Compact"/>
            </w:pPr>
            <w:r>
              <w:t xml:space="preserve">Three-stage learning journey — business question, laptop with SQL, presenting bar chart. Blue and warm-gold palette, flat design, white background.</w:t>
            </w:r>
          </w:p>
        </w:tc>
        <w:tc>
          <w:tcPr/>
          <w:p>
            <w:pPr>
              <w:pStyle w:val="Compact"/>
            </w:pPr>
            <w:r>
              <w:t xml:space="preserve">Image</w:t>
            </w:r>
          </w:p>
        </w:tc>
      </w:tr>
      <w:tr>
        <w:tc>
          <w:tcPr/>
          <w:p>
            <w:pPr>
              <w:pStyle w:val="Compact"/>
            </w:pPr>
            <w:r>
              <w:t xml:space="preserve">Figure 1.2</w:t>
            </w:r>
          </w:p>
        </w:tc>
        <w:tc>
          <w:tcPr/>
          <w:p>
            <w:pPr>
              <w:pStyle w:val="Compact"/>
            </w:pPr>
            <w:r>
              <w:t xml:space="preserve">Section 1.4.1</w:t>
            </w:r>
          </w:p>
        </w:tc>
        <w:tc>
          <w:tcPr/>
          <w:p>
            <w:pPr>
              <w:pStyle w:val="Compact"/>
            </w:pPr>
            <w:r>
              <w:t xml:space="preserve">After Five Core Competencies to map progression</w:t>
            </w:r>
          </w:p>
        </w:tc>
        <w:tc>
          <w:tcPr/>
          <w:p>
            <w:pPr>
              <w:pStyle w:val="Compact"/>
            </w:pPr>
            <w:r>
              <w:t xml:space="preserve">Five core competencies mapped to the book’s progression</w:t>
            </w:r>
          </w:p>
        </w:tc>
        <w:tc>
          <w:tcPr/>
          <w:p>
            <w:pPr>
              <w:pStyle w:val="Compact"/>
            </w:pPr>
            <w:r>
              <w:t xml:space="preserve">figure-1.2-competency-map.png</w:t>
            </w:r>
          </w:p>
        </w:tc>
        <w:tc>
          <w:tcPr/>
          <w:p>
            <w:pPr>
              <w:pStyle w:val="Compact"/>
            </w:pPr>
            <w:r>
              <w:t xml:space="preserve">Horizontal staircase infographic with five labeled steps and icons. Blue and warm-gold palette, flat design, white background.</w:t>
            </w:r>
          </w:p>
        </w:tc>
        <w:tc>
          <w:tcPr/>
          <w:p>
            <w:pPr>
              <w:pStyle w:val="Compact"/>
            </w:pPr>
            <w:r>
              <w:t xml:space="preserve">Image</w:t>
            </w:r>
          </w:p>
        </w:tc>
      </w:tr>
      <w:tr>
        <w:tc>
          <w:tcPr/>
          <w:p>
            <w:pPr>
              <w:pStyle w:val="Compact"/>
            </w:pPr>
            <w:r>
              <w:t xml:space="preserve">Figure 1.3</w:t>
            </w:r>
          </w:p>
        </w:tc>
        <w:tc>
          <w:tcPr/>
          <w:p>
            <w:pPr>
              <w:pStyle w:val="Compact"/>
            </w:pPr>
            <w:r>
              <w:t xml:space="preserve">Section 1.5.3</w:t>
            </w:r>
          </w:p>
        </w:tc>
        <w:tc>
          <w:tcPr/>
          <w:p>
            <w:pPr>
              <w:pStyle w:val="Compact"/>
            </w:pPr>
            <w:r>
              <w:t xml:space="preserve">After R.E.A.D. framework Mermaid diagram</w:t>
            </w:r>
          </w:p>
        </w:tc>
        <w:tc>
          <w:tcPr/>
          <w:p>
            <w:pPr>
              <w:pStyle w:val="Compact"/>
            </w:pPr>
            <w:r>
              <w:t xml:space="preserve">The R.E.A.D. framework: from data to wisdom</w:t>
            </w:r>
          </w:p>
        </w:tc>
        <w:tc>
          <w:tcPr/>
          <w:p>
            <w:pPr>
              <w:pStyle w:val="Compact"/>
            </w:pPr>
            <w:r>
              <w:t xml:space="preserve">figure-1.3-read-framework.png</w:t>
            </w:r>
          </w:p>
        </w:tc>
        <w:tc>
          <w:tcPr/>
          <w:p>
            <w:pPr>
              <w:pStyle w:val="Compact"/>
            </w:pPr>
            <w:r>
              <w:t xml:space="preserve">Four connected stages in left-to-right flow with icons. Blue and warm-gold palette, flat design, white background.</w:t>
            </w:r>
          </w:p>
        </w:tc>
        <w:tc>
          <w:tcPr/>
          <w:p>
            <w:pPr>
              <w:pStyle w:val="Compact"/>
            </w:pPr>
            <w:r>
              <w:t xml:space="preserve">Mermaid + Static</w:t>
            </w:r>
          </w:p>
        </w:tc>
      </w:tr>
      <w:tr>
        <w:tc>
          <w:tcPr/>
          <w:p>
            <w:pPr>
              <w:pStyle w:val="Compact"/>
            </w:pPr>
            <w:r>
              <w:t xml:space="preserve">Figure 1.4</w:t>
            </w:r>
          </w:p>
        </w:tc>
        <w:tc>
          <w:tcPr/>
          <w:p>
            <w:pPr>
              <w:pStyle w:val="Compact"/>
            </w:pPr>
            <w:r>
              <w:t xml:space="preserve">Section 1.7.2</w:t>
            </w:r>
          </w:p>
        </w:tc>
        <w:tc>
          <w:tcPr/>
          <w:p>
            <w:pPr>
              <w:pStyle w:val="Compact"/>
            </w:pPr>
            <w:r>
              <w:t xml:space="preserve">After Bloom’s Taxonomy explanation</w:t>
            </w:r>
          </w:p>
        </w:tc>
        <w:tc>
          <w:tcPr/>
          <w:p>
            <w:pPr>
              <w:pStyle w:val="Compact"/>
            </w:pPr>
            <w:r>
              <w:t xml:space="preserve">Bloom’s Taxonomy applied to database learning</w:t>
            </w:r>
          </w:p>
        </w:tc>
        <w:tc>
          <w:tcPr/>
          <w:p>
            <w:pPr>
              <w:pStyle w:val="Compact"/>
            </w:pPr>
            <w:r>
              <w:t xml:space="preserve">figure-1.4-blooms-taxonomy.png</w:t>
            </w:r>
          </w:p>
        </w:tc>
        <w:tc>
          <w:tcPr/>
          <w:p>
            <w:pPr>
              <w:pStyle w:val="Compact"/>
            </w:pPr>
            <w:r>
              <w:t xml:space="preserve">Educational pyramid with six levels and database examples. Blue and warm-gold gradient, flat design, white background.</w:t>
            </w:r>
          </w:p>
        </w:tc>
        <w:tc>
          <w:tcPr/>
          <w:p>
            <w:pPr>
              <w:pStyle w:val="Compact"/>
            </w:pPr>
            <w:r>
              <w:t xml:space="preserve">Image</w:t>
            </w:r>
          </w:p>
        </w:tc>
      </w:tr>
      <w:tr>
        <w:tc>
          <w:tcPr/>
          <w:p>
            <w:pPr>
              <w:pStyle w:val="Compact"/>
            </w:pPr>
            <w:r>
              <w:t xml:space="preserve">Figure 1.5</w:t>
            </w:r>
          </w:p>
        </w:tc>
        <w:tc>
          <w:tcPr/>
          <w:p>
            <w:pPr>
              <w:pStyle w:val="Compact"/>
            </w:pPr>
            <w:r>
              <w:t xml:space="preserve">Section 1.7.3</w:t>
            </w:r>
          </w:p>
        </w:tc>
        <w:tc>
          <w:tcPr/>
          <w:p>
            <w:pPr>
              <w:pStyle w:val="Compact"/>
            </w:pPr>
            <w:r>
              <w:t xml:space="preserve">After Grading Database schema table</w:t>
            </w:r>
          </w:p>
        </w:tc>
        <w:tc>
          <w:tcPr/>
          <w:p>
            <w:pPr>
              <w:pStyle w:val="Compact"/>
            </w:pPr>
            <w:r>
              <w:t xml:space="preserve">Simplified Entity Relationship Diagram for the Grading Database</w:t>
            </w:r>
          </w:p>
        </w:tc>
        <w:tc>
          <w:tcPr/>
          <w:p>
            <w:pPr>
              <w:pStyle w:val="Compact"/>
            </w:pPr>
            <w:r>
              <w:t xml:space="preserve">figure-1.5-grading-db-erd.png</w:t>
            </w:r>
          </w:p>
        </w:tc>
        <w:tc>
          <w:tcPr/>
          <w:p>
            <w:pPr>
              <w:pStyle w:val="Compact"/>
            </w:pPr>
            <w:r>
              <w:t xml:space="preserve">Six-table ERD with crow’s foot notation. Blue and warm-gold color scheme, grid layout, white background.</w:t>
            </w:r>
          </w:p>
        </w:tc>
        <w:tc>
          <w:tcPr/>
          <w:p>
            <w:pPr>
              <w:pStyle w:val="Compact"/>
            </w:pPr>
            <w:r>
              <w:t xml:space="preserve">Image</w:t>
            </w:r>
          </w:p>
        </w:tc>
      </w:tr>
      <w:tr>
        <w:tc>
          <w:tcPr/>
          <w:p>
            <w:pPr>
              <w:pStyle w:val="Compact"/>
            </w:pPr>
            <w:r>
              <w:t xml:space="preserve">Figure 1.6</w:t>
            </w:r>
          </w:p>
        </w:tc>
        <w:tc>
          <w:tcPr/>
          <w:p>
            <w:pPr>
              <w:pStyle w:val="Compact"/>
            </w:pPr>
            <w:r>
              <w:t xml:space="preserve">Section 1.7.4</w:t>
            </w:r>
          </w:p>
        </w:tc>
        <w:tc>
          <w:tcPr/>
          <w:p>
            <w:pPr>
              <w:pStyle w:val="Compact"/>
            </w:pPr>
            <w:r>
              <w:t xml:space="preserve">After two-phase project Mermaid diagram</w:t>
            </w:r>
          </w:p>
        </w:tc>
        <w:tc>
          <w:tcPr/>
          <w:p>
            <w:pPr>
              <w:pStyle w:val="Compact"/>
            </w:pPr>
            <w:r>
              <w:t xml:space="preserve">Two-phase progression of the Grading Database project</w:t>
            </w:r>
          </w:p>
        </w:tc>
        <w:tc>
          <w:tcPr/>
          <w:p>
            <w:pPr>
              <w:pStyle w:val="Compact"/>
            </w:pPr>
            <w:r>
              <w:t xml:space="preserve">figure-1.6-project-phases.png</w:t>
            </w:r>
          </w:p>
        </w:tc>
        <w:tc>
          <w:tcPr/>
          <w:p>
            <w:pPr>
              <w:pStyle w:val="Compact"/>
            </w:pPr>
            <w:r>
              <w:t xml:space="preserve">Two-phase project timeline — blue Phase 1, warm-gold Phase 2. Rounded rectangles with arrows, white background.</w:t>
            </w:r>
          </w:p>
        </w:tc>
        <w:tc>
          <w:tcPr/>
          <w:p>
            <w:pPr>
              <w:pStyle w:val="Compact"/>
            </w:pPr>
            <w:r>
              <w:t xml:space="preserve">Mermaid + Static</w:t>
            </w:r>
          </w:p>
        </w:tc>
      </w:tr>
    </w:tbl>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2026-03-19T07:28:37Z</dcterms:created>
  <dcterms:modified xsi:type="dcterms:W3CDTF">2026-03-19T07:28:37Z</dcterms:modified>
</cp:coreProperties>
</file>

<file path=docProps/custom.xml><?xml version="1.0" encoding="utf-8"?>
<Properties xmlns="http://schemas.openxmlformats.org/officeDocument/2006/custom-properties" xmlns:vt="http://schemas.openxmlformats.org/officeDocument/2006/docPropsVTypes"/>
</file>