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Working Paper Platform: Requirements and Desired Outcome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Affinity Outsourcing  |  Draft for review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DRAFT for review.</w:t>
      </w:r>
      <w:r>
        <w:rPr>
          <w:rFonts w:ascii="Calibri" w:cs="Calibri" w:eastAsia="Calibri" w:hAnsi="Calibri"/>
          <w:sz w:val="22"/>
          <w:szCs w:val="22"/>
        </w:rPr>
        <w:t xml:space="preserve"> Nothing here is final until the open decisions in section 10 are answered. Items marked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[proposed]</w:t>
      </w:r>
      <w:r>
        <w:rPr>
          <w:rFonts w:ascii="Calibri" w:cs="Calibri" w:eastAsia="Calibri" w:hAnsi="Calibri"/>
          <w:sz w:val="22"/>
          <w:szCs w:val="22"/>
        </w:rPr>
        <w:t xml:space="preserve"> are my suggestion, not something already agreed. Items marked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[built]</w:t>
      </w:r>
      <w:r>
        <w:rPr>
          <w:rFonts w:ascii="Calibri" w:cs="Calibri" w:eastAsia="Calibri" w:hAnsi="Calibri"/>
          <w:sz w:val="22"/>
          <w:szCs w:val="22"/>
        </w:rPr>
        <w:t xml:space="preserve"> exist and are tested today;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[partial]</w:t>
      </w:r>
      <w:r>
        <w:rPr>
          <w:rFonts w:ascii="Calibri" w:cs="Calibri" w:eastAsia="Calibri" w:hAnsi="Calibri"/>
          <w:sz w:val="22"/>
          <w:szCs w:val="22"/>
        </w:rPr>
        <w:t xml:space="preserve"> is built but incomplete;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[not built]</w:t>
      </w:r>
      <w:r>
        <w:rPr>
          <w:rFonts w:ascii="Calibri" w:cs="Calibri" w:eastAsia="Calibri" w:hAnsi="Calibri"/>
          <w:sz w:val="22"/>
          <w:szCs w:val="22"/>
        </w:rPr>
        <w:t xml:space="preserve"> is a gap.</w:t>
      </w:r>
    </w:p>
    <w:p>
      <w:pPr>
        <w:pStyle w:val="Heading1"/>
        <w:keepNext/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Year-end working papers are assembled by hand: export reports from the client's Xero, paste them into a firm template, rebuild the schedules, tick and tie everything, then review. Most of that time is assembly, not judgement.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This platform exists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move preparer time from assembling to reviewing</w:t>
      </w:r>
      <w:r>
        <w:rPr>
          <w:rFonts w:ascii="Calibri" w:cs="Calibri" w:eastAsia="Calibri" w:hAnsi="Calibri"/>
          <w:sz w:val="22"/>
          <w:szCs w:val="22"/>
        </w:rPr>
        <w:t xml:space="preserve">: connect a client's Xero once, pull the data, and get back a working paper in the firm's own format where every figure traces to source, the arithmetic is already done, and anything that needs a human decision is flagged rather than buried.</w:t>
      </w:r>
    </w:p>
    <w:p>
      <w:pPr>
        <w:pStyle w:val="Heading1"/>
        <w:keepNext/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Desired outcome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When this platform is working as intended, for a UK limited company on Xero: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preparer connects the client's Xero organisation once, then pulls a year's data with a click. No export-and-upload.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complete working paper downloads in the practice's own template layout, built from live 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Every number ties to source.</w:t>
      </w:r>
      <w:r>
        <w:rPr>
          <w:rFonts w:ascii="Calibri" w:cs="Calibri" w:eastAsia="Calibri" w:hAnsi="Calibri"/>
          <w:sz w:val="22"/>
          <w:szCs w:val="22"/>
        </w:rPr>
        <w:t xml:space="preserve"> The ETB equals Xero's trial balance plus posted journals to the penny; every lead schedule agrees to it; every difference is shown, not hidden.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paper arrives pre-reviewed for exceptions</w:t>
      </w:r>
      <w:r>
        <w:rPr>
          <w:rFonts w:ascii="Calibri" w:cs="Calibri" w:eastAsia="Calibri" w:hAnsi="Calibri"/>
          <w:sz w:val="22"/>
          <w:szCs w:val="22"/>
        </w:rPr>
        <w:t xml:space="preserve">: reconciliation differences, unusual postings, missing evidence, going-concern and statutory-deadline flags are already raised, each with enough detail to act 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preparer's time goes on judgement: posting adjusting journals, explaining flagged items, completing the manual sections. Posted journals flow through every schedule automatically.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reviewer can see what was pulled, when, from which organisation, what was overridden by an upload, and what a flag is based 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second practice could be onboarded without code changes and without being able to see anyone else's data.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Success measures [proposed, targets to be agreed]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1"/>
        <w:gridCol w:w="4164"/>
        <w:gridCol w:w="3213"/>
      </w:tblGrid>
      <w:tr>
        <w:trPr>
          <w:tblHeader/>
        </w:trPr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4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Proposed target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measured</w:t>
            </w:r>
          </w:p>
        </w:tc>
      </w:tr>
      <w:tr>
        <w:trPr>
          <w:cantSplit/>
        </w:trPr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Numerical accuracy</w:t>
            </w:r>
          </w:p>
        </w:tc>
        <w:tc>
          <w:tcPr>
            <w:tcW w:type="dxa" w:w="4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 of lead-schedule totals agree to source TB (zero unexplained differences)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Automated regression against real client files, run on every change</w:t>
            </w:r>
          </w:p>
        </w:tc>
      </w:tr>
      <w:tr>
        <w:trPr>
          <w:cantSplit/>
        </w:trPr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Preparer time to a reviewable paper</w:t>
            </w:r>
          </w:p>
        </w:tc>
        <w:tc>
          <w:tcPr>
            <w:tcW w:type="dxa" w:w="4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Material reduction vs current manual process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 a sample of real jobs before/after (baseline needed first)</w:t>
            </w:r>
          </w:p>
        </w:tc>
      </w:tr>
      <w:tr>
        <w:trPr>
          <w:cantSplit/>
        </w:trPr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Share of the standard template's tabs produced automatically</w:t>
            </w:r>
          </w:p>
        </w:tc>
        <w:tc>
          <w:tcPr>
            <w:tcW w:type="dxa" w:w="4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Agree a list of "must-have" tabs; target 100% of those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Tab-by-tab coverage table (section 5, FR-W)</w:t>
            </w:r>
          </w:p>
        </w:tc>
      </w:tr>
      <w:tr>
        <w:trPr>
          <w:cantSplit/>
        </w:trPr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Exceptions caught pre-review</w:t>
            </w:r>
          </w:p>
        </w:tc>
        <w:tc>
          <w:tcPr>
            <w:tcW w:type="dxa" w:w="4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Reviewer finds nothing the platform could have flagged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Reviewer feedback log</w:t>
            </w:r>
          </w:p>
        </w:tc>
      </w:tr>
      <w:tr>
        <w:trPr>
          <w:cantSplit/>
        </w:trPr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Pull reliability</w:t>
            </w:r>
          </w:p>
        </w:tc>
        <w:tc>
          <w:tcPr>
            <w:tcW w:type="dxa" w:w="4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pull completes first time on a normal-size organisation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Pull success/failure counts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No baseline timings exist today, so the time-saving target cannot be set honestly until a few real jobs are timed manually.</w:t>
      </w:r>
    </w:p>
    <w:p>
      <w:pPr>
        <w:pStyle w:val="Heading1"/>
        <w:keepNext/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Users and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8"/>
        <w:gridCol w:w="5606"/>
        <w:gridCol w:w="2164"/>
      </w:tblGrid>
      <w:tr>
        <w:trPr>
          <w:tblHeader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Does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Partner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Everything: users, templates, clients, jobs, Xero connections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partner, minus user management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Preparer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clients explicitly granted to them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Reviewer (sign-off)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 and sign off a generated paper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[not built], see FR-R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(read-only portal)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 and respond to their own queries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[not built], out of scope for now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Each user belongs to exactly one practice. No cross-practice access exists.</w:t>
      </w:r>
    </w:p>
    <w:p>
      <w:pPr>
        <w:pStyle w:val="Heading1"/>
        <w:keepNext/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Scope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UK limited companies, year-end accounts and tax working papers.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Xero as the primary source (direct connection), with file upload as a permanent fallback and override.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Output as an Excel working paper in the practice's own template (or a system default layout).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 of scope for now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[proposed]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QuickBooks / Sage direct connections (upload via generic mapping works but is unvalidated).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Producing statutory accounts or filing anything with HMRC / Companies House.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Client-facing portal.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Payroll processing (a structured BrightPay summary upload is supported for reconciliation only).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Capital allowances computation and disallowable-expense identification (manual inputs by design).</w:t>
      </w:r>
    </w:p>
    <w:p>
      <w:pPr>
        <w:pStyle w:val="Heading1"/>
        <w:keepNext/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Functional requirements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FR-D: Data acquisition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"/>
        <w:gridCol w:w="6348"/>
        <w:gridCol w:w="2293"/>
      </w:tblGrid>
      <w:tr>
        <w:trPr>
          <w:tblHeader/>
        </w:trPr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FR-D1</w:t>
            </w:r>
          </w:p>
        </w:tc>
        <w:tc>
          <w:tcPr>
            <w:tcW w:type="dxa" w:w="6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 a client's Xero organisation once via OAuth; credentials stored encrypted; reconnect prompt when access is revoked</w:t>
            </w:r>
          </w:p>
        </w:tc>
        <w:tc>
          <w:tcPr>
            <w:tcW w:type="dxa" w:w="2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[built], untested against a live Xero org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FR-D2</w:t>
            </w:r>
          </w:p>
        </w:tc>
        <w:tc>
          <w:tcPr>
            <w:tcW w:type="dxa" w:w="6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Pull Trial Balance (current and comparative), Xero's account types, and the organisation's financial year end</w:t>
            </w:r>
          </w:p>
        </w:tc>
        <w:tc>
          <w:tcPr>
            <w:tcW w:type="dxa" w:w="2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[built], untested against a live org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FR-D3</w:t>
            </w:r>
          </w:p>
        </w:tc>
        <w:tc>
          <w:tcPr>
            <w:tcW w:type="dxa" w:w="6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Warn when the job period cannot be what a year-to-date TB represents (part year, wrong year end)</w:t>
            </w:r>
          </w:p>
        </w:tc>
        <w:tc>
          <w:tcPr>
            <w:tcW w:type="dxa" w:w="2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FR-D4</w:t>
            </w:r>
          </w:p>
        </w:tc>
        <w:tc>
          <w:tcPr>
            <w:tcW w:type="dxa" w:w="6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Pull the full ledger (every posting) where the Xero app is entitled to it</w:t>
            </w:r>
          </w:p>
        </w:tc>
        <w:tc>
          <w:tcPr>
            <w:tcW w:type="dxa" w:w="2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[partial]: built, but Xero gates it to its top developer tier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FR-D5</w:t>
            </w:r>
          </w:p>
        </w:tc>
        <w:tc>
          <w:tcPr>
            <w:tcW w:type="dxa" w:w="6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Pull aged debtors/creditors per contact as at period end</w:t>
            </w:r>
          </w:p>
        </w:tc>
        <w:tc>
          <w:tcPr>
            <w:tcW w:type="dxa" w:w="2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[not built]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FR-D6</w:t>
            </w:r>
          </w:p>
        </w:tc>
        <w:tc>
          <w:tcPr>
            <w:tcW w:type="dxa" w:w="6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Attach contact names to ledger postings (needed by duplicate, contact-coding and DLA checks)</w:t>
            </w:r>
          </w:p>
        </w:tc>
        <w:tc>
          <w:tcPr>
            <w:tcW w:type="dxa" w:w="2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[not built]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FR-D7</w:t>
            </w:r>
          </w:p>
        </w:tc>
        <w:tc>
          <w:tcPr>
            <w:tcW w:type="dxa" w:w="6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uploaded export for a report overrides the pulled version; the preparer can always correct by uploading</w:t>
            </w:r>
          </w:p>
        </w:tc>
        <w:tc>
          <w:tcPr>
            <w:tcW w:type="dxa" w:w="2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FR-D8</w:t>
            </w:r>
          </w:p>
        </w:tc>
        <w:tc>
          <w:tcPr>
            <w:tcW w:type="dxa" w:w="6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Accept Xero exports by upload with automatic report-type and period detection, bulk and PDF-aware</w:t>
            </w:r>
          </w:p>
        </w:tc>
        <w:tc>
          <w:tcPr>
            <w:tcW w:type="dxa" w:w="2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FR-D9</w:t>
            </w:r>
          </w:p>
        </w:tc>
        <w:tc>
          <w:tcPr>
            <w:tcW w:type="dxa" w:w="6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 the raw Xero response for every pull, downloadable, for tracing a figure</w:t>
            </w:r>
          </w:p>
        </w:tc>
        <w:tc>
          <w:tcPr>
            <w:tcW w:type="dxa" w:w="2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FR-D10</w:t>
            </w:r>
          </w:p>
        </w:tc>
        <w:tc>
          <w:tcPr>
            <w:tcW w:type="dxa" w:w="6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Pull VAT return detail and bank statement balances</w:t>
            </w:r>
          </w:p>
        </w:tc>
        <w:tc>
          <w:tcPr>
            <w:tcW w:type="dxa" w:w="2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[not built], VAT is not exposed by Xero's UK API; bank statements come from the bank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FR-W: Working paper content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The reference is a real finished paper for a real client, used as the answer key. Requirement: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generate the sections below from source data, generically, for any client</w:t>
      </w:r>
      <w:r>
        <w:rPr>
          <w:rFonts w:ascii="Calibri" w:cs="Calibri" w:eastAsia="Calibri" w:hAnsi="Calibri"/>
          <w:sz w:val="22"/>
          <w:szCs w:val="22"/>
        </w:rPr>
        <w:t xml:space="preserve">, with live formulas so posted journals flow through.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91"/>
        <w:gridCol w:w="2647"/>
      </w:tblGrid>
      <w:tr>
        <w:trPr>
          <w:tblHeader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Raw data tabs (TB current/comparative, nominal ledger)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 as hidden data sheets feeding every schedule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Extended trial balance: Xero PTB + journals, Dr/Cr kept separate, comparative for reference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[built], traced from the real file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Journals (narrated adjusting journals by account code)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Profit and Loss, Balance Sheet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Bank lead schedule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Prepayments and accruals (per line)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Directors' loan account balance and activity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Creditors over one year (any non-current liability)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 (total level; category split is manual)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Intercompany debtor/creditor (via a per-client related-party list)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[built], needs aged data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 accounts: debtors, creditors, VAT, PAYE, CT, others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Fixed assets: category rollforward and asset-level register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Corporation tax computation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[built], capital allowances manual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Debtors/creditors reconciliation to aged listings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 (needs aged upload)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VAT reconciliation (return vs ledger)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 (needs VAT uploads)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PAYE reconciliation (payroll vs ledger)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 (needs BrightPay uploads)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Compliance checklist and points forward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6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Adjusted position matching the firm's own posted journals exactly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[not built], see FR-W2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FR-W1</w:t>
      </w:r>
      <w:r>
        <w:rPr>
          <w:rFonts w:ascii="Calibri" w:cs="Calibri" w:eastAsia="Calibri" w:hAnsi="Calibri"/>
          <w:sz w:val="22"/>
          <w:szCs w:val="22"/>
        </w:rPr>
        <w:t xml:space="preserve"> The output uses the practice's own template (insert schedules at configured positions, numbering, header cells, thresholds) or a system default.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[built]</w:t>
      </w:r>
      <w:r>
        <w:rPr>
          <w:rFonts w:ascii="Calibri" w:cs="Calibri" w:eastAsia="Calibri" w:hAnsi="Calibri"/>
          <w:sz w:val="22"/>
          <w:szCs w:val="22"/>
        </w:rPr>
        <w:t xml:space="preserve"> Known cost: round-tripping a real template through openpyxl drops embedded images and dropdown lists.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[open, decision needed]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FR-W2</w:t>
      </w:r>
      <w:r>
        <w:rPr>
          <w:rFonts w:ascii="Calibri" w:cs="Calibri" w:eastAsia="Calibri" w:hAnsi="Calibri"/>
          <w:sz w:val="22"/>
          <w:szCs w:val="22"/>
        </w:rPr>
        <w:t xml:space="preserve"> Firms often post journals using an internal "tax calc code" scheme that differs from Xero's own account codes. To reproduce an adjusted position from the firm's journals, a per-practice code translation is needed.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[not built, proposed as a later phase]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FR-W3</w:t>
      </w:r>
      <w:r>
        <w:rPr>
          <w:rFonts w:ascii="Calibri" w:cs="Calibri" w:eastAsia="Calibri" w:hAnsi="Calibri"/>
          <w:sz w:val="22"/>
          <w:szCs w:val="22"/>
        </w:rPr>
        <w:t xml:space="preserve"> A section is only produced when the client has the relevant accounts (no empty stock tab for a client with no stock).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[built]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FR-C: Checks and exceptions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All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[built]</w:t>
      </w:r>
      <w:r>
        <w:rPr>
          <w:rFonts w:ascii="Calibri" w:cs="Calibri" w:eastAsia="Calibri" w:hAnsi="Calibri"/>
          <w:sz w:val="22"/>
          <w:szCs w:val="22"/>
        </w:rPr>
        <w:t xml:space="preserve">: TB self-balance and tie-out (opening + movement = closing), year-on-year variance and P&amp;L variance with reviewer comment column, nominal activity review and suggested reallocation, duplicate transactions, contact coding consistency, weekend manual journals, directors' loan (S455 / monthly threshold), dividend vs reserves, petty cash, loan facilities, stock presence, going-concern indicators, related-party transactions, statutory filing deadlines, possible miscoded capital expenditure, control-account misposting scan.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FR-C1</w:t>
      </w:r>
      <w:r>
        <w:rPr>
          <w:rFonts w:ascii="Calibri" w:cs="Calibri" w:eastAsia="Calibri" w:hAnsi="Calibri"/>
          <w:sz w:val="22"/>
          <w:szCs w:val="22"/>
        </w:rPr>
        <w:t xml:space="preserve"> Every check returns a status (ok / review / n/a / error) with a plain-language message and the underlying detail.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[built]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FR-C2</w:t>
      </w:r>
      <w:r>
        <w:rPr>
          <w:rFonts w:ascii="Calibri" w:cs="Calibri" w:eastAsia="Calibri" w:hAnsi="Calibri"/>
          <w:sz w:val="22"/>
          <w:szCs w:val="22"/>
        </w:rPr>
        <w:t xml:space="preserve"> Materiality and variance thresholds are configurable per template.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[built]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FR-C3</w:t>
      </w:r>
      <w:r>
        <w:rPr>
          <w:rFonts w:ascii="Calibri" w:cs="Calibri" w:eastAsia="Calibri" w:hAnsi="Calibri"/>
          <w:sz w:val="22"/>
          <w:szCs w:val="22"/>
        </w:rPr>
        <w:t xml:space="preserve"> Optional AI-assisted notes on flagged items, opt-in per template, never changing a number, failing safe to no note.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[built]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FR-R: Review and sign-off [not built, proposed]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8330"/>
      </w:tblGrid>
      <w:tr>
        <w:trPr>
          <w:tblHeader/>
        </w:trPr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FR-R1</w:t>
            </w:r>
          </w:p>
        </w:tc>
        <w:tc>
          <w:tcPr>
            <w:tcW w:type="dxa" w:w="8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Per-schedule status: not started / prepared / reviewed, with who and when</w:t>
            </w:r>
          </w:p>
        </w:tc>
      </w:tr>
      <w:tr>
        <w:trPr>
          <w:cantSplit/>
        </w:trPr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FR-R2</w:t>
            </w:r>
          </w:p>
        </w:tc>
        <w:tc>
          <w:tcPr>
            <w:tcW w:type="dxa" w:w="8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Reviewer comments and preparer responses recorded against a schedule or flag</w:t>
            </w:r>
          </w:p>
        </w:tc>
      </w:tr>
      <w:tr>
        <w:trPr>
          <w:cantSplit/>
        </w:trPr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FR-R3</w:t>
            </w:r>
          </w:p>
        </w:tc>
        <w:tc>
          <w:tcPr>
            <w:tcW w:type="dxa" w:w="8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 of what was pulled, uploaded and overridden, and when, attached to each generated version</w:t>
            </w:r>
          </w:p>
        </w:tc>
      </w:tr>
      <w:tr>
        <w:trPr>
          <w:cantSplit/>
        </w:trPr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FR-R4</w:t>
            </w:r>
          </w:p>
        </w:tc>
        <w:tc>
          <w:tcPr>
            <w:tcW w:type="dxa" w:w="8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Regenerating after new journals or a re-pull keeps a version history rather than overwriting silently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FR-A: Administration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Practice, user, role and per-client access management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[built]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Template upload and configuration per practice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[built]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Per-client settings (template, related parties, report notes)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[built]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Usage and error visibility for the platform owner (pull failures, generation failures)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[not built, proposed]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keepNext/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"/>
        <w:gridCol w:w="5416"/>
        <w:gridCol w:w="3252"/>
      </w:tblGrid>
      <w:tr>
        <w:trPr>
          <w:tblHeader/>
        </w:trPr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Accuracy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Figures must agree to source; a regression suite using real client files and real finished-paper figures runs before release</w:t>
            </w:r>
          </w:p>
        </w:tc>
        <w:tc>
          <w:tcPr>
            <w:tcW w:type="dxa" w:w="3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 for one real client;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[proposed]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extend to several clients of different shapes (with stock, loans, VAT, payroll)</w:t>
            </w:r>
          </w:p>
        </w:tc>
      </w:tr>
      <w:tr>
        <w:trPr>
          <w:cantSplit/>
        </w:trPr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Traceability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schedule figure is a live formula back to a data sheet, never a pasted value</w:t>
            </w:r>
          </w:p>
        </w:tc>
        <w:tc>
          <w:tcPr>
            <w:tcW w:type="dxa" w:w="3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 for core schedules; reconciliation sheets still hold computed values [partial]</w:t>
            </w:r>
          </w:p>
        </w:tc>
      </w:tr>
      <w:tr>
        <w:trPr>
          <w:cantSplit/>
        </w:trPr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Security: credentials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OAuth tokens encrypted at rest; single-use refresh tokens saved before use; revocation handled</w:t>
            </w:r>
          </w:p>
        </w:tc>
        <w:tc>
          <w:tcPr>
            <w:tcW w:type="dxa" w:w="3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Security: isolation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practice can never see another practice's data; preparers only see granted clients</w:t>
            </w:r>
          </w:p>
        </w:tc>
        <w:tc>
          <w:tcPr>
            <w:tcW w:type="dxa" w:w="3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protection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Written data-retention and deletion policy for client financial data; deletion of a client/job removes pulled data and credentials</w:t>
            </w:r>
          </w:p>
        </w:tc>
        <w:tc>
          <w:tcPr>
            <w:tcW w:type="dxa" w:w="3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[partial]: deletion cascades work; no written policy or retention schedule</w:t>
            </w:r>
          </w:p>
        </w:tc>
      </w:tr>
      <w:tr>
        <w:trPr>
          <w:cantSplit/>
        </w:trPr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connected which organisation, who pulled, who generated, when</w:t>
            </w:r>
          </w:p>
        </w:tc>
        <w:tc>
          <w:tcPr>
            <w:tcW w:type="dxa" w:w="3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[partial]: connection and pull timestamps stored; no audit log</w:t>
            </w:r>
          </w:p>
        </w:tc>
      </w:tr>
      <w:tr>
        <w:trPr>
          <w:cantSplit/>
        </w:trPr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normal-size organisation pulls and generates without timing out on serverless hosting; large ledgers pulled in resumable batches</w:t>
            </w:r>
          </w:p>
        </w:tc>
        <w:tc>
          <w:tcPr>
            <w:tcW w:type="dxa" w:w="3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 for batching; large-organisation timings untested</w:t>
            </w:r>
          </w:p>
        </w:tc>
      </w:tr>
      <w:tr>
        <w:trPr>
          <w:cantSplit/>
        </w:trPr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Reliability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Transient database errors self-heal; Xero rate limits respected with backoff</w:t>
            </w:r>
          </w:p>
        </w:tc>
        <w:tc>
          <w:tcPr>
            <w:tcW w:type="dxa" w:w="3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Honest degradation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Xero refuses an endpoint or data is missing, the paper still builds and says which schedules lack data</w:t>
            </w:r>
          </w:p>
        </w:tc>
        <w:tc>
          <w:tcPr>
            <w:tcW w:type="dxa" w:w="3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</w:t>
            </w:r>
          </w:p>
        </w:tc>
      </w:tr>
      <w:tr>
        <w:trPr>
          <w:cantSplit/>
        </w:trPr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Testing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change runs automated tests including formula evaluation with a real calculation engine; release gated on green</w:t>
            </w:r>
          </w:p>
        </w:tc>
        <w:tc>
          <w:tcPr>
            <w:tcW w:type="dxa" w:w="3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[built] (~445 automated tests)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Constraints and dependencies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Xero has no API key.</w:t>
      </w:r>
      <w:r>
        <w:rPr>
          <w:rFonts w:ascii="Calibri" w:cs="Calibri" w:eastAsia="Calibri" w:hAnsi="Calibri"/>
          <w:sz w:val="22"/>
          <w:szCs w:val="22"/>
        </w:rPr>
        <w:t xml:space="preserve"> Access is OAuth 2.0 through an app registered in the Xero developer portal.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Xero's Journals endpoint</w:t>
      </w:r>
      <w:r>
        <w:rPr>
          <w:rFonts w:ascii="Calibri" w:cs="Calibri" w:eastAsia="Calibri" w:hAnsi="Calibri"/>
          <w:sz w:val="22"/>
          <w:szCs w:val="22"/>
        </w:rPr>
        <w:t xml:space="preserve"> (the only full-ledger source) is limited to its top developer tier plus a security assessment and use-case approval. Without it, ledger-based schedules (TB tie-out, DLA activity, nominal matrix, duplicate and contact checks, control-account movements) still need an uploaded Account Transactions export.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Xero connection limits:</w:t>
      </w:r>
      <w:r>
        <w:rPr>
          <w:rFonts w:ascii="Calibri" w:cs="Calibri" w:eastAsia="Calibri" w:hAnsi="Calibri"/>
          <w:sz w:val="22"/>
          <w:szCs w:val="22"/>
        </w:rPr>
        <w:t xml:space="preserve"> 5 connected organisations on the free tier; more requires a paid tier with app certification. This directly limits how many clients can use direct pull, and is the main commercial constraint on the "second practice" outcome.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Apps registered on or after 2 March 2026 must use granular scopes only.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Hosting: Vercel (serverless, time-limited requests) with Neon Postgres.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Pulled-API shapes are built from Xero's documented format and tested against a fake Xero only.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First live pull must be validated on Xero's free Demo Company</w:t>
      </w:r>
      <w:r>
        <w:rPr>
          <w:rFonts w:ascii="Calibri" w:cs="Calibri" w:eastAsia="Calibri" w:hAnsi="Calibri"/>
          <w:sz w:val="22"/>
          <w:szCs w:val="22"/>
        </w:rPr>
        <w:t xml:space="preserve"> before anyone relies on it.</w:t>
      </w:r>
    </w:p>
    <w:p>
      <w:pPr>
        <w:pStyle w:val="Heading1"/>
        <w:keepNext/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Current state versus the outcome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6"/>
        <w:gridCol w:w="6682"/>
      </w:tblGrid>
      <w:tr>
        <w:trPr>
          <w:tblHeader/>
        </w:trPr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6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we are</w:t>
            </w:r>
          </w:p>
        </w:tc>
      </w:tr>
      <w:tr>
        <w:trPr>
          <w:cantSplit/>
        </w:trPr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One-click pull</w:t>
            </w:r>
          </w:p>
        </w:tc>
        <w:tc>
          <w:tcPr>
            <w:tcW w:type="dxa" w:w="6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 for the trial balance; ledger depends on Xero tier; unvalidated against a live org</w:t>
            </w:r>
          </w:p>
        </w:tc>
      </w:tr>
      <w:tr>
        <w:trPr>
          <w:cantSplit/>
        </w:trPr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Complete paper in firm template</w:t>
            </w:r>
          </w:p>
        </w:tc>
        <w:tc>
          <w:tcPr>
            <w:tcW w:type="dxa" w:w="6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Built; template round-trip fidelity cost open</w:t>
            </w:r>
          </w:p>
        </w:tc>
      </w:tr>
      <w:tr>
        <w:trPr>
          <w:cantSplit/>
        </w:trPr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Every number ties to source</w:t>
            </w:r>
          </w:p>
        </w:tc>
        <w:tc>
          <w:tcPr>
            <w:tcW w:type="dxa" w:w="6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 and regression-tested on one real client</w:t>
            </w:r>
          </w:p>
        </w:tc>
      </w:tr>
      <w:tr>
        <w:trPr>
          <w:cantSplit/>
        </w:trPr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Pre-reviewed exceptions</w:t>
            </w:r>
          </w:p>
        </w:tc>
        <w:tc>
          <w:tcPr>
            <w:tcW w:type="dxa" w:w="6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Built; some checks degrade without ledger/contact data</w:t>
            </w:r>
          </w:p>
        </w:tc>
      </w:tr>
      <w:tr>
        <w:trPr>
          <w:cantSplit/>
        </w:trPr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Posted journals flow through</w:t>
            </w:r>
          </w:p>
        </w:tc>
        <w:tc>
          <w:tcPr>
            <w:tcW w:type="dxa" w:w="6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Built, for Xero-native codes; firm code translation not built</w:t>
            </w:r>
          </w:p>
        </w:tc>
      </w:tr>
      <w:tr>
        <w:trPr>
          <w:cantSplit/>
        </w:trPr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Reviewer visibility</w:t>
            </w:r>
          </w:p>
        </w:tc>
        <w:tc>
          <w:tcPr>
            <w:tcW w:type="dxa" w:w="6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Partial: pull record and raw reports exist; no sign-off workflow</w:t>
            </w:r>
          </w:p>
        </w:tc>
      </w:tr>
      <w:tr>
        <w:trPr>
          <w:cantSplit/>
        </w:trPr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7. Second practice onboarding</w:t>
            </w:r>
          </w:p>
        </w:tc>
        <w:tc>
          <w:tcPr>
            <w:tcW w:type="dxa" w:w="6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isolation built; no billing, no onboarding flow, Xero connection cap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Proposed phasing [proposed]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Prove the pull (days).</w:t>
      </w:r>
      <w:r>
        <w:rPr>
          <w:rFonts w:ascii="Calibri" w:cs="Calibri" w:eastAsia="Calibri" w:hAnsi="Calibri"/>
          <w:sz w:val="22"/>
          <w:szCs w:val="22"/>
        </w:rPr>
        <w:t xml:space="preserve"> Run a live pull on Xero's Demo Company; fix any mismatch between real responses and the converters. Decide whether Xero's top tier for Journals is worth pursuing, or whether ledger upload stays the standing route.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Close the data gaps (weeks).</w:t>
      </w:r>
      <w:r>
        <w:rPr>
          <w:rFonts w:ascii="Calibri" w:cs="Calibri" w:eastAsia="Calibri" w:hAnsi="Calibri"/>
          <w:sz w:val="22"/>
          <w:szCs w:val="22"/>
        </w:rPr>
        <w:t xml:space="preserve"> Aged debtors/creditors by contact; contact names on postings (needs an invoices scope); validate on two or three more real clients with different shapes.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Review workflow (weeks).</w:t>
      </w:r>
      <w:r>
        <w:rPr>
          <w:rFonts w:ascii="Calibri" w:cs="Calibri" w:eastAsia="Calibri" w:hAnsi="Calibri"/>
          <w:sz w:val="22"/>
          <w:szCs w:val="22"/>
        </w:rPr>
        <w:t xml:space="preserve"> Sign-off states, comments, version history, audit log (FR-R).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Firm-specific fidelity.</w:t>
      </w:r>
      <w:r>
        <w:rPr>
          <w:rFonts w:ascii="Calibri" w:cs="Calibri" w:eastAsia="Calibri" w:hAnsi="Calibri"/>
          <w:sz w:val="22"/>
          <w:szCs w:val="22"/>
        </w:rPr>
        <w:t xml:space="preserve"> Tax-calc code translation (FR-W2); decide the template-injection approach so branding and dropdowns survive.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Productise (only if the commercial decision is made).</w:t>
      </w:r>
      <w:r>
        <w:rPr>
          <w:rFonts w:ascii="Calibri" w:cs="Calibri" w:eastAsia="Calibri" w:hAnsi="Calibri"/>
          <w:sz w:val="22"/>
          <w:szCs w:val="22"/>
        </w:rPr>
        <w:t xml:space="preserve"> Billing, self-service onboarding, written data-protection policy, Xero tier and certification, support tooling. Keep tenant boundaries as they are; do not build multi-tenant features ahead of the decision.</w:t>
      </w:r>
    </w:p>
    <w:p>
      <w:pPr>
        <w:pStyle w:val="Heading1"/>
        <w:keepNext/>
        <w:spacing w:after="1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Open decisions for you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 is this for</w:t>
      </w:r>
      <w:r>
        <w:rPr>
          <w:rFonts w:ascii="Calibri" w:cs="Calibri" w:eastAsia="Calibri" w:hAnsi="Calibri"/>
          <w:sz w:val="22"/>
          <w:szCs w:val="22"/>
        </w:rPr>
        <w:t xml:space="preserve">: Affinity's own outsourced work only, or eventually other firms? This decides whether phase 5 matters and whether Xero's connection cap and app certification are blockers.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Journals access</w:t>
      </w:r>
      <w:r>
        <w:rPr>
          <w:rFonts w:ascii="Calibri" w:cs="Calibri" w:eastAsia="Calibri" w:hAnsi="Calibri"/>
          <w:sz w:val="22"/>
          <w:szCs w:val="22"/>
        </w:rPr>
        <w:t xml:space="preserve">: pursue Xero's top developer tier (cost, security assessment, approval), or accept uploading the Account Transactions export as the ledger source indefinitely?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Must-have tab list</w:t>
      </w:r>
      <w:r>
        <w:rPr>
          <w:rFonts w:ascii="Calibri" w:cs="Calibri" w:eastAsia="Calibri" w:hAnsi="Calibri"/>
          <w:sz w:val="22"/>
          <w:szCs w:val="22"/>
        </w:rPr>
        <w:t xml:space="preserve">: which tabs of your standard working paper must be produced automatically for the platform to count as done? (Section 5 lists what exists; I assumed the real file's highlighted tabs.)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Review workflow</w:t>
      </w:r>
      <w:r>
        <w:rPr>
          <w:rFonts w:ascii="Calibri" w:cs="Calibri" w:eastAsia="Calibri" w:hAnsi="Calibri"/>
          <w:sz w:val="22"/>
          <w:szCs w:val="22"/>
        </w:rPr>
        <w:t xml:space="preserve">: is formal sign-off inside the platform required, or does review stay in Excel?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Template fidelity</w:t>
      </w:r>
      <w:r>
        <w:rPr>
          <w:rFonts w:ascii="Calibri" w:cs="Calibri" w:eastAsia="Calibri" w:hAnsi="Calibri"/>
          <w:sz w:val="22"/>
          <w:szCs w:val="22"/>
        </w:rPr>
        <w:t xml:space="preserve">: accept losing embedded images/dropdowns when injecting into a firm template, or invest in lower-level template injection?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Firm journal codes</w:t>
      </w:r>
      <w:r>
        <w:rPr>
          <w:rFonts w:ascii="Calibri" w:cs="Calibri" w:eastAsia="Calibri" w:hAnsi="Calibri"/>
          <w:sz w:val="22"/>
          <w:szCs w:val="22"/>
        </w:rPr>
        <w:t xml:space="preserve">: should journals posted in your own tax-calc code scheme be supported (translation table per practice)?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Baseline</w:t>
      </w:r>
      <w:r>
        <w:rPr>
          <w:rFonts w:ascii="Calibri" w:cs="Calibri" w:eastAsia="Calibri" w:hAnsi="Calibri"/>
          <w:sz w:val="22"/>
          <w:szCs w:val="22"/>
        </w:rPr>
        <w:t xml:space="preserve">: can a few real jobs be timed manually so the time-saving target is measurable rather than assumed?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protection</w:t>
      </w:r>
      <w:r>
        <w:rPr>
          <w:rFonts w:ascii="Calibri" w:cs="Calibri" w:eastAsia="Calibri" w:hAnsi="Calibri"/>
          <w:sz w:val="22"/>
          <w:szCs w:val="22"/>
        </w:rPr>
        <w:t xml:space="preserve">: who owns the retention and deletion policy for client financial data held here?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Working Paper Platform: Requirements and Desired Outcome  |  DRAFT  |  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Paper Platform: Requirements and Desired Outcome</dc:title>
  <dc:creator>Affinity Outsourcing</dc:creator>
  <cp:lastModifiedBy>Un-named</cp:lastModifiedBy>
  <cp:revision>1</cp:revision>
  <dcterms:created xsi:type="dcterms:W3CDTF">2026-10-16T13:49:56.559Z</dcterms:created>
  <dcterms:modified xsi:type="dcterms:W3CDTF">2026-10-16T13:49:56.560Z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