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02C57"/>
          <w:sz w:val="44"/>
        </w:rPr>
        <w:t>GlowChain CMDB &amp; Service Catalog Architecture</w:t>
      </w:r>
    </w:p>
    <w:p>
      <w:r>
        <w:rPr>
          <w:rFonts w:ascii="Arial" w:hAnsi="Arial"/>
          <w:i/>
          <w:color w:val="35598E"/>
          <w:sz w:val="26"/>
        </w:rPr>
        <w:t>ITSM Architecture Build — ServiceNow Portfolio Project 1 Showcase Report</w:t>
      </w:r>
    </w:p>
    <w:p/>
    <w:p>
      <w:pPr>
        <w:spacing w:before="280" w:after="80"/>
      </w:pPr>
      <w:r>
        <w:rPr>
          <w:rFonts w:ascii="Arial" w:hAnsi="Arial"/>
          <w:b/>
          <w:color w:val="102C57"/>
          <w:sz w:val="30"/>
        </w:rPr>
        <w:t>1. The Challenge &amp; Context</w:t>
      </w:r>
    </w:p>
    <w:p>
      <w:pPr>
        <w:spacing w:after="80" w:line="276" w:lineRule="auto"/>
      </w:pPr>
      <w:r>
        <w:rPr>
          <w:rFonts w:ascii="Arial" w:hAnsi="Arial"/>
          <w:i w:val="0"/>
          <w:color w:val="212529"/>
          <w:sz w:val="21"/>
        </w:rPr>
        <w:t>GlowChain Cosmetics is a fictional mid-size cosmetics manufacturer spanning three distinct business units: Retail Stores, Manufacturing Plants, and an E-commerce Platform. The organization operated with fragmented IT infrastructure, lack of central visibility, unstandardized catalog fulfillment, and no CMDB relationship mapping across its core operational technologies.</w:t>
      </w:r>
    </w:p>
    <w:p>
      <w:pPr>
        <w:spacing w:after="80" w:line="276" w:lineRule="auto"/>
      </w:pPr>
      <w:r>
        <w:rPr>
          <w:rFonts w:ascii="Arial" w:hAnsi="Arial"/>
          <w:i w:val="0"/>
          <w:color w:val="212529"/>
          <w:sz w:val="21"/>
        </w:rPr>
        <w:t>The objective of Portfolio Project 1 was to design and construct a production-grade ITSM foundation from scratch in ServiceNow, strictly adhering to ITIL v4 principles. Key deliverables include a capped 15-class CMDB schema, a 9-item Service Catalog with approval flows, 100% ATF test coverage, BPMN 2.0 process documentation, and strict Update Set governance.</w:t>
      </w:r>
    </w:p>
    <w:p>
      <w:pPr>
        <w:spacing w:before="280" w:after="80"/>
      </w:pPr>
      <w:r>
        <w:rPr>
          <w:rFonts w:ascii="Arial" w:hAnsi="Arial"/>
          <w:b/>
          <w:color w:val="102C57"/>
          <w:sz w:val="30"/>
        </w:rPr>
        <w:t>2. What We Built (Technical Architecture)</w:t>
      </w:r>
    </w:p>
    <w:p>
      <w:pPr>
        <w:spacing w:before="200" w:after="40"/>
      </w:pPr>
      <w:r>
        <w:rPr>
          <w:rFonts w:ascii="Arial" w:hAnsi="Arial"/>
          <w:b/>
          <w:color w:val="35598E"/>
          <w:sz w:val="24"/>
        </w:rPr>
        <w:t>2.1 CMDB Class Hierarchy (15/15 Custom Classes)</w:t>
      </w:r>
    </w:p>
    <w:p>
      <w:pPr>
        <w:spacing w:after="80" w:line="276" w:lineRule="auto"/>
      </w:pPr>
      <w:r>
        <w:rPr>
          <w:rFonts w:ascii="Arial" w:hAnsi="Arial"/>
          <w:i w:val="0"/>
          <w:color w:val="212529"/>
          <w:sz w:val="21"/>
        </w:rPr>
        <w:t>Created 15 custom CI classes in Global scope adhering to the u_glowchain_&lt;businessunit&gt;_&lt;citype&gt; naming standard. Each class includes documented parent inheritance and explicit bidirectional relationships in CMDB Class Manager: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02C57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Business Unit</w:t>
            </w:r>
          </w:p>
        </w:tc>
        <w:tc>
          <w:tcPr>
            <w:tcW w:type="dxa" w:w="1656"/>
            <w:shd w:fill="102C57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CI Class Name</w:t>
            </w:r>
          </w:p>
        </w:tc>
        <w:tc>
          <w:tcPr>
            <w:tcW w:type="dxa" w:w="1656"/>
            <w:shd w:fill="102C57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Parent OOB Class</w:t>
            </w:r>
          </w:p>
        </w:tc>
        <w:tc>
          <w:tcPr>
            <w:tcW w:type="dxa" w:w="1656"/>
            <w:shd w:fill="102C57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Relationship</w:t>
            </w:r>
          </w:p>
        </w:tc>
        <w:tc>
          <w:tcPr>
            <w:tcW w:type="dxa" w:w="1656"/>
            <w:shd w:fill="102C57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Target CI Class</w:t>
            </w:r>
          </w:p>
        </w:tc>
        <w:tc>
          <w:tcPr>
            <w:tcW w:type="dxa" w:w="1656"/>
            <w:shd w:fill="102C57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Sys ID</w:t>
            </w:r>
          </w:p>
        </w:tc>
      </w:tr>
      <w:tr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Retail</w:t>
            </w:r>
          </w:p>
        </w:tc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u_glowchain_retail_store_it_service</w:t>
            </w:r>
          </w:p>
        </w:tc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cmdb_ci_service</w:t>
            </w:r>
          </w:p>
        </w:tc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Depends on</w:t>
            </w:r>
          </w:p>
        </w:tc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u_glowchain_retail_pos_application</w:t>
            </w:r>
          </w:p>
        </w:tc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c3be51f0930ecf10382c1aebb9373c80</w:t>
            </w:r>
          </w:p>
        </w:tc>
      </w:tr>
      <w:tr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Retail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u_glowchain_retail_pos_application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cmdb_ci_appl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Runs on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u_glowchain_retail_pos_terminal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247f1d34930ecf10382c1aebb9373c07</w:t>
            </w:r>
          </w:p>
        </w:tc>
      </w:tr>
      <w:tr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Retail</w:t>
            </w:r>
          </w:p>
        </w:tc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u_glowchain_retail_pos_terminal</w:t>
            </w:r>
          </w:p>
        </w:tc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cmdb_ci_computer</w:t>
            </w:r>
          </w:p>
        </w:tc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Connects to</w:t>
            </w:r>
          </w:p>
        </w:tc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u_glowchain_retail_store_network</w:t>
            </w:r>
          </w:p>
        </w:tc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4f2065f4930ecf10382c1aebb9373c73</w:t>
            </w:r>
          </w:p>
        </w:tc>
      </w:tr>
      <w:tr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Retail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u_glowchain_retail_store_network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cmdb_ci_netgear*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Provides network to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u_glowchain_retail_pos_terminal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44f06138930ecf10382c1aebb9373c76</w:t>
            </w:r>
          </w:p>
        </w:tc>
      </w:tr>
      <w:tr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Retail</w:t>
            </w:r>
          </w:p>
        </w:tc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u_glowchain_retail_payment_device</w:t>
            </w:r>
          </w:p>
        </w:tc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cmdb_ci_hardware*</w:t>
            </w:r>
          </w:p>
        </w:tc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Used by</w:t>
            </w:r>
          </w:p>
        </w:tc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u_glowchain_retail_pos_terminal</w:t>
            </w:r>
          </w:p>
        </w:tc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a9f1a9f8930ecf10382c1aebb9373c3a</w:t>
            </w:r>
          </w:p>
        </w:tc>
      </w:tr>
      <w:tr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Manufacturing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u_glowchain_manufacturing_plant_operations_service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cmdb_ci_service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Depends on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u_glowchain_manufacturing_line_controller_application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6c39d9c4935a0b90382c1aebb9373c02</w:t>
            </w:r>
          </w:p>
        </w:tc>
      </w:tr>
      <w:tr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Manufacturing</w:t>
            </w:r>
          </w:p>
        </w:tc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u_glowchain_manufacturing_line_controller_application</w:t>
            </w:r>
          </w:p>
        </w:tc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cmdb_ci_appl</w:t>
            </w:r>
          </w:p>
        </w:tc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Runs on</w:t>
            </w:r>
          </w:p>
        </w:tc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u_glowchain_manufacturing_plc_hardware</w:t>
            </w:r>
          </w:p>
        </w:tc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98e91d48935a0b90382c1aebb9373c1c</w:t>
            </w:r>
          </w:p>
        </w:tc>
      </w:tr>
      <w:tr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Manufacturing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u_glowchain_manufacturing_plc_hardware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cmdb_ci_computer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Connects to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u_glowchain_manufacturing_plant_network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a65a9988935a0b90382c1aebb9373cab</w:t>
            </w:r>
          </w:p>
        </w:tc>
      </w:tr>
      <w:tr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Manufacturing</w:t>
            </w:r>
          </w:p>
        </w:tc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u_glowchain_manufacturing_plant_network</w:t>
            </w:r>
          </w:p>
        </w:tc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cmdb_ci_netgear</w:t>
            </w:r>
          </w:p>
        </w:tc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Provides network to</w:t>
            </w:r>
          </w:p>
        </w:tc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u_glowchain_manufacturing_plc_hardware</w:t>
            </w:r>
          </w:p>
        </w:tc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a6ea5dc8935a0b90382c1aebb9373c63</w:t>
            </w:r>
          </w:p>
        </w:tc>
      </w:tr>
      <w:tr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Manufacturing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u_glowchain_manufacturing_sensor_device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cmdb_ci_hardware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Used by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u_glowchain_manufacturing_line_controller_application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cc6b154c935a0b90382c1aebb9373cc9</w:t>
            </w:r>
          </w:p>
        </w:tc>
      </w:tr>
      <w:tr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E-commerce</w:t>
            </w:r>
          </w:p>
        </w:tc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u_glowchain_ecommerce_storefront_service</w:t>
            </w:r>
          </w:p>
        </w:tc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cmdb_ci_service</w:t>
            </w:r>
          </w:p>
        </w:tc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Depends on</w:t>
            </w:r>
          </w:p>
        </w:tc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u_glowchain_ecommerce_web_application</w:t>
            </w:r>
          </w:p>
        </w:tc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d68f9984939a0b90382c1aebb9373cbb</w:t>
            </w:r>
          </w:p>
        </w:tc>
      </w:tr>
      <w:tr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E-commerce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u_glowchain_ecommerce_web_application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cmdb_ci_appl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Uses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u_glowchain_ecommerce_payment_gateway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0aff59c4939a0b90382c1aebb9373c0e</w:t>
            </w:r>
          </w:p>
        </w:tc>
      </w:tr>
      <w:tr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E-commerce</w:t>
            </w:r>
          </w:p>
        </w:tc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u_glowchain_ecommerce_payment_gateway</w:t>
            </w:r>
          </w:p>
        </w:tc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cmdb_ci_appl</w:t>
            </w:r>
          </w:p>
        </w:tc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Runs on</w:t>
            </w:r>
          </w:p>
        </w:tc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u_glowchain_ecommerce_app_server</w:t>
            </w:r>
          </w:p>
        </w:tc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ca70a548939a0b90382c1aebb9373c16</w:t>
            </w:r>
          </w:p>
        </w:tc>
      </w:tr>
      <w:tr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E-commerce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u_glowchain_ecommerce_app_server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cmdb_ci_computer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Connects to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u_glowchain_ecommerce_cdn_endpoint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d4f021c8939a0b90382c1aebb9373c8e</w:t>
            </w:r>
          </w:p>
        </w:tc>
      </w:tr>
      <w:tr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E-commerce</w:t>
            </w:r>
          </w:p>
        </w:tc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u_glowchain_ecommerce_cdn_endpoint</w:t>
            </w:r>
          </w:p>
        </w:tc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cmdb_ci_service</w:t>
            </w:r>
          </w:p>
        </w:tc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Connected by</w:t>
            </w:r>
          </w:p>
        </w:tc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u_glowchain_ecommerce_app_server</w:t>
            </w:r>
          </w:p>
        </w:tc>
        <w:tc>
          <w:tcPr>
            <w:tcW w:type="dxa" w:w="1656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7e61250c939a0b90382c1aebb9373cef</w:t>
            </w:r>
          </w:p>
        </w:tc>
      </w:tr>
    </w:tbl>
    <w:p/>
    <w:p>
      <w:pPr>
        <w:spacing w:before="200" w:after="40"/>
      </w:pPr>
      <w:r>
        <w:rPr>
          <w:rFonts w:ascii="Arial" w:hAnsi="Arial"/>
          <w:b/>
          <w:color w:val="35598E"/>
          <w:sz w:val="24"/>
        </w:rPr>
        <w:t>2.2 Service Catalog &amp; Workflow Fulfillment (9 Items)</w:t>
      </w:r>
    </w:p>
    <w:p>
      <w:pPr>
        <w:spacing w:after="80" w:line="276" w:lineRule="auto"/>
      </w:pPr>
      <w:r>
        <w:rPr>
          <w:rFonts w:ascii="Arial" w:hAnsi="Arial"/>
          <w:i w:val="0"/>
          <w:color w:val="212529"/>
          <w:sz w:val="21"/>
        </w:rPr>
        <w:t>Constructed 9 Service Catalog items across 3 target categories. Each item routes through an approval/fulfillment workflow (manager approval or auto-approval rules with task generation):</w:t>
      </w:r>
    </w:p>
    <w:p>
      <w:pPr>
        <w:spacing w:after="80" w:line="276" w:lineRule="auto"/>
      </w:pPr>
      <w:r>
        <w:rPr>
          <w:rFonts w:ascii="Arial" w:hAnsi="Arial"/>
          <w:b/>
          <w:color w:val="212529"/>
          <w:sz w:val="21"/>
        </w:rPr>
        <w:t xml:space="preserve">1. </w:t>
      </w:r>
      <w:r>
        <w:rPr>
          <w:rFonts w:ascii="Arial" w:hAnsi="Arial"/>
          <w:i w:val="0"/>
          <w:color w:val="212529"/>
          <w:sz w:val="21"/>
        </w:rPr>
        <w:t>• IT Hardware Category: New POS Terminal Request, Plant Floor Sensor or PLC Hardware Request, Payment Device Replacement.</w:t>
      </w:r>
    </w:p>
    <w:p>
      <w:pPr>
        <w:spacing w:after="80" w:line="276" w:lineRule="auto"/>
      </w:pPr>
      <w:r>
        <w:rPr>
          <w:rFonts w:ascii="Arial" w:hAnsi="Arial"/>
          <w:b/>
          <w:color w:val="212529"/>
          <w:sz w:val="21"/>
        </w:rPr>
        <w:t xml:space="preserve">2. </w:t>
      </w:r>
      <w:r>
        <w:rPr>
          <w:rFonts w:ascii="Arial" w:hAnsi="Arial"/>
          <w:i w:val="0"/>
          <w:color w:val="212529"/>
          <w:sz w:val="21"/>
        </w:rPr>
        <w:t>• Software Access Category: Retail POS Software Access Request, Manufacturing Line Controller Application Access, E-commerce Storefront Admin Access.</w:t>
      </w:r>
    </w:p>
    <w:p>
      <w:pPr>
        <w:spacing w:after="80" w:line="276" w:lineRule="auto"/>
      </w:pPr>
      <w:r>
        <w:rPr>
          <w:rFonts w:ascii="Arial" w:hAnsi="Arial"/>
          <w:b/>
          <w:color w:val="212529"/>
          <w:sz w:val="21"/>
        </w:rPr>
        <w:t xml:space="preserve">3. </w:t>
      </w:r>
      <w:r>
        <w:rPr>
          <w:rFonts w:ascii="Arial" w:hAnsi="Arial"/>
          <w:i w:val="0"/>
          <w:color w:val="212529"/>
          <w:sz w:val="21"/>
        </w:rPr>
        <w:t>• Store/Plant Support Category: Store Network Outage Support, Plant PLC Network Maintenance, E-commerce CDN Performance Issue.</w:t>
      </w:r>
    </w:p>
    <w:p>
      <w:pPr>
        <w:spacing w:before="200" w:after="40"/>
      </w:pPr>
      <w:r>
        <w:rPr>
          <w:rFonts w:ascii="Arial" w:hAnsi="Arial"/>
          <w:b/>
          <w:color w:val="35598E"/>
          <w:sz w:val="24"/>
        </w:rPr>
        <w:t>2.3 Update Set Architecture (6 Completed Update Sets)</w:t>
      </w:r>
    </w:p>
    <w:p>
      <w:pPr>
        <w:spacing w:after="80" w:line="276" w:lineRule="auto"/>
      </w:pPr>
      <w:r>
        <w:rPr>
          <w:rFonts w:ascii="Arial" w:hAnsi="Arial"/>
          <w:i w:val="0"/>
          <w:color w:val="212529"/>
          <w:sz w:val="21"/>
        </w:rPr>
        <w:t>Maintained 100% prefix discipline by prefixing all Update Sets with P1- to guarantee clean isolation inside the shared x_glowchain_core scoped application: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02C57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Update Set Name</w:t>
            </w:r>
          </w:p>
        </w:tc>
        <w:tc>
          <w:tcPr>
            <w:tcW w:type="dxa" w:w="2484"/>
            <w:shd w:fill="102C57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Domain / Target Area</w:t>
            </w:r>
          </w:p>
        </w:tc>
        <w:tc>
          <w:tcPr>
            <w:tcW w:type="dxa" w:w="2484"/>
            <w:shd w:fill="102C57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484"/>
            <w:shd w:fill="102C57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ServiceNow Sys ID</w:t>
            </w:r>
          </w:p>
        </w:tc>
      </w:tr>
      <w:tr>
        <w:tc>
          <w:tcPr>
            <w:tcW w:type="dxa" w:w="2484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8"/>
              </w:rPr>
              <w:t>P1-Retail CMDB classes</w:t>
            </w:r>
          </w:p>
        </w:tc>
        <w:tc>
          <w:tcPr>
            <w:tcW w:type="dxa" w:w="2484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8"/>
              </w:rPr>
              <w:t>Retail CMDB Schema &amp; Relationships</w:t>
            </w:r>
          </w:p>
        </w:tc>
        <w:tc>
          <w:tcPr>
            <w:tcW w:type="dxa" w:w="2484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8"/>
              </w:rPr>
              <w:t>Complete</w:t>
            </w:r>
          </w:p>
        </w:tc>
        <w:tc>
          <w:tcPr>
            <w:tcW w:type="dxa" w:w="2484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8"/>
              </w:rPr>
              <w:t>4cec55fc93cacf10382c1aebb9373c81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8"/>
              </w:rPr>
              <w:t>P1-Manufacturing CMDB classes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8"/>
              </w:rPr>
              <w:t>Manufacturing CMDB Schema &amp; Relationships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8"/>
              </w:rPr>
              <w:t>Complete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8"/>
              </w:rPr>
              <w:t>9c281d0093560b90382c1aebb9373ce7</w:t>
            </w:r>
          </w:p>
        </w:tc>
      </w:tr>
      <w:tr>
        <w:tc>
          <w:tcPr>
            <w:tcW w:type="dxa" w:w="2484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8"/>
              </w:rPr>
              <w:t>P1-Ecommerce CMDB classes</w:t>
            </w:r>
          </w:p>
        </w:tc>
        <w:tc>
          <w:tcPr>
            <w:tcW w:type="dxa" w:w="2484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8"/>
              </w:rPr>
              <w:t>E-commerce CMDB Schema &amp; Relationships</w:t>
            </w:r>
          </w:p>
        </w:tc>
        <w:tc>
          <w:tcPr>
            <w:tcW w:type="dxa" w:w="2484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8"/>
              </w:rPr>
              <w:t>Complete</w:t>
            </w:r>
          </w:p>
        </w:tc>
        <w:tc>
          <w:tcPr>
            <w:tcW w:type="dxa" w:w="2484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8"/>
              </w:rPr>
              <w:t>d4ee5d80939a0b90382c1aebb9373c1e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8"/>
              </w:rPr>
              <w:t>P1-IT Hardware catalog items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8"/>
              </w:rPr>
              <w:t>IT Hardware Category &amp; Catalog Items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8"/>
              </w:rPr>
              <w:t>Complete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8"/>
              </w:rPr>
              <w:t>2d0ca15c939a8b90382c1aebb9373c29</w:t>
            </w:r>
          </w:p>
        </w:tc>
      </w:tr>
      <w:tr>
        <w:tc>
          <w:tcPr>
            <w:tcW w:type="dxa" w:w="2484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8"/>
              </w:rPr>
              <w:t>P1-Software Access catalog items</w:t>
            </w:r>
          </w:p>
        </w:tc>
        <w:tc>
          <w:tcPr>
            <w:tcW w:type="dxa" w:w="2484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8"/>
              </w:rPr>
              <w:t>Software Access Category &amp; Catalog Items</w:t>
            </w:r>
          </w:p>
        </w:tc>
        <w:tc>
          <w:tcPr>
            <w:tcW w:type="dxa" w:w="2484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8"/>
              </w:rPr>
              <w:t>Complete</w:t>
            </w:r>
          </w:p>
        </w:tc>
        <w:tc>
          <w:tcPr>
            <w:tcW w:type="dxa" w:w="2484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8"/>
              </w:rPr>
              <w:t>b416d6909312cb90382c1aebb9373c87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8"/>
              </w:rPr>
              <w:t>P1-Store/Plant Support catalog items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8"/>
              </w:rPr>
              <w:t>Store/Plant Support Category &amp; Catalog Items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8"/>
              </w:rPr>
              <w:t>Complete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8"/>
              </w:rPr>
              <w:t>21161a909312cb90382c1aebb9373cc4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02C57"/>
          <w:sz w:val="30"/>
        </w:rPr>
        <w:t>3. Challenges &amp; Technical Solutions</w:t>
      </w:r>
    </w:p>
    <w:p>
      <w:pPr>
        <w:spacing w:after="80" w:line="276" w:lineRule="auto"/>
      </w:pPr>
      <w:r>
        <w:rPr>
          <w:rFonts w:ascii="Arial" w:hAnsi="Arial"/>
          <w:b/>
          <w:color w:val="212529"/>
          <w:sz w:val="21"/>
        </w:rPr>
        <w:t xml:space="preserve">• Non-Extensible OOB CMDB Classes: </w:t>
      </w:r>
      <w:r>
        <w:rPr>
          <w:rFonts w:ascii="Arial" w:hAnsi="Arial"/>
          <w:i w:val="0"/>
          <w:color w:val="212529"/>
          <w:sz w:val="21"/>
        </w:rPr>
        <w:t>During the build, base OOB classes cmdb_ci_ip_switch and cmdb_ci_peripheral were non-extensible in the PDI. Substituted their nearest extensible ancestors (cmdb_ci_netgear and cmdb_ci_hardware), documented the technical rationale in docs/cmdb-class-list.md, and validated relationship inheritance.</w:t>
      </w:r>
    </w:p>
    <w:p>
      <w:pPr>
        <w:spacing w:after="80" w:line="276" w:lineRule="auto"/>
      </w:pPr>
      <w:r>
        <w:rPr>
          <w:rFonts w:ascii="Arial" w:hAnsi="Arial"/>
          <w:b/>
          <w:color w:val="212529"/>
          <w:sz w:val="21"/>
        </w:rPr>
        <w:t xml:space="preserve">• ServiceNow REST API Session Authentication: </w:t>
      </w:r>
      <w:r>
        <w:rPr>
          <w:rFonts w:ascii="Arial" w:hAnsi="Arial"/>
          <w:i w:val="0"/>
          <w:color w:val="212529"/>
          <w:sz w:val="21"/>
        </w:rPr>
        <w:t>ServiceNow REST API returned 401 for direct basic auth on admin endpoints. Engineered a two-step session authentication script in Python utilizing form login and X-UserToken CSRF headers to automate resource creation seamlessly.</w:t>
      </w:r>
    </w:p>
    <w:p>
      <w:pPr>
        <w:spacing w:after="80" w:line="276" w:lineRule="auto"/>
      </w:pPr>
      <w:r>
        <w:rPr>
          <w:rFonts w:ascii="Arial" w:hAnsi="Arial"/>
          <w:b/>
          <w:color w:val="212529"/>
          <w:sz w:val="21"/>
        </w:rPr>
        <w:t xml:space="preserve">• Scoped App &amp; Update Set Isolation: </w:t>
      </w:r>
      <w:r>
        <w:rPr>
          <w:rFonts w:ascii="Arial" w:hAnsi="Arial"/>
          <w:i w:val="0"/>
          <w:color w:val="212529"/>
          <w:sz w:val="21"/>
        </w:rPr>
        <w:t>To prevent Project 1 changes from bleeding into future Project 2/3 update sets, enforced strict P1- prefixing and segregated sub-naming per domain (CMDB vs Catalog category).</w:t>
      </w:r>
    </w:p>
    <w:p>
      <w:pPr>
        <w:spacing w:before="280" w:after="80"/>
      </w:pPr>
      <w:r>
        <w:rPr>
          <w:rFonts w:ascii="Arial" w:hAnsi="Arial"/>
          <w:b/>
          <w:color w:val="102C57"/>
          <w:sz w:val="30"/>
        </w:rPr>
        <w:t>4. Verification &amp; Rigor</w:t>
      </w:r>
    </w:p>
    <w:p>
      <w:pPr>
        <w:spacing w:after="80" w:line="276" w:lineRule="auto"/>
      </w:pPr>
      <w:r>
        <w:rPr>
          <w:rFonts w:ascii="Arial" w:hAnsi="Arial"/>
          <w:i w:val="0"/>
          <w:color w:val="212529"/>
          <w:sz w:val="21"/>
        </w:rPr>
        <w:t>Every workflow is backed by an Automated Test Framework (ATF) test record (P1_ATF_*), not just a manual click-through — 9 ATF tests covering catalog fulfillment, role permissions, and CMDB relationship integrity with a 100% pass rate.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02C57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ATF Test Name</w:t>
            </w:r>
          </w:p>
        </w:tc>
        <w:tc>
          <w:tcPr>
            <w:tcW w:type="dxa" w:w="1987"/>
            <w:shd w:fill="102C57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987"/>
            <w:shd w:fill="102C57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Target Catalog Item</w:t>
            </w:r>
          </w:p>
        </w:tc>
        <w:tc>
          <w:tcPr>
            <w:tcW w:type="dxa" w:w="1987"/>
            <w:shd w:fill="102C57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Pass Rate</w:t>
            </w:r>
          </w:p>
        </w:tc>
        <w:tc>
          <w:tcPr>
            <w:tcW w:type="dxa" w:w="1987"/>
            <w:shd w:fill="102C57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Update Set</w:t>
            </w:r>
          </w:p>
        </w:tc>
      </w:tr>
      <w:tr>
        <w:tc>
          <w:tcPr>
            <w:tcW w:type="dxa" w:w="1987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P1_ATF_ITHardware_POSTerminal</w:t>
            </w:r>
          </w:p>
        </w:tc>
        <w:tc>
          <w:tcPr>
            <w:tcW w:type="dxa" w:w="1987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IT Hardware</w:t>
            </w:r>
          </w:p>
        </w:tc>
        <w:tc>
          <w:tcPr>
            <w:tcW w:type="dxa" w:w="1987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New POS Terminal Request</w:t>
            </w:r>
          </w:p>
        </w:tc>
        <w:tc>
          <w:tcPr>
            <w:tcW w:type="dxa" w:w="1987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100%</w:t>
            </w:r>
          </w:p>
        </w:tc>
        <w:tc>
          <w:tcPr>
            <w:tcW w:type="dxa" w:w="1987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P1-IT Hardware catalog items</w:t>
            </w:r>
          </w:p>
        </w:tc>
      </w:tr>
      <w:tr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P1_ATF_ITHardware_PLCSensor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IT Hardware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Plant Floor Sensor or PLC Hardware Request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100%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P1-IT Hardware catalog items</w:t>
            </w:r>
          </w:p>
        </w:tc>
      </w:tr>
      <w:tr>
        <w:tc>
          <w:tcPr>
            <w:tcW w:type="dxa" w:w="1987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P1_ATF_ITHardware_PaymentDevice</w:t>
            </w:r>
          </w:p>
        </w:tc>
        <w:tc>
          <w:tcPr>
            <w:tcW w:type="dxa" w:w="1987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IT Hardware</w:t>
            </w:r>
          </w:p>
        </w:tc>
        <w:tc>
          <w:tcPr>
            <w:tcW w:type="dxa" w:w="1987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Payment Device Replacement</w:t>
            </w:r>
          </w:p>
        </w:tc>
        <w:tc>
          <w:tcPr>
            <w:tcW w:type="dxa" w:w="1987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100%</w:t>
            </w:r>
          </w:p>
        </w:tc>
        <w:tc>
          <w:tcPr>
            <w:tcW w:type="dxa" w:w="1987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P1-IT Hardware catalog items</w:t>
            </w:r>
          </w:p>
        </w:tc>
      </w:tr>
      <w:tr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P1_ATF_SoftAccess_RetailPOS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Software Access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Retail POS Software Access Request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100%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P1-Software Access catalog items</w:t>
            </w:r>
          </w:p>
        </w:tc>
      </w:tr>
      <w:tr>
        <w:tc>
          <w:tcPr>
            <w:tcW w:type="dxa" w:w="1987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P1_ATF_SoftAccess_LineController</w:t>
            </w:r>
          </w:p>
        </w:tc>
        <w:tc>
          <w:tcPr>
            <w:tcW w:type="dxa" w:w="1987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Software Access</w:t>
            </w:r>
          </w:p>
        </w:tc>
        <w:tc>
          <w:tcPr>
            <w:tcW w:type="dxa" w:w="1987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Manufacturing Line Controller Application Access</w:t>
            </w:r>
          </w:p>
        </w:tc>
        <w:tc>
          <w:tcPr>
            <w:tcW w:type="dxa" w:w="1987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100%</w:t>
            </w:r>
          </w:p>
        </w:tc>
        <w:tc>
          <w:tcPr>
            <w:tcW w:type="dxa" w:w="1987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P1-Software Access catalog items</w:t>
            </w:r>
          </w:p>
        </w:tc>
      </w:tr>
      <w:tr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P1_ATF_SoftAccess_StorefrontAdmin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Software Access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E-commerce Storefront Admin Access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100%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P1-Software Access catalog items</w:t>
            </w:r>
          </w:p>
        </w:tc>
      </w:tr>
      <w:tr>
        <w:tc>
          <w:tcPr>
            <w:tcW w:type="dxa" w:w="1987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P1_ATF_Support_StoreNetwork</w:t>
            </w:r>
          </w:p>
        </w:tc>
        <w:tc>
          <w:tcPr>
            <w:tcW w:type="dxa" w:w="1987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Store/Plant Support</w:t>
            </w:r>
          </w:p>
        </w:tc>
        <w:tc>
          <w:tcPr>
            <w:tcW w:type="dxa" w:w="1987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Store Network Outage Support</w:t>
            </w:r>
          </w:p>
        </w:tc>
        <w:tc>
          <w:tcPr>
            <w:tcW w:type="dxa" w:w="1987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100%</w:t>
            </w:r>
          </w:p>
        </w:tc>
        <w:tc>
          <w:tcPr>
            <w:tcW w:type="dxa" w:w="1987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P1-Store/Plant Support catalog items</w:t>
            </w:r>
          </w:p>
        </w:tc>
      </w:tr>
      <w:tr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P1_ATF_Support_PlantPLC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Store/Plant Support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Plant PLC Network Maintenance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100%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P1-Store/Plant Support catalog items</w:t>
            </w:r>
          </w:p>
        </w:tc>
      </w:tr>
      <w:tr>
        <w:tc>
          <w:tcPr>
            <w:tcW w:type="dxa" w:w="1987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P1_ATF_Support_EcomCDN</w:t>
            </w:r>
          </w:p>
        </w:tc>
        <w:tc>
          <w:tcPr>
            <w:tcW w:type="dxa" w:w="1987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Store/Plant Support</w:t>
            </w:r>
          </w:p>
        </w:tc>
        <w:tc>
          <w:tcPr>
            <w:tcW w:type="dxa" w:w="1987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E-commerce CDN Performance Issue</w:t>
            </w:r>
          </w:p>
        </w:tc>
        <w:tc>
          <w:tcPr>
            <w:tcW w:type="dxa" w:w="1987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100%</w:t>
            </w:r>
          </w:p>
        </w:tc>
        <w:tc>
          <w:tcPr>
            <w:tcW w:type="dxa" w:w="1987"/>
            <w:shd w:fill="F8F9FA"/>
          </w:tcPr>
          <w:p>
            <w:pPr>
              <w:spacing w:before="60" w:after="60"/>
            </w:pPr>
            <w:r>
              <w:rPr>
                <w:rFonts w:ascii="Arial" w:hAnsi="Arial"/>
                <w:color w:val="212529"/>
                <w:sz w:val="17"/>
              </w:rPr>
              <w:t>P1-Store/Plant Support catalog items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02C57"/>
          <w:sz w:val="30"/>
        </w:rPr>
        <w:t>5. Relevant To This Role</w:t>
      </w:r>
    </w:p>
    <w:p>
      <w:pPr>
        <w:spacing w:after="80" w:line="276" w:lineRule="auto"/>
      </w:pPr>
      <w:r>
        <w:rPr>
          <w:rFonts w:ascii="Arial" w:hAnsi="Arial"/>
          <w:i w:val="0"/>
          <w:color w:val="212529"/>
          <w:sz w:val="21"/>
        </w:rPr>
        <w:t>Directly demonstrates end-to-end ITSM architecture, 15 custom CMDB CI classes, 9 Service Catalog items with approval flows, 100% ATF test coverage, and BPMN 2.0 process documentation.</w:t>
      </w:r>
    </w:p>
    <w:p>
      <w:pPr>
        <w:spacing w:after="80" w:line="276" w:lineRule="auto"/>
      </w:pPr>
      <w:r>
        <w:rPr>
          <w:rFonts w:ascii="Arial" w:hAnsi="Arial"/>
          <w:b/>
          <w:color w:val="212529"/>
          <w:sz w:val="21"/>
        </w:rPr>
        <w:t xml:space="preserve">  - </w:t>
      </w:r>
      <w:r>
        <w:rPr>
          <w:rFonts w:ascii="Arial" w:hAnsi="Arial"/>
          <w:i w:val="0"/>
          <w:color w:val="212529"/>
          <w:sz w:val="21"/>
        </w:rPr>
        <w:t>• For ServiceNow Functional Consultants: Proves mastery of CMDB schema design, relationship mapping, catalog fulfillment, and automated ATF testing.</w:t>
      </w:r>
    </w:p>
    <w:p>
      <w:pPr>
        <w:spacing w:after="80" w:line="276" w:lineRule="auto"/>
      </w:pPr>
      <w:r>
        <w:rPr>
          <w:rFonts w:ascii="Arial" w:hAnsi="Arial"/>
          <w:b/>
          <w:color w:val="212529"/>
          <w:sz w:val="21"/>
        </w:rPr>
        <w:t xml:space="preserve">  - </w:t>
      </w:r>
      <w:r>
        <w:rPr>
          <w:rFonts w:ascii="Arial" w:hAnsi="Arial"/>
          <w:i w:val="0"/>
          <w:color w:val="212529"/>
          <w:sz w:val="21"/>
        </w:rPr>
        <w:t>• For Business Analysts &amp; Process Engineers: Shows ITIL v4 alignment, process governance, and clear BPMN documentation ownership.</w:t>
      </w:r>
    </w:p>
    <w:p>
      <w:pPr>
        <w:spacing w:after="80" w:line="276" w:lineRule="auto"/>
      </w:pPr>
      <w:r>
        <w:rPr>
          <w:rFonts w:ascii="Arial" w:hAnsi="Arial"/>
          <w:b/>
          <w:color w:val="212529"/>
          <w:sz w:val="21"/>
        </w:rPr>
        <w:t xml:space="preserve">  - </w:t>
      </w:r>
      <w:r>
        <w:rPr>
          <w:rFonts w:ascii="Arial" w:hAnsi="Arial"/>
          <w:i w:val="0"/>
          <w:color w:val="212529"/>
          <w:sz w:val="21"/>
        </w:rPr>
        <w:t>• For ServiceNow Developers: Demonstrates Update Set discipline, scoped app boundary management, and REST API scripting.</w:t>
      </w:r>
    </w:p>
    <w:p>
      <w:pPr>
        <w:spacing w:before="280" w:after="80"/>
      </w:pPr>
      <w:r>
        <w:rPr>
          <w:rFonts w:ascii="Arial" w:hAnsi="Arial"/>
          <w:b/>
          <w:color w:val="102C57"/>
          <w:sz w:val="30"/>
        </w:rPr>
        <w:t>6. See It</w:t>
      </w:r>
    </w:p>
    <w:p>
      <w:pPr>
        <w:spacing w:after="80" w:line="276" w:lineRule="auto"/>
      </w:pPr>
      <w:r>
        <w:rPr>
          <w:rFonts w:ascii="Arial" w:hAnsi="Arial"/>
          <w:i w:val="0"/>
          <w:color w:val="212529"/>
          <w:sz w:val="21"/>
        </w:rPr>
        <w:t>ServiceNow PDI Instance: https://dev308344.service-now.com</w:t>
      </w:r>
    </w:p>
    <w:p>
      <w:pPr>
        <w:spacing w:after="80" w:line="276" w:lineRule="auto"/>
      </w:pPr>
      <w:r>
        <w:rPr>
          <w:rFonts w:ascii="Arial" w:hAnsi="Arial"/>
          <w:i w:val="0"/>
          <w:color w:val="212529"/>
          <w:sz w:val="21"/>
        </w:rPr>
        <w:t>GitHub Repository: https://github.com/nimish-mathur/glowchain</w:t>
      </w:r>
    </w:p>
    <w:p>
      <w:pPr>
        <w:spacing w:after="80" w:line="276" w:lineRule="auto"/>
      </w:pPr>
      <w:r>
        <w:rPr>
          <w:rFonts w:ascii="Arial" w:hAnsi="Arial"/>
          <w:i w:val="0"/>
          <w:color w:val="212529"/>
          <w:sz w:val="21"/>
        </w:rPr>
        <w:t>Update Sets: 6 P1- prefixed sets (All marked Complete)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