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0CE85" w14:textId="77777777" w:rsidR="00B92535" w:rsidRDefault="00882822" w:rsidP="00B92535">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8282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State Bank of India</w:t>
      </w:r>
    </w:p>
    <w:p w14:paraId="42962C98" w14:textId="3B7AC4E8" w:rsidR="00882822" w:rsidRPr="00A47A79" w:rsidRDefault="00882822" w:rsidP="00B92535">
      <w:pPr>
        <w:rPr>
          <w:b/>
          <w:color w:val="000000" w:themeColor="text1"/>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47A79">
        <w:rPr>
          <w:rFonts w:cstheme="minorHAnsi"/>
          <w:sz w:val="24"/>
          <w:szCs w:val="24"/>
        </w:rPr>
        <w:t xml:space="preserve"> SBI is an Indian multinational public sector banking and financial statutory body headquartered in Mumbai, </w:t>
      </w:r>
      <w:proofErr w:type="spellStart"/>
      <w:r w:rsidRPr="00A47A79">
        <w:rPr>
          <w:rFonts w:cstheme="minorHAnsi"/>
          <w:sz w:val="24"/>
          <w:szCs w:val="24"/>
        </w:rPr>
        <w:t>Mharashtra</w:t>
      </w:r>
      <w:proofErr w:type="spellEnd"/>
      <w:r w:rsidRPr="00A47A79">
        <w:rPr>
          <w:rFonts w:cstheme="minorHAnsi"/>
          <w:sz w:val="24"/>
          <w:szCs w:val="24"/>
        </w:rPr>
        <w:t xml:space="preserve">. </w:t>
      </w:r>
      <w:r w:rsidR="001E7D36" w:rsidRPr="00A47A79">
        <w:rPr>
          <w:rFonts w:cstheme="minorHAnsi"/>
          <w:sz w:val="24"/>
          <w:szCs w:val="24"/>
          <w:shd w:val="clear" w:color="auto" w:fill="FFFFFF"/>
          <w:vertAlign w:val="superscript"/>
        </w:rPr>
        <w:t xml:space="preserve"> </w:t>
      </w:r>
      <w:r w:rsidR="001E7D36" w:rsidRPr="00A47A79">
        <w:rPr>
          <w:rFonts w:cstheme="minorHAnsi"/>
          <w:sz w:val="24"/>
          <w:szCs w:val="24"/>
          <w:shd w:val="clear" w:color="auto" w:fill="FFFFFF"/>
        </w:rPr>
        <w:t>The </w:t>
      </w:r>
      <w:hyperlink r:id="rId7" w:tooltip="Government of India" w:history="1">
        <w:r w:rsidR="001E7D36" w:rsidRPr="00A47A79">
          <w:rPr>
            <w:rStyle w:val="Hyperlink"/>
            <w:rFonts w:cstheme="minorHAnsi"/>
            <w:color w:val="auto"/>
            <w:sz w:val="24"/>
            <w:szCs w:val="24"/>
            <w:shd w:val="clear" w:color="auto" w:fill="FFFFFF"/>
          </w:rPr>
          <w:t>Government of India</w:t>
        </w:r>
      </w:hyperlink>
      <w:r w:rsidR="001E7D36" w:rsidRPr="00A47A79">
        <w:rPr>
          <w:rFonts w:cstheme="minorHAnsi"/>
          <w:sz w:val="24"/>
          <w:szCs w:val="24"/>
          <w:shd w:val="clear" w:color="auto" w:fill="FFFFFF"/>
        </w:rPr>
        <w:t> took control of the Imperial Bank of India on 1</w:t>
      </w:r>
      <w:r w:rsidR="001E7D36" w:rsidRPr="00A47A79">
        <w:rPr>
          <w:rFonts w:cstheme="minorHAnsi"/>
          <w:sz w:val="24"/>
          <w:szCs w:val="24"/>
          <w:shd w:val="clear" w:color="auto" w:fill="FFFFFF"/>
          <w:vertAlign w:val="superscript"/>
        </w:rPr>
        <w:t>st</w:t>
      </w:r>
      <w:r w:rsidR="001E7D36" w:rsidRPr="00A47A79">
        <w:rPr>
          <w:rFonts w:cstheme="minorHAnsi"/>
          <w:sz w:val="24"/>
          <w:szCs w:val="24"/>
          <w:shd w:val="clear" w:color="auto" w:fill="FFFFFF"/>
        </w:rPr>
        <w:t xml:space="preserve"> </w:t>
      </w:r>
      <w:proofErr w:type="spellStart"/>
      <w:r w:rsidR="001E7D36" w:rsidRPr="00A47A79">
        <w:rPr>
          <w:rFonts w:cstheme="minorHAnsi"/>
          <w:sz w:val="24"/>
          <w:szCs w:val="24"/>
          <w:shd w:val="clear" w:color="auto" w:fill="FFFFFF"/>
        </w:rPr>
        <w:t>july</w:t>
      </w:r>
      <w:proofErr w:type="spellEnd"/>
      <w:r w:rsidR="001E7D36" w:rsidRPr="00A47A79">
        <w:rPr>
          <w:rFonts w:cstheme="minorHAnsi"/>
          <w:sz w:val="24"/>
          <w:szCs w:val="24"/>
          <w:shd w:val="clear" w:color="auto" w:fill="FFFFFF"/>
        </w:rPr>
        <w:t xml:space="preserve"> 1955, with </w:t>
      </w:r>
      <w:hyperlink r:id="rId8" w:tooltip="Reserve Bank of India" w:history="1">
        <w:r w:rsidR="001E7D36" w:rsidRPr="00A47A79">
          <w:rPr>
            <w:rStyle w:val="Hyperlink"/>
            <w:rFonts w:cstheme="minorHAnsi"/>
            <w:color w:val="auto"/>
            <w:sz w:val="24"/>
            <w:szCs w:val="24"/>
            <w:shd w:val="clear" w:color="auto" w:fill="FFFFFF"/>
          </w:rPr>
          <w:t>Reserve Bank of India</w:t>
        </w:r>
      </w:hyperlink>
      <w:r w:rsidR="001E7D36" w:rsidRPr="00A47A79">
        <w:rPr>
          <w:rFonts w:cstheme="minorHAnsi"/>
          <w:sz w:val="24"/>
          <w:szCs w:val="24"/>
          <w:shd w:val="clear" w:color="auto" w:fill="FFFFFF"/>
        </w:rPr>
        <w:t> (India's central bank) taking a 60% stake, renaming it the State Bank of India.</w:t>
      </w:r>
      <w:r w:rsidR="001E7D36" w:rsidRPr="00A47A79">
        <w:rPr>
          <w:rFonts w:cstheme="minorHAnsi"/>
          <w:sz w:val="24"/>
          <w:szCs w:val="24"/>
        </w:rPr>
        <w:t xml:space="preserve"> As of march 2019, SBI employed over 2.5 </w:t>
      </w:r>
      <w:proofErr w:type="spellStart"/>
      <w:r w:rsidR="001E7D36" w:rsidRPr="00A47A79">
        <w:rPr>
          <w:rFonts w:cstheme="minorHAnsi"/>
          <w:sz w:val="24"/>
          <w:szCs w:val="24"/>
        </w:rPr>
        <w:t>lak</w:t>
      </w:r>
      <w:proofErr w:type="spellEnd"/>
      <w:r w:rsidR="001E7D36" w:rsidRPr="00A47A79">
        <w:rPr>
          <w:rFonts w:cstheme="minorHAnsi"/>
          <w:sz w:val="24"/>
          <w:szCs w:val="24"/>
        </w:rPr>
        <w:t xml:space="preserve"> employees with to</w:t>
      </w:r>
      <w:r w:rsidR="00E90F68" w:rsidRPr="00A47A79">
        <w:rPr>
          <w:rFonts w:cstheme="minorHAnsi"/>
          <w:sz w:val="24"/>
          <w:szCs w:val="24"/>
        </w:rPr>
        <w:t>t</w:t>
      </w:r>
      <w:r w:rsidR="001E7D36" w:rsidRPr="00A47A79">
        <w:rPr>
          <w:rFonts w:cstheme="minorHAnsi"/>
          <w:sz w:val="24"/>
          <w:szCs w:val="24"/>
        </w:rPr>
        <w:t xml:space="preserve">al assets being approx. </w:t>
      </w:r>
      <w:r w:rsidR="001E7D36" w:rsidRPr="00A47A79">
        <w:rPr>
          <w:rFonts w:cstheme="minorHAnsi"/>
          <w:sz w:val="24"/>
          <w:szCs w:val="24"/>
          <w:shd w:val="clear" w:color="auto" w:fill="FFFFFF"/>
        </w:rPr>
        <w:t>₹50.80914 trillion.</w:t>
      </w:r>
    </w:p>
    <w:p w14:paraId="210B54FF" w14:textId="77777777" w:rsidR="00C17B7B" w:rsidRPr="00A47A79" w:rsidRDefault="00C17B7B" w:rsidP="00882822">
      <w:pPr>
        <w:rPr>
          <w:rFonts w:cstheme="minorHAnsi"/>
          <w:sz w:val="24"/>
          <w:szCs w:val="24"/>
          <w:shd w:val="clear" w:color="auto" w:fill="FFFFFF"/>
        </w:rPr>
      </w:pPr>
    </w:p>
    <w:p w14:paraId="5A4CF2AB" w14:textId="4C0D1934" w:rsidR="00E90F68" w:rsidRPr="00A47A79" w:rsidRDefault="00E90F68" w:rsidP="00882822">
      <w:pPr>
        <w:rPr>
          <w:rFonts w:cstheme="minorHAnsi"/>
          <w:b/>
          <w:bCs/>
          <w:sz w:val="24"/>
          <w:szCs w:val="24"/>
          <w:u w:val="single"/>
        </w:rPr>
      </w:pPr>
      <w:r w:rsidRPr="00A47A79">
        <w:rPr>
          <w:rFonts w:cstheme="minorHAnsi"/>
          <w:b/>
          <w:bCs/>
          <w:sz w:val="24"/>
          <w:szCs w:val="24"/>
          <w:u w:val="single"/>
        </w:rPr>
        <w:t xml:space="preserve">Market </w:t>
      </w:r>
      <w:proofErr w:type="gramStart"/>
      <w:r w:rsidRPr="00A47A79">
        <w:rPr>
          <w:rFonts w:cstheme="minorHAnsi"/>
          <w:b/>
          <w:bCs/>
          <w:sz w:val="24"/>
          <w:szCs w:val="24"/>
          <w:u w:val="single"/>
        </w:rPr>
        <w:t>Share :</w:t>
      </w:r>
      <w:proofErr w:type="gramEnd"/>
      <w:r w:rsidRPr="00A47A79">
        <w:rPr>
          <w:rFonts w:cstheme="minorHAnsi"/>
          <w:b/>
          <w:bCs/>
          <w:sz w:val="24"/>
          <w:szCs w:val="24"/>
          <w:u w:val="single"/>
        </w:rPr>
        <w:t xml:space="preserve">- </w:t>
      </w:r>
    </w:p>
    <w:p w14:paraId="2D8CB383" w14:textId="4AC87E72" w:rsidR="00E90F68" w:rsidRPr="00A47A79" w:rsidRDefault="00E90F68" w:rsidP="00882822">
      <w:pPr>
        <w:rPr>
          <w:rFonts w:cstheme="minorHAnsi"/>
          <w:sz w:val="24"/>
          <w:szCs w:val="24"/>
          <w:shd w:val="clear" w:color="auto" w:fill="FFFFFF"/>
        </w:rPr>
      </w:pPr>
      <w:r w:rsidRPr="00A47A79">
        <w:rPr>
          <w:rFonts w:cstheme="minorHAnsi"/>
          <w:sz w:val="24"/>
          <w:szCs w:val="24"/>
          <w:shd w:val="clear" w:color="auto" w:fill="FFFFFF"/>
        </w:rPr>
        <w:t>It is the largest bank in India with a 23% market share in assets, besides a share of one-fourth of the total loan and deposits market.</w:t>
      </w:r>
    </w:p>
    <w:p w14:paraId="08A7C405" w14:textId="77777777" w:rsidR="00C17B7B" w:rsidRPr="00A47A79" w:rsidRDefault="00C17B7B" w:rsidP="00882822">
      <w:pPr>
        <w:rPr>
          <w:rFonts w:cstheme="minorHAnsi"/>
          <w:sz w:val="24"/>
          <w:szCs w:val="24"/>
          <w:shd w:val="clear" w:color="auto" w:fill="FFFFFF"/>
        </w:rPr>
      </w:pPr>
    </w:p>
    <w:p w14:paraId="7269F36C" w14:textId="54FC3743" w:rsidR="00E90F68" w:rsidRPr="00A47A79" w:rsidRDefault="002E6FC8" w:rsidP="00882822">
      <w:pPr>
        <w:rPr>
          <w:rFonts w:cstheme="minorHAnsi"/>
          <w:b/>
          <w:bCs/>
          <w:sz w:val="24"/>
          <w:szCs w:val="24"/>
          <w:u w:val="single"/>
        </w:rPr>
      </w:pPr>
      <w:r w:rsidRPr="00A47A79">
        <w:rPr>
          <w:rFonts w:cstheme="minorHAnsi"/>
          <w:b/>
          <w:bCs/>
          <w:sz w:val="24"/>
          <w:szCs w:val="24"/>
          <w:u w:val="single"/>
        </w:rPr>
        <w:t xml:space="preserve">Portfolio </w:t>
      </w:r>
      <w:proofErr w:type="gramStart"/>
      <w:r w:rsidRPr="00A47A79">
        <w:rPr>
          <w:rFonts w:cstheme="minorHAnsi"/>
          <w:b/>
          <w:bCs/>
          <w:sz w:val="24"/>
          <w:szCs w:val="24"/>
          <w:u w:val="single"/>
        </w:rPr>
        <w:t>distribution :</w:t>
      </w:r>
      <w:proofErr w:type="gramEnd"/>
      <w:r w:rsidRPr="00A47A79">
        <w:rPr>
          <w:rFonts w:cstheme="minorHAnsi"/>
          <w:b/>
          <w:bCs/>
          <w:sz w:val="24"/>
          <w:szCs w:val="24"/>
          <w:u w:val="single"/>
        </w:rPr>
        <w:t>-</w:t>
      </w:r>
    </w:p>
    <w:p w14:paraId="6AE0F402" w14:textId="34A13A80" w:rsidR="002E6FC8" w:rsidRPr="00A47A79" w:rsidRDefault="002E6FC8" w:rsidP="00882822">
      <w:pPr>
        <w:rPr>
          <w:sz w:val="24"/>
          <w:szCs w:val="24"/>
        </w:rPr>
      </w:pPr>
      <w:r w:rsidRPr="00A47A79">
        <w:rPr>
          <w:noProof/>
          <w:sz w:val="24"/>
          <w:szCs w:val="24"/>
        </w:rPr>
        <w:drawing>
          <wp:inline distT="0" distB="0" distL="0" distR="0" wp14:anchorId="60433161" wp14:editId="185D099D">
            <wp:extent cx="2750820" cy="2453640"/>
            <wp:effectExtent l="0" t="0" r="11430" b="3810"/>
            <wp:docPr id="1" name="Chart 1">
              <a:extLst xmlns:a="http://schemas.openxmlformats.org/drawingml/2006/main">
                <a:ext uri="{FF2B5EF4-FFF2-40B4-BE49-F238E27FC236}">
                  <a16:creationId xmlns:a16="http://schemas.microsoft.com/office/drawing/2014/main" id="{AF3F1D10-C2E0-4486-8BA5-5DEE374E33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A47A79">
        <w:rPr>
          <w:noProof/>
          <w:sz w:val="24"/>
          <w:szCs w:val="24"/>
        </w:rPr>
        <w:drawing>
          <wp:inline distT="0" distB="0" distL="0" distR="0" wp14:anchorId="45343EEF" wp14:editId="44469876">
            <wp:extent cx="2834640" cy="2476500"/>
            <wp:effectExtent l="0" t="0" r="3810" b="0"/>
            <wp:docPr id="2" name="Chart 2">
              <a:extLst xmlns:a="http://schemas.openxmlformats.org/drawingml/2006/main">
                <a:ext uri="{FF2B5EF4-FFF2-40B4-BE49-F238E27FC236}">
                  <a16:creationId xmlns:a16="http://schemas.microsoft.com/office/drawing/2014/main" id="{EE8D782A-8551-4781-8F6C-4B8CF6B9E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357585" w14:textId="7B9F7DCE" w:rsidR="00C17B7B" w:rsidRDefault="00685447" w:rsidP="00882822">
      <w:pPr>
        <w:rPr>
          <w:rFonts w:cstheme="minorHAnsi"/>
          <w:sz w:val="24"/>
          <w:szCs w:val="24"/>
        </w:rPr>
      </w:pPr>
      <w:r w:rsidRPr="00A47A79">
        <w:rPr>
          <w:rFonts w:cstheme="minorHAnsi"/>
          <w:color w:val="373A3C"/>
          <w:sz w:val="24"/>
          <w:szCs w:val="24"/>
          <w:shd w:val="clear" w:color="auto" w:fill="FFFFFF"/>
        </w:rPr>
        <w:t>As per corporate shareholdings filed for March 31, 2020,</w:t>
      </w:r>
      <w:r w:rsidR="0032685C" w:rsidRPr="00A47A79">
        <w:rPr>
          <w:rFonts w:cstheme="minorHAnsi"/>
          <w:color w:val="373A3C"/>
          <w:sz w:val="24"/>
          <w:szCs w:val="24"/>
          <w:shd w:val="clear" w:color="auto" w:fill="FFFFFF"/>
        </w:rPr>
        <w:t xml:space="preserve"> SBI</w:t>
      </w:r>
      <w:r w:rsidRPr="00A47A79">
        <w:rPr>
          <w:rFonts w:cstheme="minorHAnsi"/>
          <w:color w:val="373A3C"/>
          <w:sz w:val="24"/>
          <w:szCs w:val="24"/>
          <w:shd w:val="clear" w:color="auto" w:fill="FFFFFF"/>
        </w:rPr>
        <w:t xml:space="preserve"> publicly holds </w:t>
      </w:r>
      <w:r w:rsidRPr="00A47A79">
        <w:rPr>
          <w:rStyle w:val="fw500"/>
          <w:rFonts w:cstheme="minorHAnsi"/>
          <w:color w:val="373A3C"/>
          <w:sz w:val="24"/>
          <w:szCs w:val="24"/>
          <w:shd w:val="clear" w:color="auto" w:fill="FFFFFF"/>
        </w:rPr>
        <w:t>95 stocks with a net worth of over Rs. 91,070.8 Cr</w:t>
      </w:r>
      <w:r w:rsidRPr="00A47A79">
        <w:rPr>
          <w:rFonts w:cstheme="minorHAnsi"/>
          <w:color w:val="373A3C"/>
          <w:sz w:val="24"/>
          <w:szCs w:val="24"/>
          <w:shd w:val="clear" w:color="auto" w:fill="FFFFFF"/>
        </w:rPr>
        <w:t xml:space="preserve">. </w:t>
      </w:r>
      <w:r w:rsidRPr="00A47A79">
        <w:rPr>
          <w:rFonts w:cstheme="minorHAnsi"/>
          <w:sz w:val="24"/>
          <w:szCs w:val="24"/>
        </w:rPr>
        <w:t>From the above graphs it is clear that as of 30</w:t>
      </w:r>
      <w:r w:rsidRPr="00A47A79">
        <w:rPr>
          <w:rFonts w:cstheme="minorHAnsi"/>
          <w:sz w:val="24"/>
          <w:szCs w:val="24"/>
          <w:vertAlign w:val="superscript"/>
        </w:rPr>
        <w:t>th</w:t>
      </w:r>
      <w:r w:rsidRPr="00A47A79">
        <w:rPr>
          <w:rFonts w:cstheme="minorHAnsi"/>
          <w:sz w:val="24"/>
          <w:szCs w:val="24"/>
        </w:rPr>
        <w:t xml:space="preserve"> April’2020, Government of India holds the largest portfolio of SBI and more than 70% portfolios are associated with very low levels of risk.</w:t>
      </w:r>
    </w:p>
    <w:p w14:paraId="30AA3A7A" w14:textId="77777777" w:rsidR="00A47A79" w:rsidRPr="00A47A79" w:rsidRDefault="00A47A79" w:rsidP="00882822">
      <w:pPr>
        <w:rPr>
          <w:rFonts w:cstheme="minorHAnsi"/>
          <w:sz w:val="24"/>
          <w:szCs w:val="24"/>
        </w:rPr>
      </w:pPr>
    </w:p>
    <w:p w14:paraId="0BB5018A" w14:textId="77777777" w:rsidR="00D65794" w:rsidRPr="00A47A79" w:rsidRDefault="00D65794" w:rsidP="00D65794">
      <w:pPr>
        <w:rPr>
          <w:b/>
          <w:bCs/>
          <w:sz w:val="24"/>
          <w:szCs w:val="24"/>
          <w:u w:val="single"/>
        </w:rPr>
      </w:pPr>
      <w:r w:rsidRPr="00A47A79">
        <w:rPr>
          <w:b/>
          <w:bCs/>
          <w:sz w:val="24"/>
          <w:szCs w:val="24"/>
          <w:u w:val="single"/>
        </w:rPr>
        <w:t xml:space="preserve">Historical price chart for </w:t>
      </w:r>
      <w:proofErr w:type="gramStart"/>
      <w:r w:rsidRPr="00A47A79">
        <w:rPr>
          <w:b/>
          <w:bCs/>
          <w:sz w:val="24"/>
          <w:szCs w:val="24"/>
          <w:u w:val="single"/>
        </w:rPr>
        <w:t>SBI :</w:t>
      </w:r>
      <w:proofErr w:type="gramEnd"/>
      <w:r w:rsidRPr="00A47A79">
        <w:rPr>
          <w:b/>
          <w:bCs/>
          <w:sz w:val="24"/>
          <w:szCs w:val="24"/>
          <w:u w:val="single"/>
        </w:rPr>
        <w:t>-</w:t>
      </w:r>
    </w:p>
    <w:p w14:paraId="16183060" w14:textId="0E7B7FE1" w:rsidR="0032685C" w:rsidRPr="00A47A79" w:rsidRDefault="00D65794" w:rsidP="00882822">
      <w:pPr>
        <w:rPr>
          <w:sz w:val="24"/>
          <w:szCs w:val="24"/>
        </w:rPr>
      </w:pPr>
      <w:r w:rsidRPr="00A47A79">
        <w:rPr>
          <w:sz w:val="24"/>
          <w:szCs w:val="24"/>
        </w:rPr>
        <w:t>As listed on NSE and BSE, the 52-week high and the 52-week low is Rs.373.70 and Rs.149.55 per share respectively. From the 1Y historical price chart of SBI share below, it is clear that coronavirus has impacted the price to fall from an average height of Rs.338/share to as low as Rs.170/share within a span of 3 months i.e. march’20 to june’20.</w:t>
      </w:r>
    </w:p>
    <w:p w14:paraId="766EA75A" w14:textId="5DC2D9DF" w:rsidR="0032685C" w:rsidRPr="00A47A79" w:rsidRDefault="0032685C" w:rsidP="00882822">
      <w:pPr>
        <w:rPr>
          <w:sz w:val="24"/>
          <w:szCs w:val="24"/>
        </w:rPr>
      </w:pPr>
      <w:r w:rsidRPr="00A47A79">
        <w:rPr>
          <w:noProof/>
          <w:sz w:val="24"/>
          <w:szCs w:val="24"/>
        </w:rPr>
        <w:lastRenderedPageBreak/>
        <w:drawing>
          <wp:inline distT="0" distB="0" distL="0" distR="0" wp14:anchorId="5779BAB1" wp14:editId="6EFF934D">
            <wp:extent cx="6438900" cy="2339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6438900" cy="2339340"/>
                    </a:xfrm>
                    <a:prstGeom prst="rect">
                      <a:avLst/>
                    </a:prstGeom>
                  </pic:spPr>
                </pic:pic>
              </a:graphicData>
            </a:graphic>
          </wp:inline>
        </w:drawing>
      </w:r>
    </w:p>
    <w:p w14:paraId="51C71AE0" w14:textId="60307119" w:rsidR="00A50EC0" w:rsidRPr="00A47A79" w:rsidRDefault="00D65794" w:rsidP="00882822">
      <w:pPr>
        <w:rPr>
          <w:i/>
          <w:iCs/>
          <w:sz w:val="24"/>
          <w:szCs w:val="24"/>
        </w:rPr>
      </w:pPr>
      <w:r w:rsidRPr="00A47A79">
        <w:rPr>
          <w:i/>
          <w:iCs/>
          <w:sz w:val="24"/>
          <w:szCs w:val="24"/>
        </w:rPr>
        <w:t xml:space="preserve">Historical price trends of SBI, </w:t>
      </w:r>
      <w:proofErr w:type="gramStart"/>
      <w:r w:rsidRPr="00A47A79">
        <w:rPr>
          <w:i/>
          <w:iCs/>
          <w:sz w:val="24"/>
          <w:szCs w:val="24"/>
        </w:rPr>
        <w:t>Source :</w:t>
      </w:r>
      <w:proofErr w:type="gramEnd"/>
      <w:r w:rsidRPr="00A47A79">
        <w:rPr>
          <w:i/>
          <w:iCs/>
          <w:sz w:val="24"/>
          <w:szCs w:val="24"/>
        </w:rPr>
        <w:t xml:space="preserve"> Money Control</w:t>
      </w:r>
    </w:p>
    <w:p w14:paraId="3D6FB38F" w14:textId="77777777" w:rsidR="00940A02" w:rsidRPr="00A47A79" w:rsidRDefault="00940A02" w:rsidP="00882822">
      <w:pPr>
        <w:rPr>
          <w:i/>
          <w:iCs/>
          <w:sz w:val="24"/>
          <w:szCs w:val="24"/>
        </w:rPr>
      </w:pPr>
    </w:p>
    <w:p w14:paraId="2214FAD3" w14:textId="4F0D5CD2" w:rsidR="00D65794" w:rsidRPr="00A47A79" w:rsidRDefault="00D65794" w:rsidP="00882822">
      <w:pPr>
        <w:rPr>
          <w:b/>
          <w:bCs/>
          <w:sz w:val="24"/>
          <w:szCs w:val="24"/>
          <w:u w:val="single"/>
        </w:rPr>
      </w:pPr>
      <w:proofErr w:type="gramStart"/>
      <w:r w:rsidRPr="00A47A79">
        <w:rPr>
          <w:b/>
          <w:bCs/>
          <w:sz w:val="24"/>
          <w:szCs w:val="24"/>
          <w:u w:val="single"/>
        </w:rPr>
        <w:t>Profitability :</w:t>
      </w:r>
      <w:proofErr w:type="gramEnd"/>
      <w:r w:rsidRPr="00A47A79">
        <w:rPr>
          <w:b/>
          <w:bCs/>
          <w:sz w:val="24"/>
          <w:szCs w:val="24"/>
          <w:u w:val="single"/>
        </w:rPr>
        <w:t>-</w:t>
      </w:r>
    </w:p>
    <w:p w14:paraId="4EAECED6" w14:textId="3704ED29" w:rsidR="00D65794" w:rsidRPr="00A47A79" w:rsidRDefault="00940A02" w:rsidP="00882822">
      <w:pPr>
        <w:rPr>
          <w:rFonts w:cstheme="minorHAnsi"/>
          <w:color w:val="222222"/>
          <w:sz w:val="24"/>
          <w:szCs w:val="24"/>
          <w:shd w:val="clear" w:color="auto" w:fill="FFFFFF"/>
        </w:rPr>
      </w:pPr>
      <w:r w:rsidRPr="00A47A79">
        <w:rPr>
          <w:rFonts w:cstheme="minorHAnsi"/>
          <w:sz w:val="24"/>
          <w:szCs w:val="24"/>
        </w:rPr>
        <w:t xml:space="preserve">The bank’s primary source of income is the interest income, which has grown at an increasing rate as can be seen from the graph below. Apart from this, </w:t>
      </w:r>
      <w:r w:rsidR="00CD5E37" w:rsidRPr="00A47A79">
        <w:rPr>
          <w:rFonts w:cstheme="minorHAnsi"/>
          <w:color w:val="222222"/>
          <w:sz w:val="24"/>
          <w:szCs w:val="24"/>
          <w:shd w:val="clear" w:color="auto" w:fill="FFFFFF"/>
        </w:rPr>
        <w:t>SBI posted a net profit of Rs 838 crore in the March quarter against a loss of Rs 7,718 crore in the year earlier.</w:t>
      </w:r>
    </w:p>
    <w:p w14:paraId="34529BD1" w14:textId="68653DD2" w:rsidR="00940A02" w:rsidRPr="00A47A79" w:rsidRDefault="00940A02" w:rsidP="00882822">
      <w:pPr>
        <w:rPr>
          <w:rFonts w:cstheme="minorHAnsi"/>
          <w:color w:val="222222"/>
          <w:sz w:val="24"/>
          <w:szCs w:val="24"/>
          <w:shd w:val="clear" w:color="auto" w:fill="FFFFFF"/>
        </w:rPr>
      </w:pPr>
      <w:proofErr w:type="gramStart"/>
      <w:r w:rsidRPr="00A47A79">
        <w:rPr>
          <w:rFonts w:cstheme="minorHAnsi"/>
          <w:color w:val="222222"/>
          <w:sz w:val="24"/>
          <w:szCs w:val="24"/>
          <w:shd w:val="clear" w:color="auto" w:fill="FFFFFF"/>
        </w:rPr>
        <w:t>However</w:t>
      </w:r>
      <w:proofErr w:type="gramEnd"/>
      <w:r w:rsidRPr="00A47A79">
        <w:rPr>
          <w:rFonts w:cstheme="minorHAnsi"/>
          <w:color w:val="222222"/>
          <w:sz w:val="24"/>
          <w:szCs w:val="24"/>
          <w:shd w:val="clear" w:color="auto" w:fill="FFFFFF"/>
        </w:rPr>
        <w:t xml:space="preserve"> it can be seen that the net profit has more or less remained unchanged until the annual year of 2019.</w:t>
      </w:r>
    </w:p>
    <w:p w14:paraId="57C7C49D" w14:textId="0D9230DE" w:rsidR="00D65794" w:rsidRDefault="00CD5E37" w:rsidP="008A3F5A">
      <w:pPr>
        <w:jc w:val="center"/>
        <w:rPr>
          <w:b/>
          <w:bCs/>
          <w:sz w:val="24"/>
          <w:szCs w:val="24"/>
          <w:u w:val="single"/>
        </w:rPr>
      </w:pPr>
      <w:r w:rsidRPr="00A47A79">
        <w:rPr>
          <w:noProof/>
          <w:sz w:val="24"/>
          <w:szCs w:val="24"/>
        </w:rPr>
        <w:drawing>
          <wp:inline distT="0" distB="0" distL="0" distR="0" wp14:anchorId="65536065" wp14:editId="0DB893B8">
            <wp:extent cx="3680460" cy="2080260"/>
            <wp:effectExtent l="0" t="0" r="15240" b="15240"/>
            <wp:docPr id="6" name="Chart 6">
              <a:extLst xmlns:a="http://schemas.openxmlformats.org/drawingml/2006/main">
                <a:ext uri="{FF2B5EF4-FFF2-40B4-BE49-F238E27FC236}">
                  <a16:creationId xmlns:a16="http://schemas.microsoft.com/office/drawing/2014/main" id="{706F5F1C-5D10-4878-9587-553449DC80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696042" w14:textId="77777777" w:rsidR="00A47A79" w:rsidRPr="00A47A79" w:rsidRDefault="00A47A79" w:rsidP="00882822">
      <w:pPr>
        <w:rPr>
          <w:b/>
          <w:bCs/>
          <w:sz w:val="24"/>
          <w:szCs w:val="24"/>
          <w:u w:val="single"/>
        </w:rPr>
      </w:pPr>
    </w:p>
    <w:p w14:paraId="7D07B136" w14:textId="77777777" w:rsidR="00C17B7B" w:rsidRPr="00A47A79" w:rsidRDefault="00C17B7B" w:rsidP="00C17B7B">
      <w:pPr>
        <w:rPr>
          <w:b/>
          <w:bCs/>
          <w:sz w:val="24"/>
          <w:szCs w:val="24"/>
          <w:u w:val="single"/>
        </w:rPr>
      </w:pPr>
      <w:r w:rsidRPr="00A47A79">
        <w:rPr>
          <w:b/>
          <w:bCs/>
          <w:sz w:val="24"/>
          <w:szCs w:val="24"/>
          <w:u w:val="single"/>
        </w:rPr>
        <w:t xml:space="preserve">KEY FINANCIAL </w:t>
      </w:r>
      <w:proofErr w:type="gramStart"/>
      <w:r w:rsidRPr="00A47A79">
        <w:rPr>
          <w:b/>
          <w:bCs/>
          <w:sz w:val="24"/>
          <w:szCs w:val="24"/>
          <w:u w:val="single"/>
        </w:rPr>
        <w:t>METRICS:-</w:t>
      </w:r>
      <w:proofErr w:type="gramEnd"/>
    </w:p>
    <w:p w14:paraId="2B266DBD" w14:textId="77777777" w:rsidR="00C17B7B" w:rsidRPr="00A47A79" w:rsidRDefault="00C17B7B" w:rsidP="00C17B7B">
      <w:pPr>
        <w:rPr>
          <w:sz w:val="24"/>
          <w:szCs w:val="24"/>
        </w:rPr>
      </w:pPr>
      <w:r w:rsidRPr="00A47A79">
        <w:rPr>
          <w:b/>
          <w:bCs/>
          <w:sz w:val="24"/>
          <w:szCs w:val="24"/>
        </w:rPr>
        <w:t xml:space="preserve">Return on </w:t>
      </w:r>
      <w:proofErr w:type="gramStart"/>
      <w:r w:rsidRPr="00A47A79">
        <w:rPr>
          <w:b/>
          <w:bCs/>
          <w:sz w:val="24"/>
          <w:szCs w:val="24"/>
        </w:rPr>
        <w:t>Assets</w:t>
      </w:r>
      <w:r w:rsidRPr="00A47A79">
        <w:rPr>
          <w:sz w:val="24"/>
          <w:szCs w:val="24"/>
        </w:rPr>
        <w:t xml:space="preserve"> :</w:t>
      </w:r>
      <w:proofErr w:type="gramEnd"/>
      <w:r w:rsidRPr="00A47A79">
        <w:rPr>
          <w:sz w:val="24"/>
          <w:szCs w:val="24"/>
        </w:rPr>
        <w:t xml:space="preserve"> The bank has recorded consistent growth in ROA. Below is the comparison of SBI’s ROA with 3 other public sectors banks.</w:t>
      </w:r>
    </w:p>
    <w:p w14:paraId="3E15E0FE" w14:textId="0F01A16B" w:rsidR="00940A02" w:rsidRPr="00A47A79" w:rsidRDefault="00940A02" w:rsidP="00882822">
      <w:pPr>
        <w:rPr>
          <w:b/>
          <w:bCs/>
          <w:sz w:val="24"/>
          <w:szCs w:val="24"/>
          <w:u w:val="single"/>
        </w:rPr>
      </w:pPr>
    </w:p>
    <w:p w14:paraId="649A1678" w14:textId="335A49E7" w:rsidR="00FB591F" w:rsidRPr="00A47A79" w:rsidRDefault="00FB591F" w:rsidP="008A3F5A">
      <w:pPr>
        <w:jc w:val="center"/>
        <w:rPr>
          <w:sz w:val="24"/>
          <w:szCs w:val="24"/>
        </w:rPr>
      </w:pPr>
      <w:r w:rsidRPr="00A47A79">
        <w:rPr>
          <w:noProof/>
          <w:sz w:val="24"/>
          <w:szCs w:val="24"/>
        </w:rPr>
        <w:lastRenderedPageBreak/>
        <w:drawing>
          <wp:inline distT="0" distB="0" distL="0" distR="0" wp14:anchorId="6695FADA" wp14:editId="22C5608D">
            <wp:extent cx="4572000" cy="2743200"/>
            <wp:effectExtent l="0" t="0" r="0" b="0"/>
            <wp:docPr id="7" name="Chart 7">
              <a:extLst xmlns:a="http://schemas.openxmlformats.org/drawingml/2006/main">
                <a:ext uri="{FF2B5EF4-FFF2-40B4-BE49-F238E27FC236}">
                  <a16:creationId xmlns:a16="http://schemas.microsoft.com/office/drawing/2014/main" id="{A4D24949-E36C-4C72-8D8A-5132235B44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D1EA67" w14:textId="751A2FD5" w:rsidR="00C17B7B" w:rsidRPr="00A47A79" w:rsidRDefault="00C17B7B" w:rsidP="00882822">
      <w:pPr>
        <w:rPr>
          <w:sz w:val="24"/>
          <w:szCs w:val="24"/>
        </w:rPr>
      </w:pPr>
    </w:p>
    <w:p w14:paraId="323FA84F" w14:textId="6197B749" w:rsidR="00B92535" w:rsidRDefault="00C17B7B" w:rsidP="00882822">
      <w:pPr>
        <w:rPr>
          <w:b/>
          <w:bCs/>
          <w:sz w:val="24"/>
          <w:szCs w:val="24"/>
          <w:u w:val="single"/>
        </w:rPr>
      </w:pPr>
      <w:r w:rsidRPr="00A47A79">
        <w:rPr>
          <w:b/>
          <w:bCs/>
          <w:sz w:val="24"/>
          <w:szCs w:val="24"/>
          <w:u w:val="single"/>
        </w:rPr>
        <w:t xml:space="preserve">OTHER </w:t>
      </w:r>
      <w:r w:rsidR="00B92535" w:rsidRPr="00A47A79">
        <w:rPr>
          <w:b/>
          <w:bCs/>
          <w:sz w:val="24"/>
          <w:szCs w:val="24"/>
          <w:u w:val="single"/>
        </w:rPr>
        <w:t xml:space="preserve">KEY </w:t>
      </w:r>
      <w:proofErr w:type="gramStart"/>
      <w:r w:rsidR="00B92535" w:rsidRPr="00A47A79">
        <w:rPr>
          <w:b/>
          <w:bCs/>
          <w:sz w:val="24"/>
          <w:szCs w:val="24"/>
          <w:u w:val="single"/>
        </w:rPr>
        <w:t>RATIOS :</w:t>
      </w:r>
      <w:proofErr w:type="gramEnd"/>
      <w:r w:rsidR="00B92535" w:rsidRPr="00A47A79">
        <w:rPr>
          <w:b/>
          <w:bCs/>
          <w:sz w:val="24"/>
          <w:szCs w:val="24"/>
          <w:u w:val="single"/>
        </w:rPr>
        <w:t>-</w:t>
      </w:r>
    </w:p>
    <w:p w14:paraId="145F47CA" w14:textId="77777777" w:rsidR="00E27F14" w:rsidRPr="00A47A79" w:rsidRDefault="00E27F14" w:rsidP="00882822">
      <w:pPr>
        <w:rPr>
          <w:b/>
          <w:bCs/>
          <w:sz w:val="24"/>
          <w:szCs w:val="24"/>
          <w:u w:val="single"/>
        </w:rPr>
      </w:pPr>
    </w:p>
    <w:tbl>
      <w:tblPr>
        <w:tblStyle w:val="TableGrid"/>
        <w:tblW w:w="0" w:type="auto"/>
        <w:tblLook w:val="04A0" w:firstRow="1" w:lastRow="0" w:firstColumn="1" w:lastColumn="0" w:noHBand="0" w:noVBand="1"/>
      </w:tblPr>
      <w:tblGrid>
        <w:gridCol w:w="2620"/>
        <w:gridCol w:w="1329"/>
        <w:gridCol w:w="1540"/>
      </w:tblGrid>
      <w:tr w:rsidR="00B92535" w:rsidRPr="00B92535" w14:paraId="3AF45EEC" w14:textId="77777777" w:rsidTr="00A64DC3">
        <w:trPr>
          <w:trHeight w:val="288"/>
        </w:trPr>
        <w:tc>
          <w:tcPr>
            <w:tcW w:w="2620" w:type="dxa"/>
            <w:noWrap/>
            <w:hideMark/>
          </w:tcPr>
          <w:p w14:paraId="4F289E2A" w14:textId="77777777" w:rsidR="00B92535" w:rsidRPr="00B92535" w:rsidRDefault="00B92535">
            <w:pPr>
              <w:rPr>
                <w:b/>
                <w:bCs/>
              </w:rPr>
            </w:pPr>
            <w:r w:rsidRPr="00B92535">
              <w:rPr>
                <w:b/>
                <w:bCs/>
              </w:rPr>
              <w:t>earnings per share</w:t>
            </w:r>
          </w:p>
        </w:tc>
        <w:tc>
          <w:tcPr>
            <w:tcW w:w="1329" w:type="dxa"/>
            <w:noWrap/>
            <w:hideMark/>
          </w:tcPr>
          <w:p w14:paraId="64488553" w14:textId="77777777" w:rsidR="00B92535" w:rsidRPr="00B92535" w:rsidRDefault="00B92535">
            <w:pPr>
              <w:rPr>
                <w:b/>
                <w:bCs/>
              </w:rPr>
            </w:pPr>
            <w:proofErr w:type="gramStart"/>
            <w:r w:rsidRPr="00B92535">
              <w:rPr>
                <w:b/>
                <w:bCs/>
              </w:rPr>
              <w:t>EPS(</w:t>
            </w:r>
            <w:proofErr w:type="gramEnd"/>
            <w:r w:rsidRPr="00B92535">
              <w:rPr>
                <w:b/>
                <w:bCs/>
              </w:rPr>
              <w:t>trailing)</w:t>
            </w:r>
          </w:p>
        </w:tc>
        <w:tc>
          <w:tcPr>
            <w:tcW w:w="1540" w:type="dxa"/>
            <w:noWrap/>
            <w:hideMark/>
          </w:tcPr>
          <w:p w14:paraId="4D2FB9B6" w14:textId="77777777" w:rsidR="00B92535" w:rsidRPr="00B92535" w:rsidRDefault="00B92535" w:rsidP="00B92535">
            <w:r w:rsidRPr="00B92535">
              <w:t>0.813594798</w:t>
            </w:r>
          </w:p>
        </w:tc>
      </w:tr>
      <w:tr w:rsidR="00B92535" w:rsidRPr="00B92535" w14:paraId="12AC21DF" w14:textId="77777777" w:rsidTr="00A64DC3">
        <w:trPr>
          <w:trHeight w:val="288"/>
        </w:trPr>
        <w:tc>
          <w:tcPr>
            <w:tcW w:w="2620" w:type="dxa"/>
            <w:noWrap/>
            <w:hideMark/>
          </w:tcPr>
          <w:p w14:paraId="4BEA5B7A" w14:textId="77777777" w:rsidR="00B92535" w:rsidRPr="00B92535" w:rsidRDefault="00B92535">
            <w:pPr>
              <w:rPr>
                <w:b/>
                <w:bCs/>
              </w:rPr>
            </w:pPr>
            <w:r w:rsidRPr="00B92535">
              <w:rPr>
                <w:b/>
                <w:bCs/>
              </w:rPr>
              <w:t>price to earnings ratio</w:t>
            </w:r>
          </w:p>
        </w:tc>
        <w:tc>
          <w:tcPr>
            <w:tcW w:w="1329" w:type="dxa"/>
            <w:noWrap/>
            <w:hideMark/>
          </w:tcPr>
          <w:p w14:paraId="78C425B1" w14:textId="77777777" w:rsidR="00B92535" w:rsidRPr="00B92535" w:rsidRDefault="00B92535">
            <w:pPr>
              <w:rPr>
                <w:b/>
                <w:bCs/>
              </w:rPr>
            </w:pPr>
            <w:r w:rsidRPr="00B92535">
              <w:rPr>
                <w:b/>
                <w:bCs/>
              </w:rPr>
              <w:t>P/E</w:t>
            </w:r>
          </w:p>
        </w:tc>
        <w:tc>
          <w:tcPr>
            <w:tcW w:w="1540" w:type="dxa"/>
            <w:noWrap/>
            <w:hideMark/>
          </w:tcPr>
          <w:p w14:paraId="17E6F75B" w14:textId="77777777" w:rsidR="00B92535" w:rsidRPr="00B92535" w:rsidRDefault="00B92535" w:rsidP="00B92535">
            <w:r w:rsidRPr="00B92535">
              <w:t>214.9718759</w:t>
            </w:r>
          </w:p>
        </w:tc>
      </w:tr>
      <w:tr w:rsidR="00B92535" w:rsidRPr="00B92535" w14:paraId="0C7704DC" w14:textId="77777777" w:rsidTr="00A64DC3">
        <w:trPr>
          <w:trHeight w:val="288"/>
        </w:trPr>
        <w:tc>
          <w:tcPr>
            <w:tcW w:w="2620" w:type="dxa"/>
            <w:noWrap/>
            <w:hideMark/>
          </w:tcPr>
          <w:p w14:paraId="709C2A3F" w14:textId="77777777" w:rsidR="00B92535" w:rsidRPr="00B92535" w:rsidRDefault="00B92535">
            <w:pPr>
              <w:rPr>
                <w:b/>
                <w:bCs/>
              </w:rPr>
            </w:pPr>
            <w:r w:rsidRPr="00B92535">
              <w:rPr>
                <w:b/>
                <w:bCs/>
              </w:rPr>
              <w:t>price to book ratio</w:t>
            </w:r>
          </w:p>
        </w:tc>
        <w:tc>
          <w:tcPr>
            <w:tcW w:w="1329" w:type="dxa"/>
            <w:noWrap/>
            <w:hideMark/>
          </w:tcPr>
          <w:p w14:paraId="320DA29B" w14:textId="77777777" w:rsidR="00B92535" w:rsidRPr="00B92535" w:rsidRDefault="00B92535">
            <w:pPr>
              <w:rPr>
                <w:b/>
                <w:bCs/>
              </w:rPr>
            </w:pPr>
            <w:r w:rsidRPr="00B92535">
              <w:rPr>
                <w:b/>
                <w:bCs/>
              </w:rPr>
              <w:t>P/B</w:t>
            </w:r>
          </w:p>
        </w:tc>
        <w:tc>
          <w:tcPr>
            <w:tcW w:w="1540" w:type="dxa"/>
            <w:noWrap/>
            <w:hideMark/>
          </w:tcPr>
          <w:p w14:paraId="5023E78E" w14:textId="77777777" w:rsidR="00B92535" w:rsidRPr="00B92535" w:rsidRDefault="00B92535" w:rsidP="00B92535">
            <w:r w:rsidRPr="00B92535">
              <w:t>0.79532536</w:t>
            </w:r>
          </w:p>
        </w:tc>
      </w:tr>
      <w:tr w:rsidR="00B92535" w:rsidRPr="00B92535" w14:paraId="1230566C" w14:textId="77777777" w:rsidTr="00A64DC3">
        <w:trPr>
          <w:trHeight w:val="288"/>
        </w:trPr>
        <w:tc>
          <w:tcPr>
            <w:tcW w:w="2620" w:type="dxa"/>
            <w:noWrap/>
            <w:hideMark/>
          </w:tcPr>
          <w:p w14:paraId="4D023055" w14:textId="77777777" w:rsidR="00B92535" w:rsidRPr="00B92535" w:rsidRDefault="00B92535">
            <w:pPr>
              <w:rPr>
                <w:b/>
                <w:bCs/>
              </w:rPr>
            </w:pPr>
            <w:r w:rsidRPr="00B92535">
              <w:rPr>
                <w:b/>
                <w:bCs/>
              </w:rPr>
              <w:t>debt to equity ratio</w:t>
            </w:r>
          </w:p>
        </w:tc>
        <w:tc>
          <w:tcPr>
            <w:tcW w:w="1329" w:type="dxa"/>
            <w:noWrap/>
            <w:hideMark/>
          </w:tcPr>
          <w:p w14:paraId="6805007F" w14:textId="77777777" w:rsidR="00B92535" w:rsidRPr="00B92535" w:rsidRDefault="00B92535">
            <w:pPr>
              <w:rPr>
                <w:b/>
                <w:bCs/>
              </w:rPr>
            </w:pPr>
            <w:r w:rsidRPr="00B92535">
              <w:rPr>
                <w:b/>
                <w:bCs/>
              </w:rPr>
              <w:t>D/E</w:t>
            </w:r>
          </w:p>
        </w:tc>
        <w:tc>
          <w:tcPr>
            <w:tcW w:w="1540" w:type="dxa"/>
            <w:noWrap/>
            <w:hideMark/>
          </w:tcPr>
          <w:p w14:paraId="22F0FD40" w14:textId="77777777" w:rsidR="00B92535" w:rsidRPr="00B92535" w:rsidRDefault="00B92535" w:rsidP="00B92535">
            <w:r w:rsidRPr="00B92535">
              <w:t>106.514708</w:t>
            </w:r>
          </w:p>
        </w:tc>
      </w:tr>
      <w:tr w:rsidR="00B92535" w:rsidRPr="00B92535" w14:paraId="1FA3E366" w14:textId="77777777" w:rsidTr="00A64DC3">
        <w:trPr>
          <w:trHeight w:val="288"/>
        </w:trPr>
        <w:tc>
          <w:tcPr>
            <w:tcW w:w="2620" w:type="dxa"/>
            <w:noWrap/>
            <w:hideMark/>
          </w:tcPr>
          <w:p w14:paraId="63701C5D" w14:textId="77777777" w:rsidR="00B92535" w:rsidRPr="00B92535" w:rsidRDefault="00B92535">
            <w:pPr>
              <w:rPr>
                <w:b/>
                <w:bCs/>
              </w:rPr>
            </w:pPr>
            <w:r w:rsidRPr="00B92535">
              <w:rPr>
                <w:b/>
                <w:bCs/>
              </w:rPr>
              <w:t>return on equity</w:t>
            </w:r>
          </w:p>
        </w:tc>
        <w:tc>
          <w:tcPr>
            <w:tcW w:w="1329" w:type="dxa"/>
            <w:noWrap/>
            <w:hideMark/>
          </w:tcPr>
          <w:p w14:paraId="5EFCFF4A" w14:textId="77777777" w:rsidR="00B92535" w:rsidRPr="00B92535" w:rsidRDefault="00B92535">
            <w:pPr>
              <w:rPr>
                <w:b/>
                <w:bCs/>
              </w:rPr>
            </w:pPr>
            <w:r w:rsidRPr="00B92535">
              <w:rPr>
                <w:b/>
                <w:bCs/>
              </w:rPr>
              <w:t>ROE</w:t>
            </w:r>
          </w:p>
        </w:tc>
        <w:tc>
          <w:tcPr>
            <w:tcW w:w="1540" w:type="dxa"/>
            <w:noWrap/>
            <w:hideMark/>
          </w:tcPr>
          <w:p w14:paraId="2ADA9C1E" w14:textId="77777777" w:rsidR="00B92535" w:rsidRPr="00B92535" w:rsidRDefault="00B92535" w:rsidP="00B92535">
            <w:r w:rsidRPr="00B92535">
              <w:t>0.10696939</w:t>
            </w:r>
          </w:p>
        </w:tc>
      </w:tr>
      <w:tr w:rsidR="00B92535" w:rsidRPr="00B92535" w14:paraId="1BADD8CC" w14:textId="77777777" w:rsidTr="00A64DC3">
        <w:trPr>
          <w:trHeight w:val="288"/>
        </w:trPr>
        <w:tc>
          <w:tcPr>
            <w:tcW w:w="2620" w:type="dxa"/>
            <w:noWrap/>
            <w:hideMark/>
          </w:tcPr>
          <w:p w14:paraId="6D5771E1" w14:textId="77777777" w:rsidR="00B92535" w:rsidRPr="00B92535" w:rsidRDefault="00B92535">
            <w:pPr>
              <w:rPr>
                <w:b/>
                <w:bCs/>
              </w:rPr>
            </w:pPr>
            <w:r w:rsidRPr="00B92535">
              <w:rPr>
                <w:b/>
                <w:bCs/>
              </w:rPr>
              <w:t>price to sales ratio</w:t>
            </w:r>
          </w:p>
        </w:tc>
        <w:tc>
          <w:tcPr>
            <w:tcW w:w="1329" w:type="dxa"/>
            <w:noWrap/>
            <w:hideMark/>
          </w:tcPr>
          <w:p w14:paraId="4EB8BCEC" w14:textId="77777777" w:rsidR="00B92535" w:rsidRPr="00B92535" w:rsidRDefault="00B92535">
            <w:pPr>
              <w:rPr>
                <w:b/>
                <w:bCs/>
              </w:rPr>
            </w:pPr>
            <w:r w:rsidRPr="00B92535">
              <w:rPr>
                <w:b/>
                <w:bCs/>
              </w:rPr>
              <w:t>P/S</w:t>
            </w:r>
          </w:p>
        </w:tc>
        <w:tc>
          <w:tcPr>
            <w:tcW w:w="1540" w:type="dxa"/>
            <w:noWrap/>
            <w:hideMark/>
          </w:tcPr>
          <w:p w14:paraId="20349110" w14:textId="77777777" w:rsidR="00B92535" w:rsidRPr="00B92535" w:rsidRDefault="00B92535" w:rsidP="00B92535">
            <w:r w:rsidRPr="00B92535">
              <w:t>1.18</w:t>
            </w:r>
          </w:p>
        </w:tc>
      </w:tr>
      <w:tr w:rsidR="00B92535" w:rsidRPr="00B92535" w14:paraId="676AC340" w14:textId="77777777" w:rsidTr="00A64DC3">
        <w:trPr>
          <w:trHeight w:val="288"/>
        </w:trPr>
        <w:tc>
          <w:tcPr>
            <w:tcW w:w="2620" w:type="dxa"/>
            <w:noWrap/>
            <w:hideMark/>
          </w:tcPr>
          <w:p w14:paraId="7762D69C" w14:textId="77777777" w:rsidR="00B92535" w:rsidRPr="00B92535" w:rsidRDefault="00B92535">
            <w:pPr>
              <w:rPr>
                <w:b/>
                <w:bCs/>
              </w:rPr>
            </w:pPr>
            <w:r w:rsidRPr="00B92535">
              <w:rPr>
                <w:b/>
                <w:bCs/>
              </w:rPr>
              <w:t>current ratio</w:t>
            </w:r>
          </w:p>
        </w:tc>
        <w:tc>
          <w:tcPr>
            <w:tcW w:w="1329" w:type="dxa"/>
            <w:noWrap/>
            <w:hideMark/>
          </w:tcPr>
          <w:p w14:paraId="25D009F9" w14:textId="77777777" w:rsidR="00B92535" w:rsidRPr="00B92535" w:rsidRDefault="00B92535">
            <w:pPr>
              <w:rPr>
                <w:b/>
                <w:bCs/>
              </w:rPr>
            </w:pPr>
            <w:r w:rsidRPr="00B92535">
              <w:rPr>
                <w:b/>
                <w:bCs/>
              </w:rPr>
              <w:t>CR</w:t>
            </w:r>
          </w:p>
        </w:tc>
        <w:tc>
          <w:tcPr>
            <w:tcW w:w="1540" w:type="dxa"/>
            <w:noWrap/>
            <w:hideMark/>
          </w:tcPr>
          <w:p w14:paraId="391B4D21" w14:textId="77777777" w:rsidR="00B92535" w:rsidRPr="00B92535" w:rsidRDefault="00B92535" w:rsidP="00B92535">
            <w:r w:rsidRPr="00B92535">
              <w:t>18.37049677</w:t>
            </w:r>
          </w:p>
        </w:tc>
      </w:tr>
      <w:tr w:rsidR="00B92535" w:rsidRPr="00B92535" w14:paraId="5CFEA107" w14:textId="77777777" w:rsidTr="00A64DC3">
        <w:trPr>
          <w:trHeight w:val="288"/>
        </w:trPr>
        <w:tc>
          <w:tcPr>
            <w:tcW w:w="2620" w:type="dxa"/>
            <w:noWrap/>
            <w:hideMark/>
          </w:tcPr>
          <w:p w14:paraId="05D16D68" w14:textId="77777777" w:rsidR="00B92535" w:rsidRPr="00B92535" w:rsidRDefault="00B92535">
            <w:pPr>
              <w:rPr>
                <w:b/>
                <w:bCs/>
              </w:rPr>
            </w:pPr>
            <w:r w:rsidRPr="00B92535">
              <w:rPr>
                <w:b/>
                <w:bCs/>
              </w:rPr>
              <w:t>dividend yield</w:t>
            </w:r>
          </w:p>
        </w:tc>
        <w:tc>
          <w:tcPr>
            <w:tcW w:w="1329" w:type="dxa"/>
            <w:noWrap/>
            <w:hideMark/>
          </w:tcPr>
          <w:p w14:paraId="4E5EEB9F" w14:textId="77777777" w:rsidR="00B92535" w:rsidRPr="00B92535" w:rsidRDefault="00B92535">
            <w:pPr>
              <w:rPr>
                <w:b/>
                <w:bCs/>
              </w:rPr>
            </w:pPr>
            <w:r w:rsidRPr="00B92535">
              <w:rPr>
                <w:b/>
                <w:bCs/>
              </w:rPr>
              <w:t>div yield</w:t>
            </w:r>
          </w:p>
        </w:tc>
        <w:tc>
          <w:tcPr>
            <w:tcW w:w="1540" w:type="dxa"/>
            <w:noWrap/>
            <w:hideMark/>
          </w:tcPr>
          <w:p w14:paraId="2A821F7C" w14:textId="77777777" w:rsidR="00B92535" w:rsidRPr="00B92535" w:rsidRDefault="00B92535" w:rsidP="00B92535">
            <w:r w:rsidRPr="00B92535">
              <w:t>0</w:t>
            </w:r>
          </w:p>
        </w:tc>
      </w:tr>
    </w:tbl>
    <w:p w14:paraId="051292B1" w14:textId="77777777" w:rsidR="00BE0388" w:rsidRDefault="00BE0388" w:rsidP="00882822">
      <w:pPr>
        <w:rPr>
          <w:rFonts w:cstheme="minorHAnsi"/>
          <w:color w:val="282828"/>
          <w:sz w:val="28"/>
          <w:szCs w:val="28"/>
          <w:shd w:val="clear" w:color="auto" w:fill="FFFFFF"/>
        </w:rPr>
      </w:pPr>
    </w:p>
    <w:p w14:paraId="068CC615" w14:textId="092E931E" w:rsidR="00E27F14" w:rsidRDefault="008A3F5A" w:rsidP="008A3F5A">
      <w:pPr>
        <w:rPr>
          <w:rFonts w:cstheme="minorHAnsi"/>
          <w:color w:val="282828"/>
          <w:sz w:val="24"/>
          <w:szCs w:val="24"/>
          <w:shd w:val="clear" w:color="auto" w:fill="FFFFFF"/>
        </w:rPr>
      </w:pPr>
      <w:r>
        <w:rPr>
          <w:noProof/>
        </w:rPr>
        <w:drawing>
          <wp:inline distT="0" distB="0" distL="0" distR="0" wp14:anchorId="4F7A66FB" wp14:editId="24924E35">
            <wp:extent cx="4838700" cy="2423160"/>
            <wp:effectExtent l="0" t="0" r="0" b="15240"/>
            <wp:docPr id="3" name="Chart 3">
              <a:extLst xmlns:a="http://schemas.openxmlformats.org/drawingml/2006/main">
                <a:ext uri="{FF2B5EF4-FFF2-40B4-BE49-F238E27FC236}">
                  <a16:creationId xmlns:a16="http://schemas.microsoft.com/office/drawing/2014/main" id="{F6170C1F-972C-479E-BA47-38C4A8043E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3B65FD9" w14:textId="77777777" w:rsidR="008A3F5A" w:rsidRDefault="008A3F5A" w:rsidP="008A3F5A">
      <w:pPr>
        <w:rPr>
          <w:rFonts w:cstheme="minorHAnsi"/>
          <w:color w:val="282828"/>
          <w:sz w:val="24"/>
          <w:szCs w:val="24"/>
          <w:shd w:val="clear" w:color="auto" w:fill="FFFFFF"/>
        </w:rPr>
      </w:pPr>
      <w:r w:rsidRPr="00A47A79">
        <w:rPr>
          <w:rFonts w:cstheme="minorHAnsi"/>
          <w:color w:val="282828"/>
          <w:sz w:val="24"/>
          <w:szCs w:val="24"/>
          <w:shd w:val="clear" w:color="auto" w:fill="FFFFFF"/>
        </w:rPr>
        <w:t>SBI's overall Capital Adequacy Ratio (CAR), as on March 31, 2020, stood at 13.06 per cent, with CET (common equity tier)-I capital at 9.77 per cent.</w:t>
      </w:r>
    </w:p>
    <w:p w14:paraId="5ACE9EFE" w14:textId="77777777" w:rsidR="008A3F5A" w:rsidRPr="00A47A79" w:rsidRDefault="008A3F5A" w:rsidP="00882822">
      <w:pPr>
        <w:rPr>
          <w:rFonts w:cstheme="minorHAnsi"/>
          <w:color w:val="282828"/>
          <w:sz w:val="24"/>
          <w:szCs w:val="24"/>
          <w:shd w:val="clear" w:color="auto" w:fill="FFFFFF"/>
        </w:rPr>
      </w:pPr>
    </w:p>
    <w:p w14:paraId="67965846" w14:textId="235A00C8" w:rsidR="00BE0388" w:rsidRPr="00A47A79" w:rsidRDefault="00BE0388" w:rsidP="00882822">
      <w:pPr>
        <w:rPr>
          <w:rFonts w:cstheme="minorHAnsi"/>
          <w:b/>
          <w:bCs/>
          <w:color w:val="282828"/>
          <w:sz w:val="24"/>
          <w:szCs w:val="24"/>
          <w:u w:val="single"/>
          <w:shd w:val="clear" w:color="auto" w:fill="FFFFFF"/>
        </w:rPr>
      </w:pPr>
      <w:r w:rsidRPr="00A47A79">
        <w:rPr>
          <w:rFonts w:cstheme="minorHAnsi"/>
          <w:b/>
          <w:bCs/>
          <w:color w:val="282828"/>
          <w:sz w:val="24"/>
          <w:szCs w:val="24"/>
          <w:u w:val="single"/>
          <w:shd w:val="clear" w:color="auto" w:fill="FFFFFF"/>
        </w:rPr>
        <w:t xml:space="preserve">COVID-19 Impact on Public Sector </w:t>
      </w:r>
      <w:proofErr w:type="gramStart"/>
      <w:r w:rsidRPr="00A47A79">
        <w:rPr>
          <w:rFonts w:cstheme="minorHAnsi"/>
          <w:b/>
          <w:bCs/>
          <w:color w:val="282828"/>
          <w:sz w:val="24"/>
          <w:szCs w:val="24"/>
          <w:u w:val="single"/>
          <w:shd w:val="clear" w:color="auto" w:fill="FFFFFF"/>
        </w:rPr>
        <w:t>Banks :</w:t>
      </w:r>
      <w:proofErr w:type="gramEnd"/>
      <w:r w:rsidRPr="00A47A79">
        <w:rPr>
          <w:rFonts w:cstheme="minorHAnsi"/>
          <w:b/>
          <w:bCs/>
          <w:color w:val="282828"/>
          <w:sz w:val="24"/>
          <w:szCs w:val="24"/>
          <w:u w:val="single"/>
          <w:shd w:val="clear" w:color="auto" w:fill="FFFFFF"/>
        </w:rPr>
        <w:t>-</w:t>
      </w:r>
    </w:p>
    <w:p w14:paraId="4EDCC23C" w14:textId="4756B1B0" w:rsidR="00BE0388" w:rsidRPr="00A47A79" w:rsidRDefault="00BE0388" w:rsidP="00882822">
      <w:pPr>
        <w:rPr>
          <w:rFonts w:cstheme="minorHAnsi"/>
          <w:color w:val="333333"/>
          <w:sz w:val="24"/>
          <w:szCs w:val="24"/>
          <w:shd w:val="clear" w:color="auto" w:fill="FFFFFF"/>
        </w:rPr>
      </w:pPr>
      <w:r w:rsidRPr="00A47A79">
        <w:rPr>
          <w:rFonts w:cstheme="minorHAnsi"/>
          <w:color w:val="333333"/>
          <w:sz w:val="24"/>
          <w:szCs w:val="24"/>
          <w:shd w:val="clear" w:color="auto" w:fill="FFFFFF"/>
        </w:rPr>
        <w:t xml:space="preserve">The public sector banks had started recovering in the third quarter after returning to profitability 2019-20 </w:t>
      </w:r>
      <w:proofErr w:type="gramStart"/>
      <w:r w:rsidRPr="00A47A79">
        <w:rPr>
          <w:rFonts w:cstheme="minorHAnsi"/>
          <w:color w:val="333333"/>
          <w:sz w:val="24"/>
          <w:szCs w:val="24"/>
          <w:shd w:val="clear" w:color="auto" w:fill="FFFFFF"/>
        </w:rPr>
        <w:t>and  were</w:t>
      </w:r>
      <w:proofErr w:type="gramEnd"/>
      <w:r w:rsidRPr="00A47A79">
        <w:rPr>
          <w:rFonts w:cstheme="minorHAnsi"/>
          <w:color w:val="333333"/>
          <w:sz w:val="24"/>
          <w:szCs w:val="24"/>
          <w:shd w:val="clear" w:color="auto" w:fill="FFFFFF"/>
        </w:rPr>
        <w:t xml:space="preserve"> looking at posting better numbers for the fourth quarter. However, the </w:t>
      </w:r>
      <w:hyperlink r:id="rId15" w:history="1">
        <w:r w:rsidRPr="00A47A79">
          <w:rPr>
            <w:rStyle w:val="Hyperlink"/>
            <w:rFonts w:cstheme="minorHAnsi"/>
            <w:color w:val="2B6DAD"/>
            <w:sz w:val="24"/>
            <w:szCs w:val="24"/>
            <w:shd w:val="clear" w:color="auto" w:fill="FFFFFF"/>
          </w:rPr>
          <w:t>coronavirus</w:t>
        </w:r>
      </w:hyperlink>
      <w:r w:rsidRPr="00A47A79">
        <w:rPr>
          <w:rFonts w:cstheme="minorHAnsi"/>
          <w:color w:val="333333"/>
          <w:sz w:val="24"/>
          <w:szCs w:val="24"/>
          <w:shd w:val="clear" w:color="auto" w:fill="FFFFFF"/>
        </w:rPr>
        <w:t> outbreak, which was first reported on December 31, 2019, when the third fiscal ended, has dashed those hopes. Instead, banks are staring at losses as the crisis has worsened and the ten-day lockdown is set to engulf all sectors.</w:t>
      </w:r>
    </w:p>
    <w:p w14:paraId="01ED62ED" w14:textId="6584B9AE" w:rsidR="00E27F14" w:rsidRDefault="00BE0388" w:rsidP="00882822">
      <w:pPr>
        <w:rPr>
          <w:rFonts w:cstheme="minorHAnsi"/>
          <w:color w:val="333333"/>
          <w:sz w:val="24"/>
          <w:szCs w:val="24"/>
          <w:shd w:val="clear" w:color="auto" w:fill="FFFFFF"/>
        </w:rPr>
      </w:pPr>
      <w:r w:rsidRPr="00A47A79">
        <w:rPr>
          <w:rFonts w:cstheme="minorHAnsi"/>
          <w:color w:val="333333"/>
          <w:sz w:val="24"/>
          <w:szCs w:val="24"/>
          <w:shd w:val="clear" w:color="auto" w:fill="FFFFFF"/>
        </w:rPr>
        <w:t>SBI being a major catalyst in provision of loans to various sectors like MSME’S, Hospitality</w:t>
      </w:r>
      <w:r w:rsidR="00A47A79" w:rsidRPr="00A47A79">
        <w:rPr>
          <w:rFonts w:cstheme="minorHAnsi"/>
          <w:color w:val="333333"/>
          <w:sz w:val="24"/>
          <w:szCs w:val="24"/>
          <w:shd w:val="clear" w:color="auto" w:fill="FFFFFF"/>
        </w:rPr>
        <w:t>, Airlines has been directly impacted by this global pandemic.</w:t>
      </w:r>
    </w:p>
    <w:p w14:paraId="2FD43EC0" w14:textId="77777777" w:rsidR="008A3F5A" w:rsidRPr="008A3F5A" w:rsidRDefault="008A3F5A" w:rsidP="00882822">
      <w:pPr>
        <w:rPr>
          <w:rFonts w:cstheme="minorHAnsi"/>
          <w:color w:val="333333"/>
          <w:sz w:val="24"/>
          <w:szCs w:val="24"/>
          <w:shd w:val="clear" w:color="auto" w:fill="FFFFFF"/>
        </w:rPr>
      </w:pPr>
    </w:p>
    <w:p w14:paraId="7FCB32D0" w14:textId="0F7BD766" w:rsidR="00C17B7B" w:rsidRPr="00A47A79" w:rsidRDefault="00A64DC3" w:rsidP="00882822">
      <w:pPr>
        <w:rPr>
          <w:rFonts w:cstheme="minorHAnsi"/>
          <w:b/>
          <w:bCs/>
          <w:sz w:val="24"/>
          <w:szCs w:val="24"/>
          <w:u w:val="single"/>
        </w:rPr>
      </w:pPr>
      <w:r w:rsidRPr="00A47A79">
        <w:rPr>
          <w:rFonts w:cstheme="minorHAnsi"/>
          <w:b/>
          <w:bCs/>
          <w:sz w:val="24"/>
          <w:szCs w:val="24"/>
          <w:u w:val="single"/>
        </w:rPr>
        <w:t>COVID</w:t>
      </w:r>
      <w:r w:rsidR="00BE0388" w:rsidRPr="00A47A79">
        <w:rPr>
          <w:rFonts w:cstheme="minorHAnsi"/>
          <w:b/>
          <w:bCs/>
          <w:sz w:val="24"/>
          <w:szCs w:val="24"/>
          <w:u w:val="single"/>
        </w:rPr>
        <w:t>-19</w:t>
      </w:r>
      <w:r w:rsidRPr="00A47A79">
        <w:rPr>
          <w:rFonts w:cstheme="minorHAnsi"/>
          <w:b/>
          <w:bCs/>
          <w:sz w:val="24"/>
          <w:szCs w:val="24"/>
          <w:u w:val="single"/>
        </w:rPr>
        <w:t xml:space="preserve"> Measure</w:t>
      </w:r>
      <w:r w:rsidR="00BE0388" w:rsidRPr="00A47A79">
        <w:rPr>
          <w:rFonts w:cstheme="minorHAnsi"/>
          <w:b/>
          <w:bCs/>
          <w:sz w:val="24"/>
          <w:szCs w:val="24"/>
          <w:u w:val="single"/>
        </w:rPr>
        <w:t>s taken</w:t>
      </w:r>
      <w:r w:rsidRPr="00A47A79">
        <w:rPr>
          <w:rFonts w:cstheme="minorHAnsi"/>
          <w:b/>
          <w:bCs/>
          <w:sz w:val="24"/>
          <w:szCs w:val="24"/>
          <w:u w:val="single"/>
        </w:rPr>
        <w:t xml:space="preserve"> by </w:t>
      </w:r>
      <w:proofErr w:type="gramStart"/>
      <w:r w:rsidR="00BE0388" w:rsidRPr="00A47A79">
        <w:rPr>
          <w:rFonts w:cstheme="minorHAnsi"/>
          <w:b/>
          <w:bCs/>
          <w:sz w:val="24"/>
          <w:szCs w:val="24"/>
          <w:u w:val="single"/>
        </w:rPr>
        <w:t>SBI</w:t>
      </w:r>
      <w:r w:rsidRPr="00A47A79">
        <w:rPr>
          <w:rFonts w:cstheme="minorHAnsi"/>
          <w:b/>
          <w:bCs/>
          <w:sz w:val="24"/>
          <w:szCs w:val="24"/>
          <w:u w:val="single"/>
        </w:rPr>
        <w:t xml:space="preserve"> :</w:t>
      </w:r>
      <w:proofErr w:type="gramEnd"/>
      <w:r w:rsidRPr="00A47A79">
        <w:rPr>
          <w:rFonts w:cstheme="minorHAnsi"/>
          <w:b/>
          <w:bCs/>
          <w:sz w:val="24"/>
          <w:szCs w:val="24"/>
          <w:u w:val="single"/>
        </w:rPr>
        <w:t>-</w:t>
      </w:r>
    </w:p>
    <w:p w14:paraId="5F81B3F5" w14:textId="77777777" w:rsidR="00A47A79" w:rsidRPr="00A47A79" w:rsidRDefault="00CF49F5" w:rsidP="00BE0388">
      <w:pPr>
        <w:pStyle w:val="ListParagraph"/>
        <w:numPr>
          <w:ilvl w:val="0"/>
          <w:numId w:val="1"/>
        </w:numPr>
        <w:rPr>
          <w:rFonts w:cstheme="minorHAnsi"/>
          <w:sz w:val="24"/>
          <w:szCs w:val="24"/>
        </w:rPr>
      </w:pPr>
      <w:hyperlink r:id="rId16" w:tgtFrame="_blank" w:history="1">
        <w:r w:rsidR="00A64DC3" w:rsidRPr="00A47A79">
          <w:rPr>
            <w:rStyle w:val="Hyperlink"/>
            <w:rFonts w:cstheme="minorHAnsi"/>
            <w:color w:val="auto"/>
            <w:sz w:val="24"/>
            <w:szCs w:val="24"/>
            <w:u w:val="none"/>
            <w:shd w:val="clear" w:color="auto" w:fill="FFFFFF"/>
          </w:rPr>
          <w:t>State Bank of India </w:t>
        </w:r>
      </w:hyperlink>
      <w:r w:rsidR="00A64DC3" w:rsidRPr="00A47A79">
        <w:rPr>
          <w:rFonts w:cstheme="minorHAnsi"/>
          <w:sz w:val="24"/>
          <w:szCs w:val="24"/>
          <w:shd w:val="clear" w:color="auto" w:fill="FFFFFF"/>
        </w:rPr>
        <w:t xml:space="preserve">(SBI), the country’s largest lender, kept its 22,000-strong branch network and nearly 60,000 automated teller machines (ATMs) functional during the lockdown. </w:t>
      </w:r>
    </w:p>
    <w:p w14:paraId="00E2D59D" w14:textId="7DAA9774" w:rsidR="00E27F14" w:rsidRPr="00E27F14" w:rsidRDefault="00A64DC3" w:rsidP="00E27F14">
      <w:pPr>
        <w:pStyle w:val="ListParagraph"/>
        <w:numPr>
          <w:ilvl w:val="0"/>
          <w:numId w:val="1"/>
        </w:numPr>
        <w:rPr>
          <w:rFonts w:cstheme="minorHAnsi"/>
          <w:sz w:val="24"/>
          <w:szCs w:val="24"/>
        </w:rPr>
      </w:pPr>
      <w:r w:rsidRPr="00A47A79">
        <w:rPr>
          <w:rFonts w:cstheme="minorHAnsi"/>
          <w:sz w:val="24"/>
          <w:szCs w:val="24"/>
          <w:shd w:val="clear" w:color="auto" w:fill="FFFFFF"/>
        </w:rPr>
        <w:t>It also went online to reach out to its customers, with top officials directly connected with customers to explain a range of products that the government introduced as part of its stimulus packages.</w:t>
      </w:r>
    </w:p>
    <w:p w14:paraId="5D1F6815" w14:textId="18E8DD20" w:rsidR="00E27F14" w:rsidRDefault="00E27F14" w:rsidP="00E27F14">
      <w:pPr>
        <w:rPr>
          <w:rFonts w:cstheme="minorHAnsi"/>
          <w:sz w:val="24"/>
          <w:szCs w:val="24"/>
        </w:rPr>
      </w:pPr>
    </w:p>
    <w:p w14:paraId="3877D2E4" w14:textId="4E060D0F" w:rsidR="00E27F14" w:rsidRPr="008A3F5A" w:rsidRDefault="00E27F14" w:rsidP="00E27F14">
      <w:pPr>
        <w:rPr>
          <w:rFonts w:cstheme="minorHAnsi"/>
          <w:b/>
          <w:bCs/>
          <w:sz w:val="24"/>
          <w:szCs w:val="24"/>
        </w:rPr>
      </w:pPr>
      <w:proofErr w:type="gramStart"/>
      <w:r w:rsidRPr="008A3F5A">
        <w:rPr>
          <w:rFonts w:cstheme="minorHAnsi"/>
          <w:b/>
          <w:bCs/>
          <w:sz w:val="24"/>
          <w:szCs w:val="24"/>
        </w:rPr>
        <w:t>Overview :</w:t>
      </w:r>
      <w:proofErr w:type="gramEnd"/>
      <w:r w:rsidRPr="008A3F5A">
        <w:rPr>
          <w:rFonts w:cstheme="minorHAnsi"/>
          <w:b/>
          <w:bCs/>
          <w:sz w:val="24"/>
          <w:szCs w:val="24"/>
        </w:rPr>
        <w:t>-</w:t>
      </w:r>
    </w:p>
    <w:p w14:paraId="562E8373" w14:textId="5175C917" w:rsidR="00BE2756" w:rsidRPr="00BE2756" w:rsidRDefault="00E27F14" w:rsidP="00E27F14">
      <w:pPr>
        <w:rPr>
          <w:rFonts w:cstheme="minorHAnsi"/>
          <w:sz w:val="24"/>
          <w:szCs w:val="24"/>
          <w:shd w:val="clear" w:color="auto" w:fill="FFFFFF"/>
        </w:rPr>
      </w:pPr>
      <w:r>
        <w:rPr>
          <w:rFonts w:cstheme="minorHAnsi"/>
          <w:sz w:val="24"/>
          <w:szCs w:val="24"/>
        </w:rPr>
        <w:t xml:space="preserve">SBI is a few points above its 52-week low and is expected to recover further. Analysts say it is profitable to </w:t>
      </w:r>
      <w:r w:rsidRPr="00C3590D">
        <w:rPr>
          <w:rFonts w:cstheme="minorHAnsi"/>
          <w:sz w:val="24"/>
          <w:szCs w:val="24"/>
        </w:rPr>
        <w:t xml:space="preserve">invest in SBI share costing Rs.185-Rs.190 to have </w:t>
      </w:r>
      <w:proofErr w:type="gramStart"/>
      <w:r w:rsidRPr="00C3590D">
        <w:rPr>
          <w:rFonts w:cstheme="minorHAnsi"/>
          <w:sz w:val="24"/>
          <w:szCs w:val="24"/>
        </w:rPr>
        <w:t>a</w:t>
      </w:r>
      <w:proofErr w:type="gramEnd"/>
      <w:r w:rsidRPr="00C3590D">
        <w:rPr>
          <w:rFonts w:cstheme="minorHAnsi"/>
          <w:sz w:val="24"/>
          <w:szCs w:val="24"/>
        </w:rPr>
        <w:t xml:space="preserve"> upper hand on the risk-reward </w:t>
      </w:r>
      <w:r w:rsidR="003E3C91" w:rsidRPr="00C3590D">
        <w:rPr>
          <w:rFonts w:cstheme="minorHAnsi"/>
          <w:sz w:val="24"/>
          <w:szCs w:val="24"/>
        </w:rPr>
        <w:t>outcome</w:t>
      </w:r>
      <w:r w:rsidRPr="00C3590D">
        <w:rPr>
          <w:rFonts w:cstheme="minorHAnsi"/>
          <w:sz w:val="24"/>
          <w:szCs w:val="24"/>
        </w:rPr>
        <w:t xml:space="preserve"> of SBI</w:t>
      </w:r>
      <w:r w:rsidR="003E3C91" w:rsidRPr="00C3590D">
        <w:rPr>
          <w:rFonts w:cstheme="minorHAnsi"/>
          <w:sz w:val="24"/>
          <w:szCs w:val="24"/>
        </w:rPr>
        <w:t xml:space="preserve">N. </w:t>
      </w:r>
      <w:r w:rsidR="003E3C91" w:rsidRPr="00C3590D">
        <w:rPr>
          <w:rFonts w:cstheme="minorHAnsi"/>
          <w:sz w:val="24"/>
          <w:szCs w:val="24"/>
          <w:shd w:val="clear" w:color="auto" w:fill="FFFFFF"/>
        </w:rPr>
        <w:t>The 39 reports from 15 analysts offering long term price targets for State Bank of India have an average target of 304.43</w:t>
      </w:r>
      <w:r w:rsidR="00C3590D">
        <w:rPr>
          <w:rFonts w:cstheme="minorHAnsi"/>
          <w:sz w:val="24"/>
          <w:szCs w:val="24"/>
          <w:shd w:val="clear" w:color="auto" w:fill="FFFFFF"/>
        </w:rPr>
        <w:t>. SBI has shown decades-long improvement in financial terms and with some fiscal measures, it is expected to overcome the coronavirus loophole in years to come.</w:t>
      </w:r>
    </w:p>
    <w:p w14:paraId="2E02C61E" w14:textId="77777777" w:rsidR="00A47A79" w:rsidRPr="00C3590D" w:rsidRDefault="00A47A79" w:rsidP="00A47A79">
      <w:pPr>
        <w:rPr>
          <w:rFonts w:cstheme="minorHAnsi"/>
          <w:sz w:val="24"/>
          <w:szCs w:val="24"/>
        </w:rPr>
      </w:pPr>
    </w:p>
    <w:p w14:paraId="55D1559A" w14:textId="612F72E1" w:rsidR="00FB591F" w:rsidRDefault="00BE2756" w:rsidP="00BE2756">
      <w:pPr>
        <w:rPr>
          <w:rFonts w:cstheme="minorHAnsi"/>
          <w:b/>
          <w:bCs/>
          <w:sz w:val="24"/>
          <w:szCs w:val="24"/>
          <w:u w:val="single"/>
        </w:rPr>
      </w:pPr>
      <w:proofErr w:type="gramStart"/>
      <w:r w:rsidRPr="00BE2756">
        <w:rPr>
          <w:rFonts w:cstheme="minorHAnsi"/>
          <w:b/>
          <w:bCs/>
          <w:sz w:val="24"/>
          <w:szCs w:val="24"/>
          <w:u w:val="single"/>
        </w:rPr>
        <w:t>Sources :</w:t>
      </w:r>
      <w:proofErr w:type="gramEnd"/>
    </w:p>
    <w:p w14:paraId="745714E6" w14:textId="44FFE209" w:rsidR="00BE2756" w:rsidRPr="00BE2756" w:rsidRDefault="00BE2756" w:rsidP="00BE2756">
      <w:pPr>
        <w:pStyle w:val="ListParagraph"/>
        <w:numPr>
          <w:ilvl w:val="0"/>
          <w:numId w:val="2"/>
        </w:numPr>
        <w:rPr>
          <w:rFonts w:cstheme="minorHAnsi"/>
          <w:sz w:val="24"/>
          <w:szCs w:val="24"/>
        </w:rPr>
      </w:pPr>
      <w:proofErr w:type="spellStart"/>
      <w:r w:rsidRPr="00BE2756">
        <w:rPr>
          <w:rFonts w:cstheme="minorHAnsi"/>
          <w:sz w:val="24"/>
          <w:szCs w:val="24"/>
        </w:rPr>
        <w:t>MoneyControl</w:t>
      </w:r>
      <w:proofErr w:type="spellEnd"/>
    </w:p>
    <w:p w14:paraId="278F5A13" w14:textId="3F406012" w:rsidR="00BE2756" w:rsidRPr="00BE2756" w:rsidRDefault="00BE2756" w:rsidP="00BE2756">
      <w:pPr>
        <w:pStyle w:val="ListParagraph"/>
        <w:numPr>
          <w:ilvl w:val="0"/>
          <w:numId w:val="2"/>
        </w:numPr>
        <w:rPr>
          <w:rFonts w:cstheme="minorHAnsi"/>
          <w:sz w:val="24"/>
          <w:szCs w:val="24"/>
        </w:rPr>
      </w:pPr>
      <w:r w:rsidRPr="00BE2756">
        <w:rPr>
          <w:rFonts w:cstheme="minorHAnsi"/>
          <w:sz w:val="24"/>
          <w:szCs w:val="24"/>
        </w:rPr>
        <w:t>Investopedia</w:t>
      </w:r>
    </w:p>
    <w:p w14:paraId="23B257A0" w14:textId="4D64E847" w:rsidR="00BE2756" w:rsidRPr="00BE2756" w:rsidRDefault="00BE2756" w:rsidP="00BE2756">
      <w:pPr>
        <w:pStyle w:val="ListParagraph"/>
        <w:numPr>
          <w:ilvl w:val="0"/>
          <w:numId w:val="2"/>
        </w:numPr>
        <w:rPr>
          <w:rFonts w:cstheme="minorHAnsi"/>
          <w:sz w:val="24"/>
          <w:szCs w:val="24"/>
        </w:rPr>
      </w:pPr>
      <w:r w:rsidRPr="00BE2756">
        <w:rPr>
          <w:rFonts w:cstheme="minorHAnsi"/>
          <w:sz w:val="24"/>
          <w:szCs w:val="24"/>
        </w:rPr>
        <w:t xml:space="preserve">Wikipedia </w:t>
      </w:r>
    </w:p>
    <w:p w14:paraId="31636705" w14:textId="4D73F153" w:rsidR="00C3590D" w:rsidRDefault="00C3590D" w:rsidP="00C3590D">
      <w:pPr>
        <w:jc w:val="right"/>
        <w:rPr>
          <w:rFonts w:cstheme="minorHAnsi"/>
          <w:sz w:val="24"/>
          <w:szCs w:val="24"/>
        </w:rPr>
      </w:pPr>
    </w:p>
    <w:p w14:paraId="73FDD411" w14:textId="6BBD84FD" w:rsidR="00C3590D" w:rsidRDefault="00C3590D" w:rsidP="00C3590D">
      <w:pPr>
        <w:jc w:val="right"/>
        <w:rPr>
          <w:rFonts w:cstheme="minorHAnsi"/>
          <w:sz w:val="24"/>
          <w:szCs w:val="24"/>
        </w:rPr>
      </w:pPr>
    </w:p>
    <w:p w14:paraId="60A3BEA4" w14:textId="04D5869A" w:rsidR="00C3590D" w:rsidRDefault="00C3590D" w:rsidP="00C3590D">
      <w:pPr>
        <w:jc w:val="right"/>
        <w:rPr>
          <w:rFonts w:cstheme="minorHAnsi"/>
          <w:sz w:val="24"/>
          <w:szCs w:val="24"/>
        </w:rPr>
      </w:pPr>
    </w:p>
    <w:p w14:paraId="0E998070" w14:textId="31E10EE6" w:rsidR="00C3590D" w:rsidRDefault="00C3590D" w:rsidP="00C3590D">
      <w:pPr>
        <w:jc w:val="right"/>
        <w:rPr>
          <w:rFonts w:cstheme="minorHAnsi"/>
          <w:sz w:val="24"/>
          <w:szCs w:val="24"/>
        </w:rPr>
      </w:pPr>
    </w:p>
    <w:p w14:paraId="0D17FFEA" w14:textId="08FB25BF" w:rsidR="00C3590D" w:rsidRPr="00A47A79" w:rsidRDefault="00C3590D" w:rsidP="008A3F5A">
      <w:pPr>
        <w:jc w:val="right"/>
        <w:rPr>
          <w:rFonts w:cstheme="minorHAnsi"/>
          <w:sz w:val="24"/>
          <w:szCs w:val="24"/>
        </w:rPr>
      </w:pPr>
      <w:r>
        <w:rPr>
          <w:rFonts w:cstheme="minorHAnsi"/>
          <w:sz w:val="24"/>
          <w:szCs w:val="24"/>
        </w:rPr>
        <w:t xml:space="preserve">-by Nimisha </w:t>
      </w:r>
      <w:proofErr w:type="spellStart"/>
      <w:r>
        <w:rPr>
          <w:rFonts w:cstheme="minorHAnsi"/>
          <w:sz w:val="24"/>
          <w:szCs w:val="24"/>
        </w:rPr>
        <w:t>Sharaff</w:t>
      </w:r>
      <w:proofErr w:type="spellEnd"/>
    </w:p>
    <w:sectPr w:rsidR="00C3590D" w:rsidRPr="00A47A79" w:rsidSect="00BE2756">
      <w:headerReference w:type="default" r:id="rId1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D30E8" w14:textId="77777777" w:rsidR="00CF49F5" w:rsidRDefault="00CF49F5" w:rsidP="00BE2756">
      <w:pPr>
        <w:spacing w:after="0" w:line="240" w:lineRule="auto"/>
      </w:pPr>
      <w:r>
        <w:separator/>
      </w:r>
    </w:p>
  </w:endnote>
  <w:endnote w:type="continuationSeparator" w:id="0">
    <w:p w14:paraId="6CEAD594" w14:textId="77777777" w:rsidR="00CF49F5" w:rsidRDefault="00CF49F5" w:rsidP="00BE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CE750" w14:textId="77777777" w:rsidR="00CF49F5" w:rsidRDefault="00CF49F5" w:rsidP="00BE2756">
      <w:pPr>
        <w:spacing w:after="0" w:line="240" w:lineRule="auto"/>
      </w:pPr>
      <w:r>
        <w:separator/>
      </w:r>
    </w:p>
  </w:footnote>
  <w:footnote w:type="continuationSeparator" w:id="0">
    <w:p w14:paraId="787691A6" w14:textId="77777777" w:rsidR="00CF49F5" w:rsidRDefault="00CF49F5" w:rsidP="00BE2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27028" w14:textId="16EF7463" w:rsidR="00BE2756" w:rsidRDefault="00BE2756" w:rsidP="00BE2756">
    <w:pPr>
      <w:pStyle w:val="Header"/>
      <w:jc w:val="right"/>
    </w:pPr>
    <w:r>
      <w:t>Hint2Mint,2020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C4E27"/>
    <w:multiLevelType w:val="hybridMultilevel"/>
    <w:tmpl w:val="E2FC9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C9163F"/>
    <w:multiLevelType w:val="hybridMultilevel"/>
    <w:tmpl w:val="6C52EE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22"/>
    <w:rsid w:val="001E7D36"/>
    <w:rsid w:val="002E6FC8"/>
    <w:rsid w:val="0032685C"/>
    <w:rsid w:val="003E3C91"/>
    <w:rsid w:val="00685447"/>
    <w:rsid w:val="007A552F"/>
    <w:rsid w:val="007F1445"/>
    <w:rsid w:val="00882822"/>
    <w:rsid w:val="008A3F5A"/>
    <w:rsid w:val="00934E9A"/>
    <w:rsid w:val="00940A02"/>
    <w:rsid w:val="00A47A79"/>
    <w:rsid w:val="00A50EC0"/>
    <w:rsid w:val="00A64DC3"/>
    <w:rsid w:val="00B92535"/>
    <w:rsid w:val="00BE0388"/>
    <w:rsid w:val="00BE2756"/>
    <w:rsid w:val="00C17B7B"/>
    <w:rsid w:val="00C3590D"/>
    <w:rsid w:val="00CD5E37"/>
    <w:rsid w:val="00CF49F5"/>
    <w:rsid w:val="00D65794"/>
    <w:rsid w:val="00D659E1"/>
    <w:rsid w:val="00E27F14"/>
    <w:rsid w:val="00E90F68"/>
    <w:rsid w:val="00FB5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9284"/>
  <w15:chartTrackingRefBased/>
  <w15:docId w15:val="{1AAC2A8C-9F4E-4AAA-943F-1672BC11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7D36"/>
    <w:rPr>
      <w:color w:val="0000FF"/>
      <w:u w:val="single"/>
    </w:rPr>
  </w:style>
  <w:style w:type="character" w:customStyle="1" w:styleId="fw500">
    <w:name w:val="fw500"/>
    <w:basedOn w:val="DefaultParagraphFont"/>
    <w:rsid w:val="00685447"/>
  </w:style>
  <w:style w:type="table" w:styleId="TableGrid">
    <w:name w:val="Table Grid"/>
    <w:basedOn w:val="TableNormal"/>
    <w:uiPriority w:val="39"/>
    <w:rsid w:val="00B92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388"/>
    <w:pPr>
      <w:ind w:left="720"/>
      <w:contextualSpacing/>
    </w:pPr>
  </w:style>
  <w:style w:type="paragraph" w:styleId="Header">
    <w:name w:val="header"/>
    <w:basedOn w:val="Normal"/>
    <w:link w:val="HeaderChar"/>
    <w:uiPriority w:val="99"/>
    <w:unhideWhenUsed/>
    <w:rsid w:val="00BE2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756"/>
  </w:style>
  <w:style w:type="paragraph" w:styleId="Footer">
    <w:name w:val="footer"/>
    <w:basedOn w:val="Normal"/>
    <w:link w:val="FooterChar"/>
    <w:uiPriority w:val="99"/>
    <w:unhideWhenUsed/>
    <w:rsid w:val="00BE2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81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serve_Bank_of_India" TargetMode="Externa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overnment_of_India" TargetMode="External"/><Relationship Id="rId12" Type="http://schemas.openxmlformats.org/officeDocument/2006/relationships/chart" Target="charts/chart3.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business-standard.com/topic/state-bank-of-in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bfsi.economictimes.indiatimes.com/tag/coronavirus" TargetMode="Externa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misha\Desktop\sbi%20char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BF9-4D21-910A-402F6632917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BF9-4D21-910A-402F6632917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BF9-4D21-910A-402F6632917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BF9-4D21-910A-402F6632917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BF9-4D21-910A-402F6632917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BF9-4D21-910A-402F66329176}"/>
              </c:ext>
            </c:extLst>
          </c:dPt>
          <c:cat>
            <c:strRef>
              <c:f>Sheet1!$A$2:$A$7</c:f>
              <c:strCache>
                <c:ptCount val="6"/>
                <c:pt idx="0">
                  <c:v>GOI</c:v>
                </c:pt>
                <c:pt idx="1">
                  <c:v>CD</c:v>
                </c:pt>
                <c:pt idx="2">
                  <c:v>T-Bills</c:v>
                </c:pt>
                <c:pt idx="3">
                  <c:v>CP</c:v>
                </c:pt>
                <c:pt idx="4">
                  <c:v>NCD &amp; Bonds</c:v>
                </c:pt>
                <c:pt idx="5">
                  <c:v>PTC</c:v>
                </c:pt>
              </c:strCache>
            </c:strRef>
          </c:cat>
          <c:val>
            <c:numRef>
              <c:f>Sheet1!$B$2:$B$7</c:f>
              <c:numCache>
                <c:formatCode>0.00%</c:formatCode>
                <c:ptCount val="6"/>
                <c:pt idx="0">
                  <c:v>1.9300000000000001E-2</c:v>
                </c:pt>
                <c:pt idx="1">
                  <c:v>1.2699999999999999E-2</c:v>
                </c:pt>
                <c:pt idx="2">
                  <c:v>0</c:v>
                </c:pt>
                <c:pt idx="3">
                  <c:v>1.5100000000000001E-2</c:v>
                </c:pt>
                <c:pt idx="4">
                  <c:v>0.92300000000000004</c:v>
                </c:pt>
                <c:pt idx="5">
                  <c:v>0</c:v>
                </c:pt>
              </c:numCache>
            </c:numRef>
          </c:val>
          <c:extLst>
            <c:ext xmlns:c16="http://schemas.microsoft.com/office/drawing/2014/chart" uri="{C3380CC4-5D6E-409C-BE32-E72D297353CC}">
              <c16:uniqueId val="{0000000C-9BF9-4D21-910A-402F6632917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strRef>
              <c:f>Sheet1!$A$10:$A$15</c:f>
              <c:strCache>
                <c:ptCount val="6"/>
                <c:pt idx="0">
                  <c:v>Government Backed</c:v>
                </c:pt>
                <c:pt idx="1">
                  <c:v>Low Risk</c:v>
                </c:pt>
                <c:pt idx="2">
                  <c:v>Moderate Risk</c:v>
                </c:pt>
                <c:pt idx="3">
                  <c:v>High Risk</c:v>
                </c:pt>
                <c:pt idx="4">
                  <c:v>Very High Risk</c:v>
                </c:pt>
                <c:pt idx="5">
                  <c:v>Others</c:v>
                </c:pt>
              </c:strCache>
            </c:strRef>
          </c:cat>
          <c:val>
            <c:numRef>
              <c:f>Sheet1!$B$10:$B$15</c:f>
              <c:numCache>
                <c:formatCode>0.00%</c:formatCode>
                <c:ptCount val="6"/>
                <c:pt idx="0">
                  <c:v>1.9300000000000001E-2</c:v>
                </c:pt>
                <c:pt idx="1">
                  <c:v>0.76500000000000001</c:v>
                </c:pt>
                <c:pt idx="2">
                  <c:v>0.18579999999999999</c:v>
                </c:pt>
                <c:pt idx="3">
                  <c:v>0</c:v>
                </c:pt>
                <c:pt idx="4">
                  <c:v>0</c:v>
                </c:pt>
                <c:pt idx="5">
                  <c:v>0</c:v>
                </c:pt>
              </c:numCache>
            </c:numRef>
          </c:val>
          <c:extLst>
            <c:ext xmlns:c16="http://schemas.microsoft.com/office/drawing/2014/chart" uri="{C3380CC4-5D6E-409C-BE32-E72D297353CC}">
              <c16:uniqueId val="{00000000-B6F3-406D-A99C-165C7DFD15AD}"/>
            </c:ext>
          </c:extLst>
        </c:ser>
        <c:dLbls>
          <c:showLegendKey val="0"/>
          <c:showVal val="0"/>
          <c:showCatName val="0"/>
          <c:showSerName val="0"/>
          <c:showPercent val="0"/>
          <c:showBubbleSize val="0"/>
        </c:dLbls>
        <c:gapWidth val="150"/>
        <c:shape val="box"/>
        <c:axId val="536587368"/>
        <c:axId val="536594256"/>
        <c:axId val="0"/>
      </c:bar3DChart>
      <c:catAx>
        <c:axId val="5365873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594256"/>
        <c:crosses val="autoZero"/>
        <c:auto val="1"/>
        <c:lblAlgn val="ctr"/>
        <c:lblOffset val="100"/>
        <c:noMultiLvlLbl val="0"/>
      </c:catAx>
      <c:valAx>
        <c:axId val="5365942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587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Profitability(Cr.)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Sheet1!$F$13</c:f>
              <c:strCache>
                <c:ptCount val="1"/>
                <c:pt idx="0">
                  <c:v>Interest Earned</c:v>
                </c:pt>
              </c:strCache>
            </c:strRef>
          </c:tx>
          <c:spPr>
            <a:solidFill>
              <a:schemeClr val="accent1"/>
            </a:solidFill>
            <a:ln>
              <a:noFill/>
            </a:ln>
            <a:effectLst/>
          </c:spPr>
          <c:invertIfNegative val="0"/>
          <c:cat>
            <c:strRef>
              <c:f>Sheet1!$G$12:$K$12</c:f>
              <c:strCache>
                <c:ptCount val="5"/>
                <c:pt idx="0">
                  <c:v>march'19</c:v>
                </c:pt>
                <c:pt idx="1">
                  <c:v>march'18</c:v>
                </c:pt>
                <c:pt idx="2">
                  <c:v>march'17</c:v>
                </c:pt>
                <c:pt idx="3">
                  <c:v>march'16</c:v>
                </c:pt>
                <c:pt idx="4">
                  <c:v>march'15</c:v>
                </c:pt>
              </c:strCache>
            </c:strRef>
          </c:cat>
          <c:val>
            <c:numRef>
              <c:f>Sheet1!$G$13:$K$13</c:f>
              <c:numCache>
                <c:formatCode>#,##0.00</c:formatCode>
                <c:ptCount val="5"/>
                <c:pt idx="0">
                  <c:v>242868.65</c:v>
                </c:pt>
                <c:pt idx="1">
                  <c:v>220499.32</c:v>
                </c:pt>
                <c:pt idx="2">
                  <c:v>175518.24</c:v>
                </c:pt>
                <c:pt idx="3">
                  <c:v>163998.29999999999</c:v>
                </c:pt>
                <c:pt idx="4">
                  <c:v>152397.07</c:v>
                </c:pt>
              </c:numCache>
            </c:numRef>
          </c:val>
          <c:extLst>
            <c:ext xmlns:c16="http://schemas.microsoft.com/office/drawing/2014/chart" uri="{C3380CC4-5D6E-409C-BE32-E72D297353CC}">
              <c16:uniqueId val="{00000000-F533-4861-93A6-07CDAC8A93C1}"/>
            </c:ext>
          </c:extLst>
        </c:ser>
        <c:ser>
          <c:idx val="1"/>
          <c:order val="1"/>
          <c:tx>
            <c:strRef>
              <c:f>Sheet1!$F$14</c:f>
              <c:strCache>
                <c:ptCount val="1"/>
                <c:pt idx="0">
                  <c:v>Other Income</c:v>
                </c:pt>
              </c:strCache>
            </c:strRef>
          </c:tx>
          <c:spPr>
            <a:solidFill>
              <a:schemeClr val="accent2"/>
            </a:solidFill>
            <a:ln>
              <a:noFill/>
            </a:ln>
            <a:effectLst/>
          </c:spPr>
          <c:invertIfNegative val="0"/>
          <c:cat>
            <c:strRef>
              <c:f>Sheet1!$G$12:$K$12</c:f>
              <c:strCache>
                <c:ptCount val="5"/>
                <c:pt idx="0">
                  <c:v>march'19</c:v>
                </c:pt>
                <c:pt idx="1">
                  <c:v>march'18</c:v>
                </c:pt>
                <c:pt idx="2">
                  <c:v>march'17</c:v>
                </c:pt>
                <c:pt idx="3">
                  <c:v>march'16</c:v>
                </c:pt>
                <c:pt idx="4">
                  <c:v>march'15</c:v>
                </c:pt>
              </c:strCache>
            </c:strRef>
          </c:cat>
          <c:val>
            <c:numRef>
              <c:f>Sheet1!$G$14:$K$14</c:f>
              <c:numCache>
                <c:formatCode>#,##0.00</c:formatCode>
                <c:ptCount val="5"/>
                <c:pt idx="0">
                  <c:v>36774.89</c:v>
                </c:pt>
                <c:pt idx="1">
                  <c:v>44600.69</c:v>
                </c:pt>
                <c:pt idx="2">
                  <c:v>35460.93</c:v>
                </c:pt>
                <c:pt idx="3">
                  <c:v>27845.37</c:v>
                </c:pt>
                <c:pt idx="4">
                  <c:v>22575.89</c:v>
                </c:pt>
              </c:numCache>
            </c:numRef>
          </c:val>
          <c:extLst>
            <c:ext xmlns:c16="http://schemas.microsoft.com/office/drawing/2014/chart" uri="{C3380CC4-5D6E-409C-BE32-E72D297353CC}">
              <c16:uniqueId val="{00000001-F533-4861-93A6-07CDAC8A93C1}"/>
            </c:ext>
          </c:extLst>
        </c:ser>
        <c:ser>
          <c:idx val="2"/>
          <c:order val="2"/>
          <c:tx>
            <c:strRef>
              <c:f>Sheet1!$F$15</c:f>
              <c:strCache>
                <c:ptCount val="1"/>
                <c:pt idx="0">
                  <c:v>NET PROFIT FOR THE YEAR</c:v>
                </c:pt>
              </c:strCache>
            </c:strRef>
          </c:tx>
          <c:spPr>
            <a:solidFill>
              <a:schemeClr val="accent3"/>
            </a:solidFill>
            <a:ln>
              <a:noFill/>
            </a:ln>
            <a:effectLst/>
          </c:spPr>
          <c:invertIfNegative val="0"/>
          <c:cat>
            <c:strRef>
              <c:f>Sheet1!$G$12:$K$12</c:f>
              <c:strCache>
                <c:ptCount val="5"/>
                <c:pt idx="0">
                  <c:v>march'19</c:v>
                </c:pt>
                <c:pt idx="1">
                  <c:v>march'18</c:v>
                </c:pt>
                <c:pt idx="2">
                  <c:v>march'17</c:v>
                </c:pt>
                <c:pt idx="3">
                  <c:v>march'16</c:v>
                </c:pt>
                <c:pt idx="4">
                  <c:v>march'15</c:v>
                </c:pt>
              </c:strCache>
            </c:strRef>
          </c:cat>
          <c:val>
            <c:numRef>
              <c:f>Sheet1!$G$15:$K$15</c:f>
              <c:numCache>
                <c:formatCode>#,##0.00</c:formatCode>
                <c:ptCount val="5"/>
                <c:pt idx="0" formatCode="General">
                  <c:v>726.1</c:v>
                </c:pt>
                <c:pt idx="1">
                  <c:v>-6422.5</c:v>
                </c:pt>
                <c:pt idx="2">
                  <c:v>9536.1</c:v>
                </c:pt>
                <c:pt idx="3">
                  <c:v>9758.15</c:v>
                </c:pt>
                <c:pt idx="4">
                  <c:v>12631.62</c:v>
                </c:pt>
              </c:numCache>
            </c:numRef>
          </c:val>
          <c:extLst>
            <c:ext xmlns:c16="http://schemas.microsoft.com/office/drawing/2014/chart" uri="{C3380CC4-5D6E-409C-BE32-E72D297353CC}">
              <c16:uniqueId val="{00000002-F533-4861-93A6-07CDAC8A93C1}"/>
            </c:ext>
          </c:extLst>
        </c:ser>
        <c:dLbls>
          <c:showLegendKey val="0"/>
          <c:showVal val="0"/>
          <c:showCatName val="0"/>
          <c:showSerName val="0"/>
          <c:showPercent val="0"/>
          <c:showBubbleSize val="0"/>
        </c:dLbls>
        <c:gapWidth val="219"/>
        <c:overlap val="-27"/>
        <c:axId val="536588680"/>
        <c:axId val="536586712"/>
      </c:barChart>
      <c:catAx>
        <c:axId val="536588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586712"/>
        <c:crosses val="autoZero"/>
        <c:auto val="1"/>
        <c:lblAlgn val="ctr"/>
        <c:lblOffset val="100"/>
        <c:noMultiLvlLbl val="0"/>
      </c:catAx>
      <c:valAx>
        <c:axId val="5365867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588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200" b="0" i="0" baseline="0">
                <a:effectLst/>
              </a:rPr>
              <a:t>ROA Comparison of 3 Public Sector Banks with SBI</a:t>
            </a:r>
            <a:endParaRPr lang="en-IN" sz="12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IN"/>
          </a:p>
        </c:rich>
      </c:tx>
      <c:layout>
        <c:manualLayout>
          <c:xMode val="edge"/>
          <c:yMode val="edge"/>
          <c:x val="0.15463188976377953"/>
          <c:y val="2.7777777777777776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8.0539370078740152E-2"/>
          <c:y val="0.23166666666666666"/>
          <c:w val="0.88890507436570432"/>
          <c:h val="0.54032298046077576"/>
        </c:manualLayout>
      </c:layout>
      <c:lineChart>
        <c:grouping val="standard"/>
        <c:varyColors val="0"/>
        <c:ser>
          <c:idx val="0"/>
          <c:order val="0"/>
          <c:tx>
            <c:strRef>
              <c:f>Sheet1!$T$6</c:f>
              <c:strCache>
                <c:ptCount val="1"/>
                <c:pt idx="0">
                  <c:v>Punjab National Bank</c:v>
                </c:pt>
              </c:strCache>
            </c:strRef>
          </c:tx>
          <c:spPr>
            <a:ln w="28575" cap="rnd">
              <a:solidFill>
                <a:schemeClr val="accent1"/>
              </a:solidFill>
              <a:round/>
            </a:ln>
            <a:effectLst/>
          </c:spPr>
          <c:marker>
            <c:symbol val="none"/>
          </c:marker>
          <c:cat>
            <c:strRef>
              <c:f>Sheet1!$U$5:$Y$5</c:f>
              <c:strCache>
                <c:ptCount val="5"/>
                <c:pt idx="0">
                  <c:v>march'19</c:v>
                </c:pt>
                <c:pt idx="1">
                  <c:v>march'18</c:v>
                </c:pt>
                <c:pt idx="2">
                  <c:v>march'17</c:v>
                </c:pt>
                <c:pt idx="3">
                  <c:v>march'16</c:v>
                </c:pt>
                <c:pt idx="4">
                  <c:v>march'15</c:v>
                </c:pt>
              </c:strCache>
            </c:strRef>
          </c:cat>
          <c:val>
            <c:numRef>
              <c:f>Sheet1!$U$6:$Y$6</c:f>
              <c:numCache>
                <c:formatCode>General</c:formatCode>
                <c:ptCount val="5"/>
                <c:pt idx="0">
                  <c:v>-1.28</c:v>
                </c:pt>
                <c:pt idx="1">
                  <c:v>-1.6</c:v>
                </c:pt>
                <c:pt idx="2">
                  <c:v>0.18</c:v>
                </c:pt>
                <c:pt idx="3">
                  <c:v>-0.59</c:v>
                </c:pt>
                <c:pt idx="4">
                  <c:v>0.5</c:v>
                </c:pt>
              </c:numCache>
            </c:numRef>
          </c:val>
          <c:smooth val="0"/>
          <c:extLst>
            <c:ext xmlns:c16="http://schemas.microsoft.com/office/drawing/2014/chart" uri="{C3380CC4-5D6E-409C-BE32-E72D297353CC}">
              <c16:uniqueId val="{00000000-F253-424C-A101-51FEEFCAFCF0}"/>
            </c:ext>
          </c:extLst>
        </c:ser>
        <c:ser>
          <c:idx val="1"/>
          <c:order val="1"/>
          <c:tx>
            <c:strRef>
              <c:f>Sheet1!$T$7</c:f>
              <c:strCache>
                <c:ptCount val="1"/>
                <c:pt idx="0">
                  <c:v>Union Bank of India</c:v>
                </c:pt>
              </c:strCache>
            </c:strRef>
          </c:tx>
          <c:spPr>
            <a:ln w="28575" cap="rnd">
              <a:solidFill>
                <a:schemeClr val="accent2"/>
              </a:solidFill>
              <a:round/>
            </a:ln>
            <a:effectLst/>
          </c:spPr>
          <c:marker>
            <c:symbol val="none"/>
          </c:marker>
          <c:cat>
            <c:strRef>
              <c:f>Sheet1!$U$5:$Y$5</c:f>
              <c:strCache>
                <c:ptCount val="5"/>
                <c:pt idx="0">
                  <c:v>march'19</c:v>
                </c:pt>
                <c:pt idx="1">
                  <c:v>march'18</c:v>
                </c:pt>
                <c:pt idx="2">
                  <c:v>march'17</c:v>
                </c:pt>
                <c:pt idx="3">
                  <c:v>march'16</c:v>
                </c:pt>
                <c:pt idx="4">
                  <c:v>march'15</c:v>
                </c:pt>
              </c:strCache>
            </c:strRef>
          </c:cat>
          <c:val>
            <c:numRef>
              <c:f>Sheet1!$U$7:$Y$7</c:f>
              <c:numCache>
                <c:formatCode>General</c:formatCode>
                <c:ptCount val="5"/>
                <c:pt idx="0">
                  <c:v>-0.59</c:v>
                </c:pt>
                <c:pt idx="1">
                  <c:v>-1.07</c:v>
                </c:pt>
                <c:pt idx="2">
                  <c:v>0.12</c:v>
                </c:pt>
                <c:pt idx="3">
                  <c:v>0.33</c:v>
                </c:pt>
                <c:pt idx="4">
                  <c:v>0.46</c:v>
                </c:pt>
              </c:numCache>
            </c:numRef>
          </c:val>
          <c:smooth val="0"/>
          <c:extLst>
            <c:ext xmlns:c16="http://schemas.microsoft.com/office/drawing/2014/chart" uri="{C3380CC4-5D6E-409C-BE32-E72D297353CC}">
              <c16:uniqueId val="{00000001-F253-424C-A101-51FEEFCAFCF0}"/>
            </c:ext>
          </c:extLst>
        </c:ser>
        <c:ser>
          <c:idx val="2"/>
          <c:order val="2"/>
          <c:tx>
            <c:strRef>
              <c:f>Sheet1!$T$8</c:f>
              <c:strCache>
                <c:ptCount val="1"/>
                <c:pt idx="0">
                  <c:v>State Bank of India</c:v>
                </c:pt>
              </c:strCache>
            </c:strRef>
          </c:tx>
          <c:spPr>
            <a:ln w="28575" cap="rnd">
              <a:solidFill>
                <a:schemeClr val="accent6"/>
              </a:solidFill>
              <a:round/>
            </a:ln>
            <a:effectLst/>
          </c:spPr>
          <c:marker>
            <c:symbol val="none"/>
          </c:marker>
          <c:cat>
            <c:strRef>
              <c:f>Sheet1!$U$5:$Y$5</c:f>
              <c:strCache>
                <c:ptCount val="5"/>
                <c:pt idx="0">
                  <c:v>march'19</c:v>
                </c:pt>
                <c:pt idx="1">
                  <c:v>march'18</c:v>
                </c:pt>
                <c:pt idx="2">
                  <c:v>march'17</c:v>
                </c:pt>
                <c:pt idx="3">
                  <c:v>march'16</c:v>
                </c:pt>
                <c:pt idx="4">
                  <c:v>march'15</c:v>
                </c:pt>
              </c:strCache>
            </c:strRef>
          </c:cat>
          <c:val>
            <c:numRef>
              <c:f>Sheet1!$U$8:$Y$8</c:f>
              <c:numCache>
                <c:formatCode>General</c:formatCode>
                <c:ptCount val="5"/>
                <c:pt idx="0">
                  <c:v>0.36</c:v>
                </c:pt>
                <c:pt idx="1">
                  <c:v>0.02</c:v>
                </c:pt>
                <c:pt idx="2">
                  <c:v>-0.18</c:v>
                </c:pt>
                <c:pt idx="3">
                  <c:v>0.38</c:v>
                </c:pt>
                <c:pt idx="4">
                  <c:v>0.42</c:v>
                </c:pt>
              </c:numCache>
            </c:numRef>
          </c:val>
          <c:smooth val="0"/>
          <c:extLst>
            <c:ext xmlns:c16="http://schemas.microsoft.com/office/drawing/2014/chart" uri="{C3380CC4-5D6E-409C-BE32-E72D297353CC}">
              <c16:uniqueId val="{00000002-F253-424C-A101-51FEEFCAFCF0}"/>
            </c:ext>
          </c:extLst>
        </c:ser>
        <c:ser>
          <c:idx val="3"/>
          <c:order val="3"/>
          <c:tx>
            <c:strRef>
              <c:f>Sheet1!$T$9</c:f>
              <c:strCache>
                <c:ptCount val="1"/>
                <c:pt idx="0">
                  <c:v>Bank of Baroda</c:v>
                </c:pt>
              </c:strCache>
            </c:strRef>
          </c:tx>
          <c:spPr>
            <a:ln w="28575" cap="rnd">
              <a:solidFill>
                <a:schemeClr val="accent4"/>
              </a:solidFill>
              <a:round/>
            </a:ln>
            <a:effectLst/>
          </c:spPr>
          <c:marker>
            <c:symbol val="none"/>
          </c:marker>
          <c:cat>
            <c:strRef>
              <c:f>Sheet1!$U$5:$Y$5</c:f>
              <c:strCache>
                <c:ptCount val="5"/>
                <c:pt idx="0">
                  <c:v>march'19</c:v>
                </c:pt>
                <c:pt idx="1">
                  <c:v>march'18</c:v>
                </c:pt>
                <c:pt idx="2">
                  <c:v>march'17</c:v>
                </c:pt>
                <c:pt idx="3">
                  <c:v>march'16</c:v>
                </c:pt>
                <c:pt idx="4">
                  <c:v>march'15</c:v>
                </c:pt>
              </c:strCache>
            </c:strRef>
          </c:cat>
          <c:val>
            <c:numRef>
              <c:f>Sheet1!$U$9:$Y$9</c:f>
              <c:numCache>
                <c:formatCode>General</c:formatCode>
                <c:ptCount val="5"/>
                <c:pt idx="0">
                  <c:v>0.05</c:v>
                </c:pt>
                <c:pt idx="1">
                  <c:v>-0.33</c:v>
                </c:pt>
                <c:pt idx="2">
                  <c:v>0.19</c:v>
                </c:pt>
                <c:pt idx="3">
                  <c:v>-0.8</c:v>
                </c:pt>
                <c:pt idx="4">
                  <c:v>0.47</c:v>
                </c:pt>
              </c:numCache>
            </c:numRef>
          </c:val>
          <c:smooth val="0"/>
          <c:extLst>
            <c:ext xmlns:c16="http://schemas.microsoft.com/office/drawing/2014/chart" uri="{C3380CC4-5D6E-409C-BE32-E72D297353CC}">
              <c16:uniqueId val="{00000003-F253-424C-A101-51FEEFCAFCF0}"/>
            </c:ext>
          </c:extLst>
        </c:ser>
        <c:dLbls>
          <c:showLegendKey val="0"/>
          <c:showVal val="0"/>
          <c:showCatName val="0"/>
          <c:showSerName val="0"/>
          <c:showPercent val="0"/>
          <c:showBubbleSize val="0"/>
        </c:dLbls>
        <c:smooth val="0"/>
        <c:axId val="528416424"/>
        <c:axId val="528414128"/>
      </c:lineChart>
      <c:catAx>
        <c:axId val="528416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414128"/>
        <c:crosses val="autoZero"/>
        <c:auto val="1"/>
        <c:lblAlgn val="ctr"/>
        <c:lblOffset val="100"/>
        <c:noMultiLvlLbl val="0"/>
      </c:catAx>
      <c:valAx>
        <c:axId val="528414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416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t>candlestick</a:t>
            </a:r>
            <a:r>
              <a:rPr lang="en-IN" sz="1200" b="1" baseline="0"/>
              <a:t> chart (15th may'20-15th july'20)</a:t>
            </a:r>
            <a:endParaRPr lang="en-IN" sz="12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tockChart>
        <c:ser>
          <c:idx val="0"/>
          <c:order val="0"/>
          <c:spPr>
            <a:ln w="19050" cap="rnd">
              <a:noFill/>
              <a:round/>
            </a:ln>
            <a:effectLst/>
          </c:spPr>
          <c:marker>
            <c:symbol val="none"/>
          </c:marker>
          <c:val>
            <c:numRef>
              <c:f>Sheet1!$C$2:$C$43</c:f>
              <c:numCache>
                <c:formatCode>General</c:formatCode>
                <c:ptCount val="42"/>
                <c:pt idx="0">
                  <c:v>192.3</c:v>
                </c:pt>
                <c:pt idx="1">
                  <c:v>198.8</c:v>
                </c:pt>
                <c:pt idx="2">
                  <c:v>198</c:v>
                </c:pt>
                <c:pt idx="3">
                  <c:v>192.8</c:v>
                </c:pt>
                <c:pt idx="4">
                  <c:v>188.9</c:v>
                </c:pt>
                <c:pt idx="5">
                  <c:v>187</c:v>
                </c:pt>
                <c:pt idx="6">
                  <c:v>186.6</c:v>
                </c:pt>
                <c:pt idx="7">
                  <c:v>186.65</c:v>
                </c:pt>
                <c:pt idx="8">
                  <c:v>185.65</c:v>
                </c:pt>
                <c:pt idx="9">
                  <c:v>179.45</c:v>
                </c:pt>
                <c:pt idx="10">
                  <c:v>181.1</c:v>
                </c:pt>
                <c:pt idx="11">
                  <c:v>183</c:v>
                </c:pt>
                <c:pt idx="12">
                  <c:v>188</c:v>
                </c:pt>
                <c:pt idx="13">
                  <c:v>182.2</c:v>
                </c:pt>
                <c:pt idx="14">
                  <c:v>194.8</c:v>
                </c:pt>
                <c:pt idx="15">
                  <c:v>189.6</c:v>
                </c:pt>
                <c:pt idx="16">
                  <c:v>185</c:v>
                </c:pt>
                <c:pt idx="17">
                  <c:v>180.3</c:v>
                </c:pt>
                <c:pt idx="18">
                  <c:v>172.4</c:v>
                </c:pt>
                <c:pt idx="19">
                  <c:v>171</c:v>
                </c:pt>
                <c:pt idx="20">
                  <c:v>178</c:v>
                </c:pt>
                <c:pt idx="21">
                  <c:v>177.85</c:v>
                </c:pt>
                <c:pt idx="22">
                  <c:v>170</c:v>
                </c:pt>
                <c:pt idx="23">
                  <c:v>188</c:v>
                </c:pt>
                <c:pt idx="24">
                  <c:v>184.55</c:v>
                </c:pt>
                <c:pt idx="25">
                  <c:v>187.7</c:v>
                </c:pt>
                <c:pt idx="26">
                  <c:v>197</c:v>
                </c:pt>
                <c:pt idx="27">
                  <c:v>176.55</c:v>
                </c:pt>
                <c:pt idx="28">
                  <c:v>174.9</c:v>
                </c:pt>
                <c:pt idx="29">
                  <c:v>172.5</c:v>
                </c:pt>
                <c:pt idx="30">
                  <c:v>169.9</c:v>
                </c:pt>
                <c:pt idx="31">
                  <c:v>164</c:v>
                </c:pt>
                <c:pt idx="32">
                  <c:v>156.1</c:v>
                </c:pt>
                <c:pt idx="33">
                  <c:v>159.44999999999999</c:v>
                </c:pt>
                <c:pt idx="34">
                  <c:v>151.94999999999999</c:v>
                </c:pt>
                <c:pt idx="35">
                  <c:v>152.4</c:v>
                </c:pt>
                <c:pt idx="36">
                  <c:v>152</c:v>
                </c:pt>
                <c:pt idx="37">
                  <c:v>153.65</c:v>
                </c:pt>
                <c:pt idx="38">
                  <c:v>153</c:v>
                </c:pt>
                <c:pt idx="39">
                  <c:v>157.5</c:v>
                </c:pt>
                <c:pt idx="40">
                  <c:v>166.4</c:v>
                </c:pt>
                <c:pt idx="41">
                  <c:v>167.95</c:v>
                </c:pt>
              </c:numCache>
            </c:numRef>
          </c:val>
          <c:smooth val="0"/>
          <c:extLst>
            <c:ext xmlns:c16="http://schemas.microsoft.com/office/drawing/2014/chart" uri="{C3380CC4-5D6E-409C-BE32-E72D297353CC}">
              <c16:uniqueId val="{00000000-3C3B-4E06-ADF8-5F077DE39059}"/>
            </c:ext>
          </c:extLst>
        </c:ser>
        <c:ser>
          <c:idx val="1"/>
          <c:order val="1"/>
          <c:spPr>
            <a:ln w="19050" cap="rnd">
              <a:noFill/>
              <a:round/>
            </a:ln>
            <a:effectLst/>
          </c:spPr>
          <c:marker>
            <c:symbol val="none"/>
          </c:marker>
          <c:val>
            <c:numRef>
              <c:f>Sheet1!$D$2:$D$43</c:f>
              <c:numCache>
                <c:formatCode>General</c:formatCode>
                <c:ptCount val="42"/>
                <c:pt idx="0">
                  <c:v>192.3</c:v>
                </c:pt>
                <c:pt idx="1">
                  <c:v>199.8</c:v>
                </c:pt>
                <c:pt idx="2">
                  <c:v>202.5</c:v>
                </c:pt>
                <c:pt idx="3">
                  <c:v>201</c:v>
                </c:pt>
                <c:pt idx="4">
                  <c:v>197.45</c:v>
                </c:pt>
                <c:pt idx="5">
                  <c:v>189.2</c:v>
                </c:pt>
                <c:pt idx="6">
                  <c:v>189.85</c:v>
                </c:pt>
                <c:pt idx="7">
                  <c:v>186.85</c:v>
                </c:pt>
                <c:pt idx="8">
                  <c:v>188</c:v>
                </c:pt>
                <c:pt idx="9">
                  <c:v>185.4</c:v>
                </c:pt>
                <c:pt idx="10">
                  <c:v>182.9</c:v>
                </c:pt>
                <c:pt idx="11">
                  <c:v>183.1</c:v>
                </c:pt>
                <c:pt idx="12">
                  <c:v>188.6</c:v>
                </c:pt>
                <c:pt idx="13">
                  <c:v>186.8</c:v>
                </c:pt>
                <c:pt idx="14">
                  <c:v>194.9</c:v>
                </c:pt>
                <c:pt idx="15">
                  <c:v>193.1</c:v>
                </c:pt>
                <c:pt idx="16">
                  <c:v>191.75</c:v>
                </c:pt>
                <c:pt idx="17">
                  <c:v>184.95</c:v>
                </c:pt>
                <c:pt idx="18">
                  <c:v>180.65</c:v>
                </c:pt>
                <c:pt idx="19">
                  <c:v>176.2</c:v>
                </c:pt>
                <c:pt idx="20">
                  <c:v>178.95</c:v>
                </c:pt>
                <c:pt idx="21">
                  <c:v>177.85</c:v>
                </c:pt>
                <c:pt idx="22">
                  <c:v>180</c:v>
                </c:pt>
                <c:pt idx="23">
                  <c:v>190.4</c:v>
                </c:pt>
                <c:pt idx="24">
                  <c:v>189</c:v>
                </c:pt>
                <c:pt idx="25">
                  <c:v>191</c:v>
                </c:pt>
                <c:pt idx="26">
                  <c:v>197.5</c:v>
                </c:pt>
                <c:pt idx="27">
                  <c:v>189.8</c:v>
                </c:pt>
                <c:pt idx="28">
                  <c:v>177.65</c:v>
                </c:pt>
                <c:pt idx="29">
                  <c:v>179.9</c:v>
                </c:pt>
                <c:pt idx="30">
                  <c:v>171.3</c:v>
                </c:pt>
                <c:pt idx="31">
                  <c:v>171.4</c:v>
                </c:pt>
                <c:pt idx="32">
                  <c:v>161.9</c:v>
                </c:pt>
                <c:pt idx="33">
                  <c:v>162.4</c:v>
                </c:pt>
                <c:pt idx="34">
                  <c:v>160.80000000000001</c:v>
                </c:pt>
                <c:pt idx="35">
                  <c:v>153.19999999999999</c:v>
                </c:pt>
                <c:pt idx="36">
                  <c:v>155.6</c:v>
                </c:pt>
                <c:pt idx="37">
                  <c:v>156.15</c:v>
                </c:pt>
                <c:pt idx="38">
                  <c:v>155.25</c:v>
                </c:pt>
                <c:pt idx="39">
                  <c:v>157.85</c:v>
                </c:pt>
                <c:pt idx="40">
                  <c:v>166.4</c:v>
                </c:pt>
                <c:pt idx="41">
                  <c:v>168.25</c:v>
                </c:pt>
              </c:numCache>
            </c:numRef>
          </c:val>
          <c:smooth val="0"/>
          <c:extLst>
            <c:ext xmlns:c16="http://schemas.microsoft.com/office/drawing/2014/chart" uri="{C3380CC4-5D6E-409C-BE32-E72D297353CC}">
              <c16:uniqueId val="{00000001-3C3B-4E06-ADF8-5F077DE39059}"/>
            </c:ext>
          </c:extLst>
        </c:ser>
        <c:ser>
          <c:idx val="2"/>
          <c:order val="2"/>
          <c:spPr>
            <a:ln w="19050" cap="rnd">
              <a:noFill/>
              <a:round/>
            </a:ln>
            <a:effectLst/>
          </c:spPr>
          <c:marker>
            <c:symbol val="none"/>
          </c:marker>
          <c:val>
            <c:numRef>
              <c:f>Sheet1!$E$2:$E$43</c:f>
              <c:numCache>
                <c:formatCode>General</c:formatCode>
                <c:ptCount val="42"/>
                <c:pt idx="0">
                  <c:v>184.6</c:v>
                </c:pt>
                <c:pt idx="1">
                  <c:v>191.6</c:v>
                </c:pt>
                <c:pt idx="2">
                  <c:v>194.8</c:v>
                </c:pt>
                <c:pt idx="3">
                  <c:v>192.55</c:v>
                </c:pt>
                <c:pt idx="4">
                  <c:v>188.4</c:v>
                </c:pt>
                <c:pt idx="5">
                  <c:v>184.05</c:v>
                </c:pt>
                <c:pt idx="6">
                  <c:v>186.15</c:v>
                </c:pt>
                <c:pt idx="7">
                  <c:v>183.4</c:v>
                </c:pt>
                <c:pt idx="8">
                  <c:v>184</c:v>
                </c:pt>
                <c:pt idx="9">
                  <c:v>178.6</c:v>
                </c:pt>
                <c:pt idx="10">
                  <c:v>177.25</c:v>
                </c:pt>
                <c:pt idx="11">
                  <c:v>178.5</c:v>
                </c:pt>
                <c:pt idx="12">
                  <c:v>183.8</c:v>
                </c:pt>
                <c:pt idx="13">
                  <c:v>180.4</c:v>
                </c:pt>
                <c:pt idx="14">
                  <c:v>183.9</c:v>
                </c:pt>
                <c:pt idx="15">
                  <c:v>187.85</c:v>
                </c:pt>
                <c:pt idx="16">
                  <c:v>184.25</c:v>
                </c:pt>
                <c:pt idx="17">
                  <c:v>179.5</c:v>
                </c:pt>
                <c:pt idx="18">
                  <c:v>171.1</c:v>
                </c:pt>
                <c:pt idx="19">
                  <c:v>169.25</c:v>
                </c:pt>
                <c:pt idx="20">
                  <c:v>169.4</c:v>
                </c:pt>
                <c:pt idx="21">
                  <c:v>172</c:v>
                </c:pt>
                <c:pt idx="22">
                  <c:v>169.8</c:v>
                </c:pt>
                <c:pt idx="23">
                  <c:v>176.35</c:v>
                </c:pt>
                <c:pt idx="24">
                  <c:v>183.8</c:v>
                </c:pt>
                <c:pt idx="25">
                  <c:v>183.35</c:v>
                </c:pt>
                <c:pt idx="26">
                  <c:v>185.8</c:v>
                </c:pt>
                <c:pt idx="27">
                  <c:v>176</c:v>
                </c:pt>
                <c:pt idx="28">
                  <c:v>171.5</c:v>
                </c:pt>
                <c:pt idx="29">
                  <c:v>172</c:v>
                </c:pt>
                <c:pt idx="30">
                  <c:v>167.2</c:v>
                </c:pt>
                <c:pt idx="31">
                  <c:v>163.35</c:v>
                </c:pt>
                <c:pt idx="32">
                  <c:v>155.19999999999999</c:v>
                </c:pt>
                <c:pt idx="33">
                  <c:v>156.69999999999999</c:v>
                </c:pt>
                <c:pt idx="34">
                  <c:v>150.80000000000001</c:v>
                </c:pt>
                <c:pt idx="35">
                  <c:v>150.19999999999999</c:v>
                </c:pt>
                <c:pt idx="36">
                  <c:v>149.44999999999999</c:v>
                </c:pt>
                <c:pt idx="37">
                  <c:v>151.5</c:v>
                </c:pt>
                <c:pt idx="38">
                  <c:v>151.15</c:v>
                </c:pt>
                <c:pt idx="39">
                  <c:v>152.4</c:v>
                </c:pt>
                <c:pt idx="40">
                  <c:v>155</c:v>
                </c:pt>
                <c:pt idx="41">
                  <c:v>164.7</c:v>
                </c:pt>
              </c:numCache>
            </c:numRef>
          </c:val>
          <c:smooth val="0"/>
          <c:extLst>
            <c:ext xmlns:c16="http://schemas.microsoft.com/office/drawing/2014/chart" uri="{C3380CC4-5D6E-409C-BE32-E72D297353CC}">
              <c16:uniqueId val="{00000002-3C3B-4E06-ADF8-5F077DE39059}"/>
            </c:ext>
          </c:extLst>
        </c:ser>
        <c:ser>
          <c:idx val="3"/>
          <c:order val="3"/>
          <c:spPr>
            <a:ln w="19050" cap="rnd">
              <a:noFill/>
              <a:round/>
            </a:ln>
            <a:effectLst/>
          </c:spPr>
          <c:marker>
            <c:symbol val="none"/>
          </c:marker>
          <c:val>
            <c:numRef>
              <c:f>Sheet1!$F$2:$F$43</c:f>
              <c:numCache>
                <c:formatCode>General</c:formatCode>
                <c:ptCount val="42"/>
                <c:pt idx="0">
                  <c:v>186.05</c:v>
                </c:pt>
                <c:pt idx="1">
                  <c:v>192.7</c:v>
                </c:pt>
                <c:pt idx="2">
                  <c:v>195.6</c:v>
                </c:pt>
                <c:pt idx="3">
                  <c:v>199.1</c:v>
                </c:pt>
                <c:pt idx="4">
                  <c:v>191.9</c:v>
                </c:pt>
                <c:pt idx="5">
                  <c:v>188.6</c:v>
                </c:pt>
                <c:pt idx="6">
                  <c:v>188.05</c:v>
                </c:pt>
                <c:pt idx="7">
                  <c:v>184.7</c:v>
                </c:pt>
                <c:pt idx="8">
                  <c:v>185.45</c:v>
                </c:pt>
                <c:pt idx="9">
                  <c:v>184.8</c:v>
                </c:pt>
                <c:pt idx="10">
                  <c:v>178.45</c:v>
                </c:pt>
                <c:pt idx="11">
                  <c:v>179.25</c:v>
                </c:pt>
                <c:pt idx="12">
                  <c:v>184.6</c:v>
                </c:pt>
                <c:pt idx="13">
                  <c:v>185.25</c:v>
                </c:pt>
                <c:pt idx="14">
                  <c:v>184.6</c:v>
                </c:pt>
                <c:pt idx="15">
                  <c:v>192.45</c:v>
                </c:pt>
                <c:pt idx="16">
                  <c:v>187.7</c:v>
                </c:pt>
                <c:pt idx="17">
                  <c:v>184.5</c:v>
                </c:pt>
                <c:pt idx="18">
                  <c:v>179.65</c:v>
                </c:pt>
                <c:pt idx="19">
                  <c:v>172.95</c:v>
                </c:pt>
                <c:pt idx="20">
                  <c:v>172.9</c:v>
                </c:pt>
                <c:pt idx="21">
                  <c:v>173.7</c:v>
                </c:pt>
                <c:pt idx="22">
                  <c:v>179.15</c:v>
                </c:pt>
                <c:pt idx="23">
                  <c:v>177.15</c:v>
                </c:pt>
                <c:pt idx="24">
                  <c:v>187.7</c:v>
                </c:pt>
                <c:pt idx="25">
                  <c:v>184.45</c:v>
                </c:pt>
                <c:pt idx="26">
                  <c:v>186.8</c:v>
                </c:pt>
                <c:pt idx="27">
                  <c:v>187.8</c:v>
                </c:pt>
                <c:pt idx="28">
                  <c:v>174.05</c:v>
                </c:pt>
                <c:pt idx="29">
                  <c:v>174.9</c:v>
                </c:pt>
                <c:pt idx="30">
                  <c:v>170.25</c:v>
                </c:pt>
                <c:pt idx="31">
                  <c:v>170.05</c:v>
                </c:pt>
                <c:pt idx="32">
                  <c:v>161.30000000000001</c:v>
                </c:pt>
                <c:pt idx="33">
                  <c:v>158.19999999999999</c:v>
                </c:pt>
                <c:pt idx="34">
                  <c:v>158.6</c:v>
                </c:pt>
                <c:pt idx="35">
                  <c:v>151.4</c:v>
                </c:pt>
                <c:pt idx="36">
                  <c:v>150.85</c:v>
                </c:pt>
                <c:pt idx="37">
                  <c:v>151.94999999999999</c:v>
                </c:pt>
                <c:pt idx="38">
                  <c:v>153.4</c:v>
                </c:pt>
                <c:pt idx="39">
                  <c:v>152.80000000000001</c:v>
                </c:pt>
                <c:pt idx="40">
                  <c:v>155.30000000000001</c:v>
                </c:pt>
                <c:pt idx="41">
                  <c:v>166.4</c:v>
                </c:pt>
              </c:numCache>
            </c:numRef>
          </c:val>
          <c:smooth val="0"/>
          <c:extLst>
            <c:ext xmlns:c16="http://schemas.microsoft.com/office/drawing/2014/chart" uri="{C3380CC4-5D6E-409C-BE32-E72D297353CC}">
              <c16:uniqueId val="{00000003-3C3B-4E06-ADF8-5F077DE3905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upDownBars>
          <c:gapWidth val="150"/>
          <c:upBars>
            <c:spPr>
              <a:solidFill>
                <a:schemeClr val="lt1"/>
              </a:solidFill>
              <a:ln w="9525" cap="flat" cmpd="sng" algn="ctr">
                <a:solidFill>
                  <a:schemeClr val="tx1">
                    <a:lumMod val="65000"/>
                    <a:lumOff val="35000"/>
                  </a:schemeClr>
                </a:solidFill>
                <a:round/>
              </a:ln>
              <a:effectLst/>
            </c:spPr>
          </c:upBars>
          <c:downBars>
            <c:spPr>
              <a:solidFill>
                <a:schemeClr val="dk1">
                  <a:lumMod val="75000"/>
                  <a:lumOff val="25000"/>
                </a:schemeClr>
              </a:solidFill>
              <a:ln w="9525" cap="flat" cmpd="sng" algn="ctr">
                <a:solidFill>
                  <a:schemeClr val="tx1">
                    <a:lumMod val="65000"/>
                    <a:lumOff val="35000"/>
                  </a:schemeClr>
                </a:solidFill>
                <a:round/>
              </a:ln>
              <a:effectLst/>
            </c:spPr>
          </c:downBars>
        </c:upDownBars>
        <c:axId val="535771776"/>
        <c:axId val="535769152"/>
      </c:stockChart>
      <c:catAx>
        <c:axId val="5357717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769152"/>
        <c:crosses val="autoZero"/>
        <c:auto val="1"/>
        <c:lblAlgn val="ctr"/>
        <c:lblOffset val="100"/>
        <c:noMultiLvlLbl val="0"/>
      </c:catAx>
      <c:valAx>
        <c:axId val="535769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77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dc:creator>
  <cp:keywords/>
  <dc:description/>
  <cp:lastModifiedBy>Nimisha</cp:lastModifiedBy>
  <cp:revision>6</cp:revision>
  <dcterms:created xsi:type="dcterms:W3CDTF">2020-06-18T14:32:00Z</dcterms:created>
  <dcterms:modified xsi:type="dcterms:W3CDTF">2020-08-07T13:02:00Z</dcterms:modified>
</cp:coreProperties>
</file>