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11338" w:type="dxa"/>
      </w:tblPr>
      <w:tblGrid>
        <w:gridCol w:w="3655"/>
        <w:gridCol w:w="7682"/>
      </w:tblGrid>
      <w:tr>
        <w:tc>
          <w:tcPr>
            <w:tcW w:type="dxa" w:w="3656"/>
            <w:shd w:val="clear" w:fill="E7EFFD"/>
            <w:tcBorders>
              <w:top w:val="nil"/>
              <w:left w:val="nil"/>
              <w:bottom w:val="nil"/>
              <w:right w:val="single" w:sz="12" w:color="BFDBFE"/>
            </w:tcBorders>
            <w:tcMar>
              <w:top w:w="200" w:type="dxa"/>
              <w:bottom w:w="200" w:type="dxa"/>
              <w:start w:w="260" w:type="dxa"/>
              <w:end w:w="260" w:type="dxa"/>
            </w:tcMar>
          </w:tcPr>
          <w:p>
            <w:pPr>
              <w:spacing w:line="360" w:lineRule="exact" w:after="20"/>
            </w:pPr>
            <w:r>
              <w:rPr>
                <w:rFonts w:ascii="Calibri" w:hAnsi="Calibri"/>
                <w:b w:val="0"/>
                <w:i w:val="0"/>
                <w:color w:val="374151"/>
                <w:sz w:val="4"/>
              </w:rPr>
            </w:r>
            <w:r>
              <w:rPr>
                <w:rFonts w:ascii="Calibri" w:hAnsi="Calibri"/>
                <w:b/>
                <w:color w:val="1F2937"/>
                <w:sz w:val="30"/>
              </w:rPr>
              <w:t>Nimish CHAUDHARI</w:t>
            </w:r>
          </w:p>
          <w:p>
            <w:pPr>
              <w:spacing w:before="20" w:after="160" w:line="220" w:lineRule="exact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AI Infrastructure Engineer</w:t>
            </w:r>
          </w:p>
          <w:p>
            <w:pPr>
              <w:spacing w:before="0" w:after="40" w:line="204" w:lineRule="exact"/>
            </w:pPr>
            <w:r>
              <w:rPr>
                <w:rFonts w:ascii="Calibri" w:hAnsi="Calibri"/>
                <w:b/>
                <w:i w:val="0"/>
                <w:color w:val="374151"/>
                <w:sz w:val="18"/>
              </w:rPr>
              <w:t>Email: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nimish.mailbox@gmail.com</w:t>
            </w:r>
          </w:p>
          <w:p>
            <w:pPr>
              <w:spacing w:before="0" w:after="40" w:line="204" w:lineRule="exact"/>
            </w:pPr>
            <w:r>
              <w:rPr>
                <w:rFonts w:ascii="Calibri" w:hAnsi="Calibri"/>
                <w:b/>
                <w:i w:val="0"/>
                <w:color w:val="374151"/>
                <w:sz w:val="18"/>
              </w:rPr>
              <w:t>Phone: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+33 (0)7 63 55 45 51</w:t>
            </w:r>
          </w:p>
          <w:p>
            <w:pPr>
              <w:spacing w:before="0" w:after="40" w:line="204" w:lineRule="exact"/>
            </w:pPr>
            <w:r>
              <w:rPr>
                <w:rFonts w:ascii="Calibri" w:hAnsi="Calibri"/>
                <w:b/>
                <w:i w:val="0"/>
                <w:color w:val="374151"/>
                <w:sz w:val="18"/>
              </w:rPr>
              <w:t>Location: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Luxembourg</w:t>
            </w:r>
          </w:p>
          <w:p>
            <w:pPr>
              <w:spacing w:before="0" w:after="40" w:line="204" w:lineRule="exact"/>
            </w:pPr>
            <w:r>
              <w:rPr>
                <w:rFonts w:ascii="Calibri" w:hAnsi="Calibri"/>
                <w:b/>
                <w:i w:val="0"/>
                <w:color w:val="374151"/>
                <w:sz w:val="18"/>
              </w:rPr>
              <w:t>LinkedIn:</w:t>
            </w:r>
            <w:hyperlink r:id="rId9">
              <w:r>
                <w:rPr>
                  <w:rFonts w:ascii="Calibri" w:hAnsi="Calibri"/>
                  <w:sz w:val="18"/>
                  <w:color w:val="2563EB"/>
                </w:rPr>
                <w:t>nimishchaudhari</w:t>
              </w:r>
            </w:hyperlink>
          </w:p>
          <w:p>
            <w:pPr>
              <w:spacing w:before="0" w:after="120" w:line="204" w:lineRule="exact"/>
            </w:pPr>
            <w:r>
              <w:rPr>
                <w:rFonts w:ascii="Calibri" w:hAnsi="Calibri"/>
                <w:b/>
                <w:i w:val="0"/>
                <w:color w:val="374151"/>
                <w:sz w:val="18"/>
              </w:rPr>
              <w:t>GitHub:</w:t>
            </w:r>
            <w:hyperlink r:id="rId10">
              <w:r>
                <w:rPr>
                  <w:rFonts w:ascii="Calibri" w:hAnsi="Calibri"/>
                  <w:sz w:val="18"/>
                  <w:color w:val="2563EB"/>
                </w:rPr>
                <w:t>nimishchaudhari</w:t>
              </w:r>
            </w:hyperlink>
          </w:p>
          <w:p>
            <w:pPr>
              <w:spacing w:before="100" w:after="60" w:line="260" w:lineRule="exac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CERTIFICATIONS &amp; TRAINING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3088" w:type="dxa"/>
            </w:tblPr>
            <w:tblGrid>
              <w:gridCol w:w="3088"/>
            </w:tblGrid>
            <w:tr>
              <w:tc>
                <w:tcPr>
                  <w:tcW w:type="dxa" w:w="3089"/>
                  <w:shd w:val="clear" w:fill="FFFFFF"/>
                  <w:tcBorders>
                    <w:top w:val="single" w:sz="1" w:color="E5E7EB"/>
                    <w:left w:val="single" w:sz="1" w:color="E5E7EB"/>
                    <w:bottom w:val="single" w:sz="1" w:color="E5E7EB"/>
                    <w:right w:val="single" w:sz="1" w:color="E5E7EB"/>
                  </w:tcBorders>
                  <w:tcMar>
                    <w:top w:w="50" w:type="dxa"/>
                    <w:bottom w:w="50" w:type="dxa"/>
                    <w:start w:w="120" w:type="dxa"/>
                    <w:end w:w="120" w:type="dxa"/>
                  </w:tcMar>
                </w:tcPr>
                <w:p>
                  <w:pPr>
                    <w:spacing w:after="20" w:line="204" w:lineRule="exact"/>
                  </w:pPr>
                  <w:r>
                    <w:rPr>
                      <w:rFonts w:ascii="Calibri" w:hAnsi="Calibri"/>
                      <w:b/>
                      <w:i w:val="0"/>
                      <w:color w:val="1D4ED8"/>
                      <w:sz w:val="18"/>
                    </w:rPr>
                    <w:t>Microsoft Azure</w:t>
                  </w:r>
                </w:p>
                <w:p>
                  <w:pPr>
                    <w:spacing w:after="0" w:line="204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• Azure Fundamentals (AZ-900)</w:t>
                  </w:r>
                </w:p>
                <w:p>
                  <w:pPr>
                    <w:spacing w:after="0" w:line="204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• Azure Data Scientist (DP-100)</w:t>
                  </w:r>
                </w:p>
              </w:tc>
            </w:tr>
          </w:tbl>
          <w:p/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374151"/>
                <w:sz w:val="4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3088" w:type="dxa"/>
            </w:tblPr>
            <w:tblGrid>
              <w:gridCol w:w="3088"/>
            </w:tblGrid>
            <w:tr>
              <w:tc>
                <w:tcPr>
                  <w:tcW w:type="dxa" w:w="3089"/>
                  <w:shd w:val="clear" w:fill="FFFFFF"/>
                  <w:tcBorders>
                    <w:top w:val="single" w:sz="1" w:color="E5E7EB"/>
                    <w:left w:val="single" w:sz="1" w:color="E5E7EB"/>
                    <w:bottom w:val="single" w:sz="1" w:color="E5E7EB"/>
                    <w:right w:val="single" w:sz="1" w:color="E5E7EB"/>
                  </w:tcBorders>
                  <w:tcMar>
                    <w:top w:w="50" w:type="dxa"/>
                    <w:bottom w:w="50" w:type="dxa"/>
                    <w:start w:w="120" w:type="dxa"/>
                    <w:end w:w="120" w:type="dxa"/>
                  </w:tcMar>
                </w:tcPr>
                <w:p>
                  <w:pPr>
                    <w:spacing w:after="20" w:line="204" w:lineRule="exact"/>
                  </w:pPr>
                  <w:r>
                    <w:rPr>
                      <w:rFonts w:ascii="Calibri" w:hAnsi="Calibri"/>
                      <w:b/>
                      <w:i w:val="0"/>
                      <w:color w:val="1D4ED8"/>
                      <w:sz w:val="18"/>
                    </w:rPr>
                    <w:t>AI Security</w:t>
                  </w:r>
                </w:p>
                <w:p>
                  <w:pPr>
                    <w:spacing w:after="0" w:line="204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• LLM Red Teaming &amp; Jailbreak Benchmarking (PwC)</w:t>
                  </w:r>
                </w:p>
              </w:tc>
            </w:tr>
          </w:tbl>
          <w:p/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374151"/>
                <w:sz w:val="4"/>
              </w:rPr>
            </w:r>
          </w:p>
          <w:p>
            <w:pPr>
              <w:spacing w:before="100" w:after="60" w:line="260" w:lineRule="exac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KEY ATTRIBUTES</w:t>
            </w:r>
          </w:p>
          <w:p>
            <w:pPr>
              <w:spacing w:after="60" w:line="204" w:lineRule="exact"/>
              <w:ind w:left="28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Client Relationship Management</w:t>
            </w:r>
          </w:p>
          <w:p>
            <w:pPr>
              <w:spacing w:after="60" w:line="204" w:lineRule="exact"/>
              <w:ind w:left="28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Fast Learner</w:t>
            </w:r>
          </w:p>
          <w:p>
            <w:pPr>
              <w:spacing w:after="60" w:line="204" w:lineRule="exact"/>
              <w:ind w:left="28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Technical Troubleshooting</w:t>
            </w:r>
          </w:p>
          <w:p>
            <w:pPr>
              <w:spacing w:after="60" w:line="204" w:lineRule="exact"/>
              <w:ind w:left="28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Cross-functional Collaboration</w:t>
            </w:r>
          </w:p>
          <w:p>
            <w:pPr>
              <w:spacing w:after="60" w:line="204" w:lineRule="exact"/>
              <w:ind w:left="28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Stakeholder Communication (Non-Technical)</w:t>
            </w:r>
          </w:p>
          <w:p>
            <w:pPr>
              <w:spacing w:after="200" w:line="204" w:lineRule="exact"/>
              <w:ind w:left="28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Technical Documentation</w:t>
            </w:r>
          </w:p>
          <w:p>
            <w:pPr>
              <w:spacing w:before="100" w:after="60" w:line="260" w:lineRule="exac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LANGUAGES</w:t>
            </w:r>
          </w:p>
          <w:p>
            <w:pPr>
              <w:spacing w:before="0" w:after="20" w:line="204" w:lineRule="exact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English - C1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3088" w:type="dxa"/>
            </w:tblPr>
            <w:tblGrid>
              <w:gridCol w:w="2574"/>
              <w:gridCol w:w="514"/>
            </w:tblGrid>
            <w:tr>
              <w:trPr>
                <w:trHeight w:val="110" w:hRule="exact"/>
              </w:trPr>
              <w:tc>
                <w:tcPr>
                  <w:tcW w:type="dxa" w:w="2574"/>
                  <w:shd w:val="clear" w:fill="2563E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line="240" w:lineRule="auto"/>
                  </w:pPr>
                </w:p>
              </w:tc>
              <w:tc>
                <w:tcPr>
                  <w:tcW w:type="dxa" w:w="515"/>
                  <w:shd w:val="clear" w:fill="D1D5D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line="240" w:lineRule="auto"/>
                  </w:pPr>
                </w:p>
              </w:tc>
            </w:tr>
          </w:tbl>
          <w:p/>
          <w:p>
            <w:pPr>
              <w:spacing w:before="0" w:after="120" w:line="240" w:lineRule="auto"/>
            </w:pPr>
            <w:r>
              <w:rPr>
                <w:rFonts w:ascii="Calibri" w:hAnsi="Calibri"/>
                <w:b w:val="0"/>
                <w:i w:val="0"/>
                <w:color w:val="374151"/>
                <w:sz w:val="4"/>
              </w:rPr>
            </w:r>
          </w:p>
          <w:p>
            <w:pPr>
              <w:spacing w:before="0" w:after="20" w:line="204" w:lineRule="exact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French - B2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3088" w:type="dxa"/>
            </w:tblPr>
            <w:tblGrid>
              <w:gridCol w:w="2059"/>
              <w:gridCol w:w="1029"/>
            </w:tblGrid>
            <w:tr>
              <w:trPr>
                <w:trHeight w:val="110" w:hRule="exact"/>
              </w:trPr>
              <w:tc>
                <w:tcPr>
                  <w:tcW w:type="dxa" w:w="2059"/>
                  <w:shd w:val="clear" w:fill="2563E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line="240" w:lineRule="auto"/>
                  </w:pPr>
                </w:p>
              </w:tc>
              <w:tc>
                <w:tcPr>
                  <w:tcW w:type="dxa" w:w="1030"/>
                  <w:shd w:val="clear" w:fill="D1D5D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line="240" w:lineRule="auto"/>
                  </w:pPr>
                </w:p>
              </w:tc>
            </w:tr>
          </w:tbl>
          <w:p/>
          <w:p>
            <w:pPr>
              <w:spacing w:before="0" w:after="120" w:line="240" w:lineRule="auto"/>
            </w:pPr>
            <w:r>
              <w:rPr>
                <w:rFonts w:ascii="Calibri" w:hAnsi="Calibri"/>
                <w:b w:val="0"/>
                <w:i w:val="0"/>
                <w:color w:val="374151"/>
                <w:sz w:val="4"/>
              </w:rPr>
            </w:r>
          </w:p>
          <w:p>
            <w:pPr>
              <w:spacing w:before="0" w:after="20" w:line="204" w:lineRule="exact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Hindi - Native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3117" w:type="dxa"/>
            </w:tblPr>
            <w:tblGrid>
              <w:gridCol w:w="3088"/>
              <w:gridCol w:w="28"/>
            </w:tblGrid>
            <w:tr>
              <w:trPr>
                <w:trHeight w:val="110" w:hRule="exact"/>
              </w:trPr>
              <w:tc>
                <w:tcPr>
                  <w:tcW w:type="dxa" w:w="3089"/>
                  <w:shd w:val="clear" w:fill="2563E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line="240" w:lineRule="auto"/>
                  </w:pPr>
                </w:p>
              </w:tc>
              <w:tc>
                <w:tcPr>
                  <w:tcW w:type="dxa" w:w="28"/>
                  <w:shd w:val="clear" w:fill="D1D5D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line="240" w:lineRule="auto"/>
                  </w:pPr>
                </w:p>
              </w:tc>
            </w:tr>
          </w:tbl>
          <w:p/>
          <w:p>
            <w:pPr>
              <w:spacing w:before="0" w:after="120" w:line="240" w:lineRule="auto"/>
            </w:pPr>
            <w:r>
              <w:rPr>
                <w:rFonts w:ascii="Calibri" w:hAnsi="Calibri"/>
                <w:b w:val="0"/>
                <w:i w:val="0"/>
                <w:color w:val="374151"/>
                <w:sz w:val="4"/>
              </w:rPr>
            </w:r>
          </w:p>
          <w:p>
            <w:pPr>
              <w:spacing w:before="0" w:after="20" w:line="204" w:lineRule="exact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Spanish - B1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3088" w:type="dxa"/>
            </w:tblPr>
            <w:tblGrid>
              <w:gridCol w:w="1544"/>
              <w:gridCol w:w="1544"/>
            </w:tblGrid>
            <w:tr>
              <w:trPr>
                <w:trHeight w:val="110" w:hRule="exact"/>
              </w:trPr>
              <w:tc>
                <w:tcPr>
                  <w:tcW w:type="dxa" w:w="1544"/>
                  <w:shd w:val="clear" w:fill="2563E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line="240" w:lineRule="auto"/>
                  </w:pPr>
                </w:p>
              </w:tc>
              <w:tc>
                <w:tcPr>
                  <w:tcW w:type="dxa" w:w="1544"/>
                  <w:shd w:val="clear" w:fill="D1D5DB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line="240" w:lineRule="auto"/>
                  </w:pPr>
                </w:p>
              </w:tc>
            </w:tr>
          </w:tbl>
          <w:p/>
          <w:p>
            <w:pPr>
              <w:spacing w:before="0" w:after="120" w:line="240" w:lineRule="auto"/>
            </w:pPr>
            <w:r>
              <w:rPr>
                <w:rFonts w:ascii="Calibri" w:hAnsi="Calibri"/>
                <w:b w:val="0"/>
                <w:i w:val="0"/>
                <w:color w:val="374151"/>
                <w:sz w:val="4"/>
              </w:rPr>
            </w:r>
          </w:p>
          <w:p>
            <w:pPr>
              <w:spacing w:before="100" w:after="60" w:line="260" w:lineRule="exact"/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INTERESTS</w:t>
            </w:r>
          </w:p>
          <w:p>
            <w:pPr>
              <w:spacing w:after="60" w:line="204" w:lineRule="exact"/>
              <w:ind w:left="28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Starcraft 2</w:t>
            </w:r>
          </w:p>
          <w:p>
            <w:pPr>
              <w:spacing w:after="60" w:line="204" w:lineRule="exact"/>
              <w:ind w:left="28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Running</w:t>
            </w:r>
          </w:p>
          <w:p>
            <w:pPr>
              <w:spacing w:after="0" w:line="204" w:lineRule="exact"/>
              <w:ind w:left="28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Self hosting</w:t>
            </w:r>
          </w:p>
        </w:tc>
        <w:tc>
          <w:tcPr>
            <w:tcW w:type="dxa" w:w="7683"/>
            <w:tcMar>
              <w:top w:w="140" w:type="dxa"/>
              <w:bottom w:w="140" w:type="dxa"/>
              <w:start w:w="240" w:type="dxa"/>
              <w:end w:w="240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i w:val="0"/>
                <w:color w:val="374151"/>
                <w:sz w:val="4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7229" w:type="dxa"/>
            </w:tblPr>
            <w:tblGrid>
              <w:gridCol w:w="7229"/>
            </w:tblGrid>
            <w:tr>
              <w:tc>
                <w:tcPr>
                  <w:tcW w:type="dxa" w:w="7229"/>
                  <w:shd w:val="clear" w:fill="EEF4FF"/>
                  <w:tcBorders>
                    <w:top w:val="nil"/>
                    <w:left w:val="single" w:sz="12" w:color="2563EB"/>
                    <w:bottom w:val="nil"/>
                    <w:right w:val="nil"/>
                  </w:tcBorders>
                  <w:tcMar>
                    <w:top w:w="50" w:type="dxa"/>
                    <w:bottom w:w="50" w:type="dxa"/>
                    <w:start w:w="120" w:type="dxa"/>
                    <w:end w:w="120" w:type="dxa"/>
                  </w:tcMar>
                </w:tcPr>
                <w:p>
                  <w:pPr>
                    <w:spacing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1F2937"/>
                      <w:sz w:val="21"/>
                    </w:rPr>
                    <w:t>PROFESSIONAL SUMMARY</w:t>
                  </w:r>
                </w:p>
                <w:p>
                  <w:pPr>
                    <w:spacing w:line="204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AI Infrastructure Engineer focused on sovereign AI deployment and production-ready systems. I bridge local AI and cloud infrastructure — deploying LLMs on-premise and in-cloud with vLLM and llama.cpp, with security benchmarking and automation that balance performance, cost, and data sovereignty.</w:t>
                  </w:r>
                </w:p>
              </w:tc>
            </w:tr>
          </w:tbl>
          <w:p/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374151"/>
                <w:sz w:val="4"/>
              </w:rPr>
            </w:r>
          </w:p>
          <w:p>
            <w:pPr>
              <w:spacing w:before="40" w:after="20" w:line="260" w:lineRule="exact"/>
              <w:pBdr>
                <w:bottom w:val="single" w:sz="4" w:space="2" w:color="2563EB"/>
              </w:pBdr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TECHNICAL SKILLS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7059" w:type="dxa"/>
            </w:tblPr>
            <w:tblGrid>
              <w:gridCol w:w="2324"/>
              <w:gridCol w:w="2324"/>
              <w:gridCol w:w="2409"/>
            </w:tblGrid>
            <w:tr>
              <w:tc>
                <w:tcPr>
                  <w:tcW w:type="dxa" w:w="2325"/>
                  <w:tcMar>
                    <w:top w:w="30" w:type="dxa"/>
                    <w:bottom w:w="30" w:type="dxa"/>
                    <w:start w:w="60" w:type="dxa"/>
                    <w:end w:w="60" w:type="dxa"/>
                  </w:tcMar>
                </w:tcPr>
                <w:p>
                  <w:pPr>
                    <w:spacing w:after="40" w:line="220" w:lineRule="exact"/>
                    <w:shd w:val="clear" w:fill="DBEAFE"/>
                  </w:pPr>
                  <w:r>
                    <w:rPr>
                      <w:rFonts w:ascii="Calibri" w:hAnsi="Calibri"/>
                      <w:b/>
                      <w:i w:val="0"/>
                      <w:color w:val="1F2937"/>
                      <w:sz w:val="18"/>
                    </w:rPr>
                    <w:t>CLOUD &amp; INFRASTRUCTURE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Azure, AWS, GCP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Docker, Containerization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Terraform, Ansible (IaC)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CI/CD, DevOps Pipelines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Proxmox, VM Networking, Coolify</w:t>
                  </w:r>
                </w:p>
              </w:tc>
              <w:tc>
                <w:tcPr>
                  <w:tcW w:type="dxa" w:w="2325"/>
                  <w:tcMar>
                    <w:top w:w="30" w:type="dxa"/>
                    <w:bottom w:w="30" w:type="dxa"/>
                    <w:start w:w="60" w:type="dxa"/>
                    <w:end w:w="60" w:type="dxa"/>
                  </w:tcMar>
                </w:tcPr>
                <w:p>
                  <w:pPr>
                    <w:spacing w:after="40" w:line="220" w:lineRule="exact"/>
                    <w:shd w:val="clear" w:fill="DBEAFE"/>
                  </w:pPr>
                  <w:r>
                    <w:rPr>
                      <w:rFonts w:ascii="Calibri" w:hAnsi="Calibri"/>
                      <w:b/>
                      <w:i w:val="0"/>
                      <w:color w:val="1F2937"/>
                      <w:sz w:val="18"/>
                    </w:rPr>
                    <w:t>AI ENGINEERING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Python, TypeScript, Bash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LLM Deployment (vLLM, llama.cpp)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RAG, Prompt Orchestration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LoRA/PEFT Fine-tuning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Model Serving &amp; Benchmarking</w:t>
                  </w:r>
                </w:p>
              </w:tc>
              <w:tc>
                <w:tcPr>
                  <w:tcW w:type="dxa" w:w="2410"/>
                  <w:tcMar>
                    <w:top w:w="30" w:type="dxa"/>
                    <w:bottom w:w="30" w:type="dxa"/>
                    <w:start w:w="60" w:type="dxa"/>
                    <w:end w:w="60" w:type="dxa"/>
                  </w:tcMar>
                </w:tcPr>
                <w:p>
                  <w:pPr>
                    <w:spacing w:after="40" w:line="220" w:lineRule="exact"/>
                    <w:shd w:val="clear" w:fill="DBEAFE"/>
                  </w:pPr>
                  <w:r>
                    <w:rPr>
                      <w:rFonts w:ascii="Calibri" w:hAnsi="Calibri"/>
                      <w:b/>
                      <w:i w:val="0"/>
                      <w:color w:val="1F2937"/>
                      <w:sz w:val="18"/>
                    </w:rPr>
                    <w:t>AI SECURITY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AI Security Benchmarking &amp; Red Teaming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LLM Jailbreak Testing &amp; Evaluation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Prompt Injection Analysis</w:t>
                  </w:r>
                </w:p>
                <w:p>
                  <w:pPr>
                    <w:spacing w:after="0" w:line="204" w:lineRule="exact"/>
                    <w:ind w:left="113"/>
                  </w:pPr>
                  <w:r>
                    <w:rPr>
                      <w:rFonts w:ascii="Calibri" w:hAnsi="Calibri"/>
                      <w:b w:val="0"/>
                      <w:i w:val="0"/>
                      <w:color w:val="374151"/>
                      <w:sz w:val="18"/>
                    </w:rPr>
                    <w:t>• Secure Cloud Infrastructure</w:t>
                  </w:r>
                </w:p>
              </w:tc>
            </w:tr>
          </w:tbl>
          <w:p/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i w:val="0"/>
                <w:color w:val="374151"/>
                <w:sz w:val="4"/>
              </w:rPr>
            </w:r>
          </w:p>
          <w:p>
            <w:pPr>
              <w:spacing w:before="40" w:after="20" w:line="260" w:lineRule="exact"/>
              <w:pBdr>
                <w:bottom w:val="single" w:sz="4" w:space="2" w:color="2563EB"/>
              </w:pBdr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PROJECTS</w:t>
            </w:r>
          </w:p>
          <w:p>
            <w:pPr>
              <w:spacing w:after="6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374151"/>
                <w:sz w:val="18"/>
              </w:rPr>
              <w:t>AI Security Benchmarking Framework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 — Jailbreak evaluation across 3 benchmarks (300 prompts/model) on Qwen, Gemma, Minimax, Kimi — TTFT, throughput, and safety scores for sovereign AI provider selection</w:t>
            </w:r>
          </w:p>
          <w:p>
            <w:pPr>
              <w:spacing w:after="6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374151"/>
                <w:sz w:val="18"/>
              </w:rPr>
              <w:t>Self-Hosted LLM/HPC Infrastructure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 — Containerized LLM services (vLLM, llama.cpp) with GPU optimization, quantization, and autoscaling</w:t>
            </w:r>
          </w:p>
          <w:p>
            <w:pPr>
              <w:spacing w:after="6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374151"/>
                <w:sz w:val="18"/>
              </w:rPr>
              <w:t>Proxmox Home Lab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 — Self-hosted stack (Proxmox, Coolify, Docker): containerized services, VM networking, IaC workflows</w:t>
            </w:r>
          </w:p>
          <w:p>
            <w:pPr>
              <w:spacing w:after="12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374151"/>
                <w:sz w:val="18"/>
              </w:rPr>
              <w:t>Local AI Deployment Pipeline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 — End-to-end sovereign AI: model selection, LoRA fine-tuning, inference optimization, monitoring</w:t>
            </w:r>
          </w:p>
          <w:p>
            <w:pPr>
              <w:spacing w:before="40" w:after="20" w:line="260" w:lineRule="exact"/>
              <w:pBdr>
                <w:bottom w:val="single" w:sz="4" w:space="2" w:color="2563EB"/>
              </w:pBdr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AI &amp; DATA EXPERIENCE</w:t>
            </w:r>
          </w:p>
          <w:p>
            <w:pPr>
              <w:spacing w:before="0" w:after="20" w:line="204" w:lineRule="exac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Technology Consultant | AI &amp; Cloud Infrastructure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7229" w:type="dxa"/>
            </w:tblPr>
            <w:tblGrid>
              <w:gridCol w:w="4763"/>
              <w:gridCol w:w="2465"/>
            </w:tblGrid>
            <w:tr>
              <w:tc>
                <w:tcPr>
                  <w:tcW w:type="dxa" w:w="4763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after="20" w:line="204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PwC Advisory - Luxembourg</w:t>
                  </w:r>
                </w:p>
              </w:tc>
              <w:tc>
                <w:tcPr>
                  <w:tcW w:type="dxa" w:w="2466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after="0" w:line="220" w:lineRule="exact"/>
                    <w:jc w:val="righ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February 2023 – Present</w:t>
                  </w:r>
                </w:p>
                <w:p>
                  <w:pPr>
                    <w:spacing w:after="20" w:line="220" w:lineRule="exact"/>
                    <w:jc w:val="right"/>
                  </w:pPr>
                  <w:r>
                    <w:rPr>
                      <w:rFonts w:ascii="Calibri" w:hAnsi="Calibri"/>
                      <w:b w:val="0"/>
                      <w:i/>
                      <w:color w:val="6B7280"/>
                      <w:sz w:val="18"/>
                    </w:rPr>
                    <w:t>3 years</w:t>
                  </w:r>
                </w:p>
              </w:tc>
            </w:tr>
          </w:tbl>
          <w:p/>
          <w:p>
            <w:pPr>
              <w:spacing w:after="2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Led client-facing enterprise AI evaluations — RFI/RFP assessment, maturity analysis, vendor benchmarking; translated findings for non-technical stakeholders</w:t>
            </w:r>
          </w:p>
          <w:p>
            <w:pPr>
              <w:spacing w:after="2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Deployed self-hosted LLM infrastructure (vLLM, llama.cpp) with GPU optimization, quantization, and containerized orchestration</w:t>
            </w:r>
          </w:p>
          <w:p>
            <w:pPr>
              <w:spacing w:after="2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Built an AI security benchmarking framework for sovereign AI provider selection — jailbreak evaluation, TTFT/throughput, and safety scoring across open-weight models</w:t>
            </w:r>
          </w:p>
          <w:p>
            <w:pPr>
              <w:spacing w:after="2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Designed LLM pipelines (RAG, serving, benchmarking) and automated infrastructure with AI-driven agents (Ansible, Docker, Coolify)</w:t>
            </w:r>
          </w:p>
          <w:p>
            <w:pPr>
              <w:spacing w:before="40" w:after="20" w:line="204" w:lineRule="exac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AI Development Intern | Computer Vision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7229" w:type="dxa"/>
            </w:tblPr>
            <w:tblGrid>
              <w:gridCol w:w="4763"/>
              <w:gridCol w:w="2465"/>
            </w:tblGrid>
            <w:tr>
              <w:tc>
                <w:tcPr>
                  <w:tcW w:type="dxa" w:w="4763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after="20" w:line="204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Vodafone Procure &amp; Connect (D2C Lab) - Luxembourg</w:t>
                  </w:r>
                </w:p>
              </w:tc>
              <w:tc>
                <w:tcPr>
                  <w:tcW w:type="dxa" w:w="2466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after="0" w:line="220" w:lineRule="exact"/>
                    <w:jc w:val="righ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October 2020 – September 2021</w:t>
                  </w:r>
                </w:p>
                <w:p>
                  <w:pPr>
                    <w:spacing w:after="20" w:line="220" w:lineRule="exact"/>
                    <w:jc w:val="right"/>
                  </w:pPr>
                  <w:r>
                    <w:rPr>
                      <w:rFonts w:ascii="Calibri" w:hAnsi="Calibri"/>
                      <w:b w:val="0"/>
                      <w:i/>
                      <w:color w:val="6B7280"/>
                      <w:sz w:val="18"/>
                    </w:rPr>
                    <w:t>1 year</w:t>
                  </w:r>
                </w:p>
              </w:tc>
            </w:tr>
          </w:tbl>
          <w:p/>
          <w:p>
            <w:pPr>
              <w:spacing w:after="2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Deep learning computer vision for electronic component identification — model design, AWS EC2 deployment, and a GUI for non-technical users</w:t>
            </w:r>
          </w:p>
          <w:p>
            <w:pPr>
              <w:spacing w:after="2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Achieved </w:t>
            </w:r>
            <w:r>
              <w:rPr>
                <w:rFonts w:ascii="Calibri" w:hAnsi="Calibri"/>
                <w:b/>
                <w:i w:val="0"/>
                <w:color w:val="374151"/>
                <w:sz w:val="18"/>
              </w:rPr>
              <w:t>99.44% precision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 in object detection for chipsets and motherboards</w:t>
            </w:r>
          </w:p>
          <w:p>
            <w:pPr>
              <w:spacing w:after="2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Featured in European Business Review (</w:t>
            </w:r>
            <w:hyperlink r:id="rId11">
              <w:r>
                <w:rPr>
                  <w:rFonts w:ascii="Calibri" w:hAnsi="Calibri"/>
                  <w:sz w:val="18"/>
                  <w:color w:val="2563EB"/>
                </w:rPr>
                <w:t>link</w:t>
              </w:r>
            </w:hyperlink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)</w:t>
            </w:r>
          </w:p>
          <w:p>
            <w:pPr>
              <w:spacing w:before="40" w:after="20" w:line="204" w:lineRule="exac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Application Development Associate | Data Migration Specialist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7229" w:type="dxa"/>
            </w:tblPr>
            <w:tblGrid>
              <w:gridCol w:w="4763"/>
              <w:gridCol w:w="2465"/>
            </w:tblGrid>
            <w:tr>
              <w:tc>
                <w:tcPr>
                  <w:tcW w:type="dxa" w:w="4763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after="20" w:line="204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Accenture France - Paris</w:t>
                  </w:r>
                </w:p>
              </w:tc>
              <w:tc>
                <w:tcPr>
                  <w:tcW w:type="dxa" w:w="2466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after="0" w:line="220" w:lineRule="exact"/>
                    <w:jc w:val="righ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April 2022 – September 2022</w:t>
                  </w:r>
                </w:p>
                <w:p>
                  <w:pPr>
                    <w:spacing w:after="20" w:line="220" w:lineRule="exact"/>
                    <w:jc w:val="right"/>
                  </w:pPr>
                  <w:r>
                    <w:rPr>
                      <w:rFonts w:ascii="Calibri" w:hAnsi="Calibri"/>
                      <w:b w:val="0"/>
                      <w:i/>
                      <w:color w:val="6B7280"/>
                      <w:sz w:val="18"/>
                    </w:rPr>
                    <w:t>6 months</w:t>
                  </w:r>
                </w:p>
              </w:tc>
            </w:tr>
          </w:tbl>
          <w:p/>
          <w:p>
            <w:pPr>
              <w:spacing w:after="2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Designed and modelled business processes using BPMN and automated workflows using Python/VBA</w:t>
            </w:r>
          </w:p>
          <w:p>
            <w:pPr>
              <w:spacing w:after="20" w:line="259" w:lineRule="auto"/>
              <w:ind w:left="113"/>
            </w:pP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>Contributed to big data retail system implementation with large-scale legacy data migration</w:t>
            </w:r>
          </w:p>
          <w:p>
            <w:pPr>
              <w:spacing w:before="40" w:after="20" w:line="260" w:lineRule="exact"/>
              <w:pBdr>
                <w:bottom w:val="single" w:sz="4" w:space="2" w:color="2563EB"/>
              </w:pBdr>
            </w:pPr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EDUCATION &amp; RESEARCH</w:t>
            </w:r>
          </w:p>
          <w:p>
            <w:pPr>
              <w:spacing w:before="40" w:after="0" w:line="204" w:lineRule="exac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Master's in Information Systems (MIAGE)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7229" w:type="dxa"/>
            </w:tblPr>
            <w:tblGrid>
              <w:gridCol w:w="4763"/>
              <w:gridCol w:w="2465"/>
            </w:tblGrid>
            <w:tr>
              <w:tc>
                <w:tcPr>
                  <w:tcW w:type="dxa" w:w="4763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after="20" w:line="204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Université Toulouse 1 Capitole, France</w:t>
                  </w:r>
                </w:p>
              </w:tc>
              <w:tc>
                <w:tcPr>
                  <w:tcW w:type="dxa" w:w="2466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after="20" w:line="220" w:lineRule="exact"/>
                    <w:jc w:val="righ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2019 – 2022</w:t>
                  </w:r>
                </w:p>
              </w:tc>
            </w:tr>
          </w:tbl>
          <w:p/>
          <w:p>
            <w:pPr>
              <w:spacing w:after="0" w:line="204" w:lineRule="exact"/>
            </w:pPr>
            <w:r>
              <w:rPr>
                <w:rFonts w:ascii="Calibri" w:hAnsi="Calibri"/>
                <w:b/>
                <w:i w:val="0"/>
                <w:color w:val="374151"/>
                <w:sz w:val="18"/>
              </w:rPr>
              <w:t>Coursework:</w:t>
            </w:r>
            <w:r>
              <w:rPr>
                <w:rFonts w:ascii="Calibri" w:hAnsi="Calibri"/>
                <w:b w:val="0"/>
                <w:i w:val="0"/>
                <w:color w:val="374151"/>
                <w:sz w:val="18"/>
              </w:rPr>
              <w:t xml:space="preserve"> AI Systems Architecture, Advanced Data Analysis, Business Intelligence</w:t>
            </w:r>
          </w:p>
          <w:p>
            <w:pPr>
              <w:spacing w:before="20" w:after="0" w:line="204" w:lineRule="exact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Bachelor's in Computer Science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W w:w="7229" w:type="dxa"/>
            </w:tblPr>
            <w:tblGrid>
              <w:gridCol w:w="4763"/>
              <w:gridCol w:w="2465"/>
            </w:tblGrid>
            <w:tr>
              <w:tc>
                <w:tcPr>
                  <w:tcW w:type="dxa" w:w="4763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after="20" w:line="204" w:lineRule="exac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University of Mumbai, India</w:t>
                  </w:r>
                </w:p>
              </w:tc>
              <w:tc>
                <w:tcPr>
                  <w:tcW w:type="dxa" w:w="2466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</w:tcPr>
                <w:p>
                  <w:pPr>
                    <w:spacing w:after="20" w:line="220" w:lineRule="exact"/>
                    <w:jc w:val="right"/>
                  </w:pPr>
                  <w:r>
                    <w:rPr>
                      <w:rFonts w:ascii="Calibri" w:hAnsi="Calibri"/>
                      <w:b w:val="0"/>
                      <w:i w:val="0"/>
                      <w:color w:val="4B5563"/>
                      <w:sz w:val="18"/>
                    </w:rPr>
                    <w:t>2016 – 2019</w:t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142" w:right="283" w:bottom="142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</w:pPr>
    <w:rPr>
      <w:rFonts w:ascii="Calibri" w:hAnsi="Calibri" w:eastAsia="Calibri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mishchaudhari" TargetMode="External"/><Relationship Id="rId10" Type="http://schemas.openxmlformats.org/officeDocument/2006/relationships/hyperlink" Target="https://github.com/nimishchaudhari" TargetMode="External"/><Relationship Id="rId11" Type="http://schemas.openxmlformats.org/officeDocument/2006/relationships/hyperlink" Target="https://www.europeanbusinessreview.com/powering-costing-with-artificial-intelligence-the-case-of-vodafone-procur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