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8" w:name="content"/>
    <w:bookmarkStart w:id="27" w:name="importal-spec-registry"/>
    <w:p>
      <w:pPr>
        <w:pStyle w:val="Heading1"/>
      </w:pPr>
      <w:r>
        <w:t xml:space="preserve">Importal Spec Registry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Phase 5 — Step 3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CANONICAL</w:t>
      </w:r>
    </w:p>
    <w:p>
      <w:pPr>
        <w:pStyle w:val="BodyText"/>
      </w:pPr>
      <w:r>
        <w:rPr>
          <w:b/>
          <w:bCs/>
        </w:rPr>
        <w:t xml:space="preserve">Inputs:</w:t>
      </w:r>
    </w:p>
    <w:p>
      <w:pPr>
        <w:pStyle w:val="Compact"/>
        <w:numPr>
          <w:ilvl w:val="0"/>
          <w:numId w:val="1001"/>
        </w:numPr>
      </w:pPr>
      <w:r>
        <w:t xml:space="preserve">spec_corpus_inventory.md</w:t>
      </w:r>
    </w:p>
    <w:p>
      <w:pPr>
        <w:pStyle w:val="Compact"/>
        <w:numPr>
          <w:ilvl w:val="0"/>
          <w:numId w:val="1001"/>
        </w:numPr>
      </w:pPr>
      <w:r>
        <w:t xml:space="preserve">spec_corpus_classification.md</w:t>
      </w:r>
    </w:p>
    <w:bookmarkStart w:id="21" w:name="governing-artefacts"/>
    <w:p>
      <w:pPr>
        <w:pStyle w:val="Heading2"/>
      </w:pPr>
      <w:r>
        <w:t xml:space="preserve">Governing Artefacts</w:t>
      </w:r>
    </w:p>
    <w:p>
      <w:pPr>
        <w:pStyle w:val="Compact"/>
        <w:numPr>
          <w:ilvl w:val="0"/>
          <w:numId w:val="1002"/>
        </w:numPr>
      </w:pPr>
      <w:r>
        <w:t xml:space="preserve">Foundation Document v4</w:t>
      </w:r>
    </w:p>
    <w:p>
      <w:pPr>
        <w:pStyle w:val="Compact"/>
        <w:numPr>
          <w:ilvl w:val="0"/>
          <w:numId w:val="1002"/>
        </w:numPr>
      </w:pPr>
      <w:r>
        <w:t xml:space="preserve">Phase 0: Authority &amp; Operating Contract</w:t>
      </w:r>
    </w:p>
    <w:p>
      <w:pPr>
        <w:pStyle w:val="Compact"/>
        <w:numPr>
          <w:ilvl w:val="0"/>
          <w:numId w:val="1002"/>
        </w:numPr>
      </w:pPr>
      <w:r>
        <w:t xml:space="preserve">Phase 1: Immutable Constraints</w:t>
      </w:r>
    </w:p>
    <w:p>
      <w:pPr>
        <w:pStyle w:val="Compact"/>
        <w:numPr>
          <w:ilvl w:val="0"/>
          <w:numId w:val="1002"/>
        </w:numPr>
      </w:pPr>
      <w:r>
        <w:t xml:space="preserve">Phase 2: Global Stop‑Sign Index</w:t>
      </w:r>
    </w:p>
    <w:p>
      <w:pPr>
        <w:pStyle w:val="Compact"/>
        <w:numPr>
          <w:ilvl w:val="0"/>
          <w:numId w:val="1002"/>
        </w:numPr>
      </w:pPr>
      <w:r>
        <w:t xml:space="preserve">Phase 3: Phase Execution Model</w:t>
      </w:r>
    </w:p>
    <w:p>
      <w:pPr>
        <w:pStyle w:val="Compact"/>
        <w:numPr>
          <w:ilvl w:val="0"/>
          <w:numId w:val="1002"/>
        </w:numPr>
      </w:pPr>
      <w:r>
        <w:t xml:space="preserve">Phase 4: Glossary &amp; Naming Enforcement</w:t>
      </w:r>
    </w:p>
    <w:p>
      <w:pPr>
        <w:pStyle w:val="Compact"/>
        <w:numPr>
          <w:ilvl w:val="0"/>
          <w:numId w:val="1002"/>
        </w:numPr>
      </w:pPr>
      <w:r>
        <w:t xml:space="preserve">Phase 5: Spec Classification &amp; Mapping</w:t>
      </w:r>
    </w:p>
    <w:p>
      <w:pPr>
        <w:pStyle w:val="Compact"/>
        <w:numPr>
          <w:ilvl w:val="0"/>
          <w:numId w:val="1002"/>
        </w:numPr>
      </w:pPr>
      <w:r>
        <w:t xml:space="preserve">Phase 6: Governance Stability &amp; Drift Control</w:t>
      </w:r>
    </w:p>
    <w:bookmarkEnd w:id="21"/>
    <w:bookmarkStart w:id="25" w:name="registry-scope"/>
    <w:p>
      <w:pPr>
        <w:pStyle w:val="Heading2"/>
      </w:pPr>
      <w:r>
        <w:t xml:space="preserve">Registry Scope</w:t>
      </w:r>
    </w:p>
    <w:p>
      <w:pPr>
        <w:pStyle w:val="FirstParagraph"/>
      </w:pPr>
      <w:r>
        <w:t xml:space="preserve">The registry includes only artefacts with a</w:t>
      </w:r>
      <w:r>
        <w:t xml:space="preserve"> </w:t>
      </w:r>
      <w:r>
        <w:rPr>
          <w:b/>
          <w:bCs/>
        </w:rPr>
        <w:t xml:space="preserve">keep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disposition. Deleted artefacts are excluded. This index is derived directly from</w:t>
      </w:r>
      <w:r>
        <w:t xml:space="preserve"> </w:t>
      </w:r>
      <w:r>
        <w:rPr>
          <w:rStyle w:val="VerbatimChar"/>
        </w:rPr>
        <w:t xml:space="preserve">docs/spec_corpus_classification.md</w:t>
      </w:r>
      <w:r>
        <w:t xml:space="preserve"> </w:t>
      </w:r>
      <w:r>
        <w:t xml:space="preserve">and distinguishes between</w:t>
      </w:r>
      <w:r>
        <w:t xml:space="preserve"> </w:t>
      </w:r>
      <w:r>
        <w:rPr>
          <w:b/>
          <w:bCs/>
        </w:rPr>
        <w:t xml:space="preserve">active corpus</w:t>
      </w:r>
      <w:r>
        <w:t xml:space="preserve"> </w:t>
      </w:r>
      <w:r>
        <w:t xml:space="preserve">artefacts and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legacy artefacts.</w:t>
      </w:r>
    </w:p>
    <w:bookmarkStart w:id="22" w:name="active-corpus-artefacts"/>
    <w:p>
      <w:pPr>
        <w:pStyle w:val="Heading3"/>
      </w:pPr>
      <w:r>
        <w:t xml:space="preserve">Active Corpus Artefacts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registry_id</w:t>
            </w:r>
          </w:p>
        </w:tc>
        <w:tc>
          <w:tcPr/>
          <w:p>
            <w:pPr>
              <w:pStyle w:val="Compact"/>
            </w:pPr>
            <w:r>
              <w:t xml:space="preserve">artefact_id</w:t>
            </w:r>
          </w:p>
        </w:tc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phase_5_class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R030</w:t>
            </w:r>
          </w:p>
        </w:tc>
        <w:tc>
          <w:tcPr/>
          <w:p>
            <w:pPr>
              <w:pStyle w:val="Compact"/>
            </w:pPr>
            <w:r>
              <w:t xml:space="preserve">A030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importal_specs__opencode_review/application_toolbar.md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R031</w:t>
            </w:r>
          </w:p>
        </w:tc>
        <w:tc>
          <w:tcPr/>
          <w:p>
            <w:pPr>
              <w:pStyle w:val="Compact"/>
            </w:pPr>
            <w:r>
              <w:t xml:space="preserve">A031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importal_specs__opencode_review/browsing_history.md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R032</w:t>
            </w:r>
          </w:p>
        </w:tc>
        <w:tc>
          <w:tcPr/>
          <w:p>
            <w:pPr>
              <w:pStyle w:val="Compact"/>
            </w:pPr>
            <w:r>
              <w:t xml:space="preserve">A032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importal_specs__opencode_review/build_commands.md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R033</w:t>
            </w:r>
          </w:p>
        </w:tc>
        <w:tc>
          <w:tcPr/>
          <w:p>
            <w:pPr>
              <w:pStyle w:val="Compact"/>
            </w:pPr>
            <w:r>
              <w:t xml:space="preserve">A033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importal_specs__opencode_review/change_log.md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R034</w:t>
            </w:r>
          </w:p>
        </w:tc>
        <w:tc>
          <w:tcPr/>
          <w:p>
            <w:pPr>
              <w:pStyle w:val="Compact"/>
            </w:pPr>
            <w:r>
              <w:t xml:space="preserve">A034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importal_specs__opencode_review/conceptual_data_model.md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R035</w:t>
            </w:r>
          </w:p>
        </w:tc>
        <w:tc>
          <w:tcPr/>
          <w:p>
            <w:pPr>
              <w:pStyle w:val="Compact"/>
            </w:pPr>
            <w:r>
              <w:t xml:space="preserve">A035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importal_specs__opencode_review/dashboard.md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R039</w:t>
            </w:r>
          </w:p>
        </w:tc>
        <w:tc>
          <w:tcPr/>
          <w:p>
            <w:pPr>
              <w:pStyle w:val="Compact"/>
            </w:pPr>
            <w:r>
              <w:t xml:space="preserve">A039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importal_specs__opencode_review/history_attribution_spec.md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R040</w:t>
            </w:r>
          </w:p>
        </w:tc>
        <w:tc>
          <w:tcPr/>
          <w:p>
            <w:pPr>
              <w:pStyle w:val="Compact"/>
            </w:pPr>
            <w:r>
              <w:t xml:space="preserve">A040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importal_specs__opencode_review/hook_points.md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R041</w:t>
            </w:r>
          </w:p>
        </w:tc>
        <w:tc>
          <w:tcPr/>
          <w:p>
            <w:pPr>
              <w:pStyle w:val="Compact"/>
            </w:pPr>
            <w:r>
              <w:t xml:space="preserve">A041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importal_specs__opencode_review/internal_data_schema.md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R042</w:t>
            </w:r>
          </w:p>
        </w:tc>
        <w:tc>
          <w:tcPr/>
          <w:p>
            <w:pPr>
              <w:pStyle w:val="Compact"/>
            </w:pPr>
            <w:r>
              <w:t xml:space="preserve">A042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importal_specs__opencode_review/main_window.md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R043</w:t>
            </w:r>
          </w:p>
        </w:tc>
        <w:tc>
          <w:tcPr/>
          <w:p>
            <w:pPr>
              <w:pStyle w:val="Compact"/>
            </w:pPr>
            <w:r>
              <w:t xml:space="preserve">A043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importal_specs__opencode_review/mapping_to_firefox_internals.md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R045</w:t>
            </w:r>
          </w:p>
        </w:tc>
        <w:tc>
          <w:tcPr/>
          <w:p>
            <w:pPr>
              <w:pStyle w:val="Compact"/>
            </w:pPr>
            <w:r>
              <w:t xml:space="preserve">A045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importal_specs__opencode_review/taskspace_lifecycle.md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R046</w:t>
            </w:r>
          </w:p>
        </w:tc>
        <w:tc>
          <w:tcPr/>
          <w:p>
            <w:pPr>
              <w:pStyle w:val="Compact"/>
            </w:pPr>
            <w:r>
              <w:t xml:space="preserve">A046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importal_specs__opencode_review/taskspace_registry_spec.md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R047</w:t>
            </w:r>
          </w:p>
        </w:tc>
        <w:tc>
          <w:tcPr/>
          <w:p>
            <w:pPr>
              <w:pStyle w:val="Compact"/>
            </w:pPr>
            <w:r>
              <w:t xml:space="preserve">A047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importal_specs__opencode_review/taskspaces.md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R048</w:t>
            </w:r>
          </w:p>
        </w:tc>
        <w:tc>
          <w:tcPr/>
          <w:p>
            <w:pPr>
              <w:pStyle w:val="Compact"/>
            </w:pPr>
            <w:r>
              <w:t xml:space="preserve">A048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importal_specs__opencode_review/templates/README.md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R049</w:t>
            </w:r>
          </w:p>
        </w:tc>
        <w:tc>
          <w:tcPr/>
          <w:p>
            <w:pPr>
              <w:pStyle w:val="Compact"/>
            </w:pPr>
            <w:r>
              <w:t xml:space="preserve">A049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importal_specs__opencode_review/templates/windowType-gating.TEMPLATE.md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R050</w:t>
            </w:r>
          </w:p>
        </w:tc>
        <w:tc>
          <w:tcPr/>
          <w:p>
            <w:pPr>
              <w:pStyle w:val="Compact"/>
            </w:pPr>
            <w:r>
              <w:t xml:space="preserve">A050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importal_specs__opencode_review/verification_map.md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R051</w:t>
            </w:r>
          </w:p>
        </w:tc>
        <w:tc>
          <w:tcPr/>
          <w:p>
            <w:pPr>
              <w:pStyle w:val="Compact"/>
            </w:pPr>
            <w:r>
              <w:t xml:space="preserve">A051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importal_specs__opencode_review/version_differentiation.md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R052</w:t>
            </w:r>
          </w:p>
        </w:tc>
        <w:tc>
          <w:tcPr/>
          <w:p>
            <w:pPr>
              <w:pStyle w:val="Compact"/>
            </w:pPr>
            <w:r>
              <w:t xml:space="preserve">A052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importal_specs__opencode_review/window_type_spec.md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normative</w:t>
            </w:r>
          </w:p>
        </w:tc>
      </w:tr>
    </w:tbl>
    <w:bookmarkEnd w:id="22"/>
    <w:bookmarkStart w:id="23" w:name="archived-legacy-artefacts"/>
    <w:p>
      <w:pPr>
        <w:pStyle w:val="Heading3"/>
      </w:pPr>
      <w:r>
        <w:t xml:space="preserve">Archived Legacy Artefacts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registry_id</w:t>
            </w:r>
          </w:p>
        </w:tc>
        <w:tc>
          <w:tcPr/>
          <w:p>
            <w:pPr>
              <w:pStyle w:val="Compact"/>
            </w:pPr>
            <w:r>
              <w:t xml:space="preserve">artefact_id</w:t>
            </w:r>
          </w:p>
        </w:tc>
        <w:tc>
          <w:tcPr/>
          <w:p>
            <w:pPr>
              <w:pStyle w:val="Compact"/>
            </w:pPr>
            <w:r>
              <w:t xml:space="preserve">original_file_path</w:t>
            </w:r>
          </w:p>
        </w:tc>
        <w:tc>
          <w:tcPr/>
          <w:p>
            <w:pPr>
              <w:pStyle w:val="Compact"/>
            </w:pPr>
            <w:r>
              <w:t xml:space="preserve">archive_target_path</w:t>
            </w:r>
          </w:p>
        </w:tc>
        <w:tc>
          <w:tcPr/>
          <w:p>
            <w:pPr>
              <w:pStyle w:val="Compact"/>
            </w:pPr>
            <w:r>
              <w:t xml:space="preserve">superseded_by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R027</w:t>
            </w:r>
          </w:p>
        </w:tc>
        <w:tc>
          <w:tcPr/>
          <w:p>
            <w:pPr>
              <w:pStyle w:val="Compact"/>
            </w:pPr>
            <w:r>
              <w:t xml:space="preserve">A027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importal_specs__opencode_review/00_authority_hierarchy.md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Foundation Document v4</w:t>
            </w:r>
          </w:p>
        </w:tc>
        <w:tc>
          <w:tcPr/>
          <w:p>
            <w:pPr>
              <w:pStyle w:val="Compact"/>
            </w:pPr>
            <w: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R028</w:t>
            </w:r>
          </w:p>
        </w:tc>
        <w:tc>
          <w:tcPr/>
          <w:p>
            <w:pPr>
              <w:pStyle w:val="Compact"/>
            </w:pPr>
            <w:r>
              <w:t xml:space="preserve">A028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importal_specs__opencode_review/01_scope_and_non_goals.md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Phase 1 — Immutable Constraints</w:t>
            </w:r>
          </w:p>
        </w:tc>
        <w:tc>
          <w:tcPr/>
          <w:p>
            <w:pPr>
              <w:pStyle w:val="Compact"/>
            </w:pPr>
            <w: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R029</w:t>
            </w:r>
          </w:p>
        </w:tc>
        <w:tc>
          <w:tcPr/>
          <w:p>
            <w:pPr>
              <w:pStyle w:val="Compact"/>
            </w:pPr>
            <w:r>
              <w:t xml:space="preserve">A029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importal_specs__opencode_review/02_foundational_constraints.md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Foundation Document v4</w:t>
            </w:r>
          </w:p>
        </w:tc>
        <w:tc>
          <w:tcPr/>
          <w:p>
            <w:pPr>
              <w:pStyle w:val="Compact"/>
            </w:pPr>
            <w: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R036</w:t>
            </w:r>
          </w:p>
        </w:tc>
        <w:tc>
          <w:tcPr/>
          <w:p>
            <w:pPr>
              <w:pStyle w:val="Compact"/>
            </w:pPr>
            <w:r>
              <w:t xml:space="preserve">A036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importal_specs__opencode_review/development_plan.md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Phase 3 — Phase Execution Model</w:t>
            </w:r>
          </w:p>
        </w:tc>
        <w:tc>
          <w:tcPr/>
          <w:p>
            <w:pPr>
              <w:pStyle w:val="Compact"/>
            </w:pPr>
            <w: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R037</w:t>
            </w:r>
          </w:p>
        </w:tc>
        <w:tc>
          <w:tcPr/>
          <w:p>
            <w:pPr>
              <w:pStyle w:val="Compact"/>
            </w:pPr>
            <w:r>
              <w:t xml:space="preserve">A037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importal_specs__opencode_review/future_v1_build_plan.md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Phase 3 — Phase Execution Model</w:t>
            </w:r>
          </w:p>
        </w:tc>
        <w:tc>
          <w:tcPr/>
          <w:p>
            <w:pPr>
              <w:pStyle w:val="Compact"/>
            </w:pPr>
            <w: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R038</w:t>
            </w:r>
          </w:p>
        </w:tc>
        <w:tc>
          <w:tcPr/>
          <w:p>
            <w:pPr>
              <w:pStyle w:val="Compact"/>
            </w:pPr>
            <w:r>
              <w:t xml:space="preserve">A038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importal_specs__opencode_review/guardrails_and_stop_signs.md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Phase 2 — Global Stop‑Sign Index</w:t>
            </w:r>
          </w:p>
        </w:tc>
        <w:tc>
          <w:tcPr/>
          <w:p>
            <w:pPr>
              <w:pStyle w:val="Compact"/>
            </w:pPr>
            <w: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R044</w:t>
            </w:r>
          </w:p>
        </w:tc>
        <w:tc>
          <w:tcPr/>
          <w:p>
            <w:pPr>
              <w:pStyle w:val="Compact"/>
            </w:pPr>
            <w:r>
              <w:t xml:space="preserve">A044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importal_specs__opencode_review/product_principles.md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Foundation Document v4</w:t>
            </w:r>
          </w:p>
        </w:tc>
        <w:tc>
          <w:tcPr/>
          <w:p>
            <w:pPr>
              <w:pStyle w:val="Compact"/>
            </w:pPr>
            <w:r>
              <w:t xml:space="preserve">archived</w:t>
            </w:r>
          </w:p>
        </w:tc>
      </w:tr>
    </w:tbl>
    <w:bookmarkEnd w:id="23"/>
    <w:bookmarkStart w:id="24" w:name="excluded-deletions"/>
    <w:p>
      <w:pPr>
        <w:pStyle w:val="Heading3"/>
      </w:pPr>
      <w:r>
        <w:t xml:space="preserve">Excluded Deletions</w:t>
      </w:r>
    </w:p>
    <w:p>
      <w:pPr>
        <w:pStyle w:val="FirstParagraph"/>
      </w:pPr>
      <w:r>
        <w:t xml:space="preserve">The following artefact IDs were deleted and are excluded from the registry tables:</w:t>
      </w:r>
      <w:r>
        <w:t xml:space="preserve"> </w:t>
      </w:r>
      <w:r>
        <w:rPr>
          <w:b/>
          <w:bCs/>
        </w:rPr>
        <w:t xml:space="preserve">A001–A026</w:t>
      </w:r>
      <w:r>
        <w:t xml:space="preserve">. Deleted artefacts are excluded from registry tables by policy.</w:t>
      </w:r>
    </w:p>
    <w:bookmarkEnd w:id="24"/>
    <w:bookmarkEnd w:id="25"/>
    <w:bookmarkStart w:id="26" w:name="registry-rules"/>
    <w:p>
      <w:pPr>
        <w:pStyle w:val="Heading2"/>
      </w:pPr>
      <w:r>
        <w:t xml:space="preserve">Registry Rules</w:t>
      </w:r>
    </w:p>
    <w:p>
      <w:pPr>
        <w:pStyle w:val="Compact"/>
        <w:numPr>
          <w:ilvl w:val="0"/>
          <w:numId w:val="1003"/>
        </w:numPr>
      </w:pPr>
      <w:r>
        <w:t xml:space="preserve">Phase 5 classification is required before a specification can be included in the registry.</w:t>
      </w:r>
    </w:p>
    <w:p>
      <w:pPr>
        <w:pStyle w:val="Compact"/>
        <w:numPr>
          <w:ilvl w:val="0"/>
          <w:numId w:val="1003"/>
        </w:numPr>
      </w:pPr>
      <w:r>
        <w:t xml:space="preserve">The registry is updated only through a recorded change_log entry; ad‑hoc modifications are not permitted.</w:t>
      </w:r>
    </w:p>
    <w:p>
      <w:pPr>
        <w:pStyle w:val="Compact"/>
        <w:numPr>
          <w:ilvl w:val="0"/>
          <w:numId w:val="1003"/>
        </w:numPr>
      </w:pPr>
      <w:r>
        <w:t xml:space="preserve">Artefacts marked with a delete disposition are never registered and remain excluded.</w:t>
      </w:r>
    </w:p>
    <w:p>
      <w:pPr>
        <w:pStyle w:val="Compact"/>
        <w:numPr>
          <w:ilvl w:val="0"/>
          <w:numId w:val="1003"/>
        </w:numPr>
      </w:pPr>
      <w:r>
        <w:t xml:space="preserve">Archived artefacts remain indexed in a separate table but are not part of the active corpus.</w:t>
      </w:r>
    </w:p>
    <w:bookmarkEnd w:id="26"/>
    <w:bookmarkEnd w:id="27"/>
    <w:bookmarkEnd w:id="28"/>
    <w:p>
      <w:r>
        <w:pict>
          <v:rect style="width:0;height:1.5pt" o:hralign="center" o:hrstd="t" o:hr="t"/>
        </w:pict>
      </w:r>
    </w:p>
    <w:bookmarkStart w:id="29" w:name="citations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2026-01-29T04:11:00Z</dcterms:created>
  <dcterms:modified xsi:type="dcterms:W3CDTF">2026-01-29T04:11:00Z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