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08/11/2021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7A.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objective of this session is to learn the working and advantages of arrays in C++.</w:t>
      </w:r>
    </w:p>
    <w:p w:rsidR="00000000" w:rsidDel="00000000" w:rsidP="00000000" w:rsidRDefault="00000000" w:rsidRPr="00000000" w14:paraId="00000031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 array is a sequence of objects of the same data type. The objects in an array are also called elements of an array. An array is represented in the computer memory by a consecutive group of storage locations. These locations are referenced by a single variable called array name. Each element of an array is referenced by its position in an array. 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a program that allows the user to enter the number of votes received by 5 candidates. The program should then output the candidate's number, the number of votes received, and the percentage of the total votes received by the candidate. A sample output is: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Candidate </w:t>
        <w:tab/>
        <w:tab/>
        <w:tab/>
        <w:t xml:space="preserve">Votes Received </w:t>
        <w:tab/>
        <w:tab/>
        <w:t xml:space="preserve">% of Total Votes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1 </w:t>
        <w:tab/>
        <w:tab/>
        <w:tab/>
        <w:tab/>
        <w:t xml:space="preserve">5000 </w:t>
        <w:tab/>
        <w:tab/>
        <w:tab/>
        <w:tab/>
        <w:t xml:space="preserve">25.91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240" w:before="360" w:lineRule="auto"/>
        <w:ind w:left="720" w:hanging="360"/>
        <w:jc w:val="both"/>
        <w:rPr>
          <w:b w:val="0"/>
          <w:color w:val="24292f"/>
          <w:sz w:val="24"/>
          <w:szCs w:val="24"/>
          <w:highlight w:val="white"/>
        </w:rPr>
      </w:pPr>
      <w:bookmarkStart w:colFirst="0" w:colLast="0" w:name="_heading=h.sj83gyl1esfk" w:id="8"/>
      <w:bookmarkEnd w:id="8"/>
      <w:r w:rsidDel="00000000" w:rsidR="00000000" w:rsidRPr="00000000">
        <w:rPr>
          <w:b w:val="0"/>
          <w:color w:val="24292f"/>
          <w:sz w:val="24"/>
          <w:szCs w:val="24"/>
          <w:highlight w:val="white"/>
          <w:rtl w:val="0"/>
        </w:rPr>
        <w:t xml:space="preserve">Write pseudocode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Input array[num],percentage[num]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Where num=5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Make a loop to enter the votes of each candidate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For( int u=0; u&lt;=4;u++)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  Output “Enter number of votes”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   Read arr[u]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Set sum=0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For (int v=0;v&lt;=4;v++)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   Sum=sum+arr[v]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For(int w=0;w&lt;=4;w++)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   Percentage[w]=(arr[w]*100/)total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For(input x=0;x&lt;=4;x++)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1fob9te" w:id="9"/>
            <w:bookmarkEnd w:id="9"/>
            <w:r w:rsidDel="00000000" w:rsidR="00000000" w:rsidRPr="00000000">
              <w:rPr>
                <w:rtl w:val="0"/>
              </w:rPr>
              <w:t xml:space="preserve">   Output x+1 arr[x] percentage[x]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Draw 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5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</w:rPr>
              <w:drawing>
                <wp:inline distB="0" distT="0" distL="0" distR="0">
                  <wp:extent cx="5673725" cy="351917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3519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C++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0.0" w:type="dxa"/>
        <w:jc w:val="left"/>
        <w:tblInd w:w="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rHeight w:val="97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votes[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percentage[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tableOfVotes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percen[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//initializing percent array of 5c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 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//initializing sum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votes[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//initializing votes of 5 array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t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t=t+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//for loop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How many votes did 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&lt;&lt;t+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candidate received 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cin&gt;&gt;votes[t]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votes from the user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u=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u&lt;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u=u+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sum=sum+votes[u]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sum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z=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v=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v&lt;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v=v+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percen[z]=(votes[v]/sum)*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//calculating percentage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z++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s=s+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Candidate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&lt;&lt;s+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:"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canidates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Votes received 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&lt;&lt;votes[s]&lt;&lt;endl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votes received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Percentage of Total votes 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&lt;&lt;percen[s]&lt;&lt;endl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percentage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89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8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10" w:type="default"/>
          <w:footerReference r:id="rId11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fWQlrfoMN+xBBMa8/hbEaw9Aw==">AMUW2mWkSbiKMr2W7HxxfYi5esl085utV/mk0JG2AcXFVe7e1qHII7wO52NnUPVtM41wROMkfMq45pK/0dfMVlu3YoAN0WuicI0QYsBTjCc6Yts9WHynYLqrs9LGG2THAa9VdOx2tsP8kmFOlFJ1Kt2lh5x9lgzKBV841dAuATLx48qVLHuz68TrNv1VFRqV7fnkvDWYmmGHX4e6rp5w7pUkaIZtvh8zftUhDXPew+otU+zL6DFQsOds1GPqS/ZfmYYVx5lXgjOdenocNkc/IzOPYVBouUcZ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2021-09-24T06:33:00Z</dcterms:created>
  <dc:creator>Aqsa Khalid</dc:creator>
</cp:coreProperties>
</file>