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Scaling AI Safety for a Multi-Agent World — Proposal Draft</w:t>
      </w:r>
    </w:p>
    <w:p>
      <w:r>
        <w:rPr>
          <w:b/>
          <w:sz w:val="28"/>
        </w:rPr>
        <w:t>Measuring the Safety of Agent Populations: A Social-Choice Science and Frontier-Agent Testbed for Multi-Principal Ecosystems</w:t>
      </w:r>
    </w:p>
    <w:p>
      <w:r>
        <w:rPr>
          <w:i/>
          <w:color w:val="666666"/>
        </w:rPr>
        <w:t>Lead PI: Nimrod Talmon (Ben-Gurion University of the Negev) · Tier 1 (≤ $300K, 24 months) · Application ID: TAI-RFP-MAS-26-6571449688 · Deadline: 8 Aug 2026 AoE</w:t>
      </w:r>
    </w:p>
    <w:p>
      <w:pPr>
        <w:jc w:val="center"/>
      </w:pPr>
      <w:r>
        <w:rPr>
          <w:color w:val="666666"/>
        </w:rPr>
        <w:t>——————————————————————————————</w:t>
      </w:r>
    </w:p>
    <w:p>
      <w:r>
        <w:rPr>
          <w:i/>
          <w:color w:val="666666"/>
        </w:rPr>
        <w:t>Notes for the PI. This document mirrors the smapply form one-to-one. Each section is labelled with its word/page limit. Items marked [TO FILL: …] need your input before submission. The Milestones template and Budget template are required separate uploads — included here as drafts so you can refine, then drop into the official templates.</w:t>
      </w:r>
    </w:p>
    <w:p>
      <w:r>
        <w:br w:type="page"/>
      </w:r>
    </w:p>
    <w:p>
      <w:pPr>
        <w:pStyle w:val="Heading1"/>
      </w:pPr>
      <w:r>
        <w:rPr>
          <w:color w:val="1A5599"/>
        </w:rPr>
        <w:t>1. Background Information</w:t>
      </w:r>
    </w:p>
    <w:p>
      <w:r>
        <w:rPr>
          <w:b/>
        </w:rPr>
        <w:t>Lead Applicant Name*</w:t>
      </w:r>
    </w:p>
    <w:p>
      <w:r>
        <w:t>Nimrod Talmon</w:t>
      </w:r>
    </w:p>
    <w:p>
      <w:r>
        <w:rPr>
          <w:b/>
        </w:rPr>
        <w:t>Primary Email Address*</w:t>
      </w:r>
    </w:p>
    <w:p>
      <w:r>
        <w:t>nimrodtalmon77@gmail.com</w:t>
      </w:r>
    </w:p>
    <w:p>
      <w:r>
        <w:rPr>
          <w:b/>
        </w:rPr>
        <w:t>Title / Role*</w:t>
      </w:r>
    </w:p>
    <w:p>
      <w:r>
        <w:rPr>
          <w:i/>
          <w:color w:val="C0392B"/>
        </w:rPr>
        <w:t>[TO FILL: confirm exact title — likely 'Associate Professor' or 'Senior Lecturer']</w:t>
      </w:r>
    </w:p>
    <w:p>
      <w:r>
        <w:rPr>
          <w:b/>
        </w:rPr>
        <w:t>Primary Institution*</w:t>
      </w:r>
    </w:p>
    <w:p>
      <w:r>
        <w:t>Ben-Gurion University of the Negev (BGU), Department of Software and Information Systems Engineering. Note: BGU is a non-US institution; NGOSource equivalency determination will be required if funded — to start ≤90 days from award per Schmidt policy.</w:t>
      </w:r>
    </w:p>
    <w:p>
      <w:r>
        <w:rPr>
          <w:b/>
        </w:rPr>
        <w:t>Link to personal website (or lab page)</w:t>
      </w:r>
    </w:p>
    <w:p>
      <w:r>
        <w:rPr>
          <w:i/>
          <w:color w:val="C0392B"/>
        </w:rPr>
        <w:t>[TO FILL: BGU faculty page / personal site URL]</w:t>
      </w:r>
    </w:p>
    <w:p>
      <w:r>
        <w:rPr>
          <w:b/>
        </w:rPr>
        <w:t>Collaborator(s) (optional)</w:t>
      </w:r>
    </w:p>
    <w:p>
      <w:r>
        <w:t>None. This is a single-institution Tier-1 proposal, deliberately scoped to fit the PI plus 1–2 PhD students and one research engineer.</w:t>
      </w:r>
    </w:p>
    <w:p>
      <w:r>
        <w:rPr>
          <w:b/>
        </w:rPr>
        <w:t>Headshot(s)*</w:t>
      </w:r>
    </w:p>
    <w:p>
      <w:r>
        <w:rPr>
          <w:i/>
          <w:color w:val="C0392B"/>
        </w:rPr>
        <w:t>[TO FILL: upload 1080×1080 professional headshot of PI]</w:t>
      </w:r>
    </w:p>
    <w:p>
      <w:r>
        <w:rPr>
          <w:b/>
        </w:rPr>
        <w:t>How did you hear about this RFP?*</w:t>
      </w:r>
    </w:p>
    <w:p>
      <w:r>
        <w:rPr>
          <w:i/>
          <w:color w:val="C0392B"/>
        </w:rPr>
        <w:t>[TO FILL: fill from drop-down (likely: 'Cooperative AI Foundation announcement' or 'colleague referral')]</w:t>
      </w:r>
    </w:p>
    <w:p>
      <w:r>
        <w:br w:type="page"/>
      </w:r>
    </w:p>
    <w:p>
      <w:pPr>
        <w:pStyle w:val="Heading1"/>
      </w:pPr>
      <w:r>
        <w:rPr>
          <w:color w:val="1A5599"/>
        </w:rPr>
        <w:t>2. Project Details</w:t>
      </w:r>
    </w:p>
    <w:p>
      <w:r>
        <w:rPr>
          <w:b/>
        </w:rPr>
        <w:t>Project Title*</w:t>
      </w:r>
      <w:r>
        <w:rPr>
          <w:i/>
          <w:color w:val="666666"/>
        </w:rPr>
        <w:t xml:space="preserve">  (≤ 20 words)</w:t>
      </w:r>
    </w:p>
    <w:p>
      <w:r>
        <w:t>Measuring the Safety of Agent Populations: A Social-Choice Science and Frontier-Agent Testbed for Multi-Principal Ecosystems.</w:t>
      </w:r>
    </w:p>
    <w:p>
      <w:r>
        <w:rPr>
          <w:i/>
          <w:color w:val="666666"/>
          <w:sz w:val="16"/>
        </w:rPr>
        <w:t>(approx. word count: 18)</w:t>
      </w:r>
    </w:p>
    <w:p>
      <w:r>
        <w:rPr>
          <w:b/>
        </w:rPr>
        <w:t>Project Tier*</w:t>
      </w:r>
    </w:p>
    <w:p>
      <w:r>
        <w:t>Tier 1 (≤ USD $300,000).</w:t>
      </w:r>
    </w:p>
    <w:p>
      <w:r>
        <w:rPr>
          <w:b/>
        </w:rPr>
        <w:t>Project Duration*</w:t>
      </w:r>
      <w:r>
        <w:rPr>
          <w:i/>
          <w:color w:val="666666"/>
        </w:rPr>
        <w:t xml:space="preserve">  (12–24 months)</w:t>
      </w:r>
    </w:p>
    <w:p>
      <w:r>
        <w:t>24 months.</w:t>
      </w:r>
    </w:p>
    <w:p>
      <w:r>
        <w:rPr>
          <w:b/>
        </w:rPr>
        <w:t>Plain-language Summary*</w:t>
      </w:r>
      <w:r>
        <w:rPr>
          <w:i/>
          <w:color w:val="666666"/>
        </w:rPr>
        <w:t xml:space="preserve">  (2–3 sentences)</w:t>
      </w:r>
    </w:p>
    <w:p>
      <w:r>
        <w:rPr>
          <w:i/>
          <w:color w:val="666666"/>
        </w:rPr>
        <w:t>Plain, concrete language for a general technical audience.</w:t>
      </w:r>
    </w:p>
    <w:p>
      <w:r>
        <w:t>We can train and align individual AI agents, but we have almost no principled way to measure whether a population of agents — built by different actors and sharing infrastructure — is safe as a whole. This project develops a measurement theory for population-level safety properties (collusion, covert coordination, cascade-fragility, emergent collective agency), instantiates it on an open frontier-agent testbed, and delivers a transfer-calibration tool that tells practitioners when sandbox conclusions apply to their real deployments.</w:t>
      </w:r>
    </w:p>
    <w:p>
      <w:r>
        <w:rPr>
          <w:b/>
        </w:rPr>
        <w:t>Keywords</w:t>
      </w:r>
      <w:r>
        <w:rPr>
          <w:i/>
          <w:color w:val="666666"/>
        </w:rPr>
        <w:t xml:space="preserve">  (up to 5)</w:t>
      </w:r>
    </w:p>
    <w:p>
      <w:r>
        <w:t>multi-agent safety; computational social choice; agent-population testbed; external validity; collusion and collective agency.</w:t>
      </w:r>
    </w:p>
    <w:p>
      <w:r>
        <w:br w:type="page"/>
      </w:r>
    </w:p>
    <w:p>
      <w:r>
        <w:rPr>
          <w:b/>
        </w:rPr>
        <w:t>Problem and Impact*</w:t>
      </w:r>
      <w:r>
        <w:rPr>
          <w:i/>
          <w:color w:val="666666"/>
        </w:rPr>
        <w:t xml:space="preserve">  (≤ 500 words)</w:t>
      </w:r>
    </w:p>
    <w:p>
      <w:r>
        <w:rPr>
          <w:i/>
          <w:color w:val="666666"/>
        </w:rPr>
        <w:t>Central multi-agent safety risk / scientific gap; structured argument for impact; assumptions; best-case and minimum-valuable outcomes; what we learn even if it fails; why now.</w:t>
      </w:r>
    </w:p>
    <w:p>
      <w:r>
        <w:t>Single-model alignment is necessary but insufficient once agents from different principals interact over shared infrastructure (Hammond et al. 2025; Dafoe et al. 2021). Recent work has enumerated qualitatively new failure modes: covert collusion via steganographic side channels (Motwani et al. 2024), attack propagation between agents (Lee &amp; Tiwari 2024), collective resistance to shutdown (Agrawal, Ebadian &amp; Hammond 2026), misuse via decomposition across individually-safe models (Jones, Dragan &amp; Steinhardt 2025), and the broader prospect of capable systems arising as coordinated networks rather than monoliths (DeepMind, Distributional AGI Safety 2025).</w:t>
      </w:r>
    </w:p>
    <w:p>
      <w:r>
        <w:t>What is missing is the layer between "we evaluated each agent" and "we understand what the swarm will do" — a science of the population itself. Two coupled deficits motivate this work. (1) No tractable formalism for population-level properties: existing accounts of collective agency and emergence either require infeasibly many observations/interventions or rely on micro/macro abstractions that cannot be instantiated on real populations (Jørgensen, Weichwald &amp; Hammond 2025; Szabo &amp; Teo 2015) — we need definitions that come with estimators. (2) No external-validity science for testbeds: stylized games and simulated societies (Akata et al. 2025; Park et al. 2023) have advanced the field, but it cannot say when a sandbox result licenses a claim about deployment (Kapoor et al. 2026); without that, every testbed result is an anecdote.</w:t>
      </w:r>
    </w:p>
    <w:p>
      <w:r>
        <w:t>A measure is only useful if computable somewhere realistic; a testbed is only useful if its results transfer. We attack both together.</w:t>
      </w:r>
    </w:p>
    <w:p>
      <w:r>
        <w:t>Structured argument for impact. If the project succeeds, a population of agents built by different actors becomes a measurable object: a neutral third party can point our measurement suite at a deployment and obtain calibrated estimates of collusion-resistance, cascade-fragility, and collective-agency emergence, and the transfer-calibration tool tells them how much to trust the sandbox conclusions there.</w:t>
      </w:r>
    </w:p>
    <w:p>
      <w:r>
        <w:t>Best-case outcome: the measurement suite is adopted across the funded cohort and by at least one deploying organization as a third-party safety check, and the transfer-calibration tool becomes the standard way to argue "this sandbox conclusion applies here." Minimum valuable outcome: a first-pass formal vocabulary for population-level safety properties with tractable estimators demonstrated on a realistic frontier-agent testbed for at least two properties (collusion and cascade), plus a documented external-validity layer with honest limits. Even if the central claims fail, we will have learned which population-level properties resist formalization, which estimators do not scale, and which testbed configurations evade external-validity calibration — directly informing the field's next attempt.</w:t>
      </w:r>
    </w:p>
    <w:p>
      <w:r>
        <w:t>Assumptions: (i) per-agent alignment is in scope of other work, not ours — we work at the population layer; (ii) frontier-agent behavior can be approximated by calibrated smaller proxies for high-volume sweeps, with explicit validity bounds; (iii) instance-space methodology, validated on the structurally similar problem of mapping elections (Szufa et al. 2025; Faliszewski et al. 2025), transfers to agent-population configurations (Aim C is the test).</w:t>
      </w:r>
    </w:p>
    <w:p>
      <w:r>
        <w:t>Why now. Frontier agents with tools, persistent memory, and inter-agent communication are already being deployed by multiple principals over shared infrastructure; the failure modes are documented in 2024–2026; no neutral, cross-principal measurement science yet exists. The window to build it before deployment outpaces measurement is narrow.</w:t>
      </w:r>
    </w:p>
    <w:p>
      <w:r>
        <w:rPr>
          <w:i/>
          <w:color w:val="666666"/>
          <w:sz w:val="16"/>
        </w:rPr>
        <w:t>(approx. word count: 495)</w:t>
      </w:r>
    </w:p>
    <w:p>
      <w:r>
        <w:br w:type="page"/>
      </w:r>
    </w:p>
    <w:p>
      <w:r>
        <w:rPr>
          <w:b/>
        </w:rPr>
        <w:t>Approach*</w:t>
      </w:r>
      <w:r>
        <w:rPr>
          <w:i/>
          <w:color w:val="666666"/>
        </w:rPr>
        <w:t xml:space="preserve">  (≤ 1000 words)</w:t>
      </w:r>
    </w:p>
    <w:p>
      <w:r>
        <w:rPr>
          <w:i/>
          <w:color w:val="666666"/>
        </w:rPr>
        <w:t>Detailed approach: experiments/analyses, which models, data/environments and why appropriate, baselines, and ecological validity (how design reflects real deployment conditions vs. idealized settings).</w:t>
      </w:r>
    </w:p>
    <w:p>
      <w:r>
        <w:t>We organize the project around three aims. The contribution lives in the loop between them (Aim C), not in any single one.</w:t>
      </w:r>
    </w:p>
    <w:p>
      <w:r>
        <w:rPr>
          <w:b/>
        </w:rPr>
        <w:t xml:space="preserve">Aim A — A measurement theory for population-level safety </w:t>
      </w:r>
      <w:r>
        <w:rPr>
          <w:i/>
        </w:rPr>
        <w:t>(call sub-area: Science of Agent Networks #3, #4).</w:t>
      </w:r>
    </w:p>
    <w:p>
      <w:r>
        <w:t>Goal: define a compact family of population-level safety properties, each paired with a tractable estimator computable from a feasible budget of observations/interventions. Target properties (initial set; the testbed will force revisions): (a) collusion-resistance / manipulability of the collective outcome — we adapt the manipulation- and control-complexity apparatus of social choice (Talmon 2016; Kaczmarek, Rothe &amp; Talmon 2025) to define a manipulation budget estimator over agent populations; (b) covert-coordination capacity — operationalizing steganographic collusion (Motwani et al. 2024) as a measurable population property, not an anecdote; (c) cascade-fragility — sensitivity of population outcomes to adversarial or compromised sub-populations and to attack propagation (Lee &amp; Tiwari 2024), formalized via robustness-of-aggregation tools (Bredereck et al. 2017); (d) collective-agency emergence — revealed-preference / aggregation-consistency tests with bounded sample complexity, directly targeting the tractability complaint in Jørgensen et al. 2025. For each property we deliver (i) a formal definition, (ii) an estimator with sample/intervention complexity bounds, and (iii) a reference implementation against Aim B.</w:t>
      </w:r>
    </w:p>
    <w:p>
      <w:r>
        <w:rPr>
          <w:b/>
        </w:rPr>
        <w:t xml:space="preserve">Aim B — An open frontier-agent testbed </w:t>
      </w:r>
      <w:r>
        <w:rPr>
          <w:i/>
        </w:rPr>
        <w:t>(call sub-area: Sandboxes and Testbeds).</w:t>
      </w:r>
    </w:p>
    <w:p>
      <w:r>
        <w:t>Goal: a reproducible environment of frontier-model agents acting over extended horizons with realistic tools, persistent memory, communication channels, and economic constraints, under multiple principals — engineered to compute Aim-A measures inline and host red-teaming of population failure modes.</w:t>
      </w:r>
    </w:p>
    <w:p>
      <w:r>
        <w:t>Models. Two tracks. Frontier track: Claude (Opus/Sonnet families), GPT (most recent available), Gemini (most recent available), and an open-weight frontier-tier model (e.g. DeepSeek/Qwen latest) — chosen to span vendor diversity so principal-adversarial scenarios are realistic. Distilled-proxy track: smaller open-weight models (≈8–32B) calibrated to stand in for frontier agents on specific behavioral dimensions, with explicit validity bounds. This is the call's request for principled navigation of the scalability/fidelity trade-off.</w:t>
      </w:r>
    </w:p>
    <w:p>
      <w:r>
        <w:t>Built to the five desiderata. Scalable: realistic agent counts and tool diversity via the proxy track. High-fidelity: frontier agents acting under realistic constraints, not coarse abstractions. Externally valid: Aim C. Safe and secure: dangerous behaviors studied in containment, no uncontrolled deployment, red-team kit released under a responsible-disclosure protocol. Reproducible: fixed scenario library, logged transcripts, deterministic replay where feasible.</w:t>
      </w:r>
    </w:p>
    <w:p>
      <w:r>
        <w:t>Scenario library (multi-principal by construction). Three families, each with at least one principal-adversarial variant: (1) shared-infrastructure task ecosystems (agents from different principals share a marketplace and a knowledge base); (2) multi-organization workflows (agents from competing principals must complete tasks routed through shared tools); (3) resource-constrained agent marketplaces (economic constraints, price-formation, collusion incentives). No scenario assumes a single privileged overseer (an explicit out-of-scope class).</w:t>
      </w:r>
    </w:p>
    <w:p>
      <w:r>
        <w:t>Experiments and baselines. For each scenario × property: (i) estimator computed on a sweep over population size, heterogeneity, interaction topology, and tool access; (ii) red-team probes designed to exhibit the failure mode; (iii) baselines — per-agent monitoring without population-level estimators (current deployment practice), and stylized-game results without frontier agents (current academic practice). The comparison is which failures the population-level measures catch that the baselines miss, and at what intervention cost.</w:t>
      </w:r>
    </w:p>
    <w:p>
      <w:r>
        <w:rPr>
          <w:b/>
        </w:rPr>
        <w:t>Aim C — The loop and the external-validity layer.</w:t>
      </w:r>
    </w:p>
    <w:p>
      <w:r>
        <w:t>Theory → testbed: Aim-A measures generate falsifiable predictions about which population structures are collusion-prone, cascade-fragile, or prone to collective-agency emergence; Aim-B runs them on frontier agents. Testbed → theory: red-teaming surfaces failure modes the formalism missed, and definitions/estimators are revised. We expect the first-pass definitions to be wrong in instructive ways — that is the loop.</w:t>
      </w:r>
    </w:p>
    <w:p>
      <w:r>
        <w:t>External-validity layer — a map of agent populations. Adapting the instance-space methodology of Szufa et al. 2025 / Faliszewski et al. 2025 (validated on the structurally similar problem of mapping elections), we embed tested configurations in a structured space, locate where real deployments sit relative to tested points, and derive principled confidence that a sandbox conclusion transfers. This directly operationalizes the call's "externally valid — when should simulation-derived conclusions be trusted" desideratum. Deliverable C is a tool, not a paper: given a sandbox result and a description of a target deployment, output a calibrated transfer confidence with its own validity envelope — the artifact a practitioner at a deploying organization actually wants.</w:t>
      </w:r>
    </w:p>
    <w:p>
      <w:r>
        <w:rPr>
          <w:b/>
        </w:rPr>
        <w:t>Ecological validity.</w:t>
      </w:r>
    </w:p>
    <w:p>
      <w:r>
        <w:t>The unit of study is a frontier agent under realistic constraints: real tools (web, code execution, persistent memory), real economic frictions, real principals with conflicting objectives. The formalism is scaffolding instantiated on natural-language, tool-using, memory-bearing agents, never a substitute for them. The distilled-proxy track is calibrated to frontier behavior and carries an honestly-reported validity envelope, rather than being treated as identical to the frontier. This is what separates the proposal from the explicit "toy systems" out-of-scope category.</w:t>
      </w:r>
    </w:p>
    <w:p>
      <w:r>
        <w:rPr>
          <w:b/>
        </w:rPr>
        <w:t>Deliverables.</w:t>
      </w:r>
    </w:p>
    <w:p>
      <w:r>
        <w:t>(i) Open-source testbed + scenario/red-team library, reusable across the funded cohort; (ii) measurement suite — runnable estimators for each population-safety property, pointable at third-party deployments; (iii) transfer-calibration tool (Aim C); (iv) reference findings — first systematic maps of how collusion-/cascade-/emergence-risk scale with population structure, with phase-transition probes where they appear; (v) publications at AAMAS / IJCAI / AAAI and the multi-agent-safety venues. All artifacts open.</w:t>
      </w:r>
    </w:p>
    <w:p>
      <w:r>
        <w:rPr>
          <w:i/>
          <w:color w:val="666666"/>
          <w:sz w:val="16"/>
        </w:rPr>
        <w:t>(approx. word count: 935)</w:t>
      </w:r>
    </w:p>
    <w:p>
      <w:r>
        <w:br w:type="page"/>
      </w:r>
    </w:p>
    <w:p>
      <w:r>
        <w:rPr>
          <w:b/>
        </w:rPr>
        <w:t>Suggestions (Optional)</w:t>
      </w:r>
    </w:p>
    <w:p>
      <w:r>
        <w:rPr>
          <w:i/>
          <w:color w:val="666666"/>
        </w:rPr>
        <w:t>Only if the proposal does NOT involve constructing a sandbox/testbed — ours does, so this can be left blank.</w:t>
      </w:r>
    </w:p>
    <w:p>
      <w:r>
        <w:t>Not applicable — this project constructs a testbed (Aim B).</w:t>
      </w:r>
    </w:p>
    <w:p>
      <w:r>
        <w:rPr>
          <w:b/>
        </w:rPr>
        <w:t>Novelty*</w:t>
      </w:r>
      <w:r>
        <w:rPr>
          <w:i/>
          <w:color w:val="666666"/>
        </w:rPr>
        <w:t xml:space="preserve">  (≤ 300 words)</w:t>
      </w:r>
    </w:p>
    <w:p>
      <w:r>
        <w:rPr>
          <w:i/>
          <w:color w:val="666666"/>
        </w:rPr>
        <w:t>Similar existing work and what assumption/limit/bottleneck the project overcomes.</w:t>
      </w:r>
    </w:p>
    <w:p>
      <w:r>
        <w:t>The two closest bodies of work are (i) recent multi-agent safety simulations and red-team papers (Motwani et al. 2024; Lee &amp; Tiwari 2024; Agrawal, Ebadian &amp; Hammond 2026; Park et al. 2023), and (ii) formal accounts of collective agency and emergence (Jørgensen, Weichwald &amp; Hammond 2025; Szabo &amp; Teo 2015). The first produces compelling failure-mode anecdotes but no population-level measurement that scales beyond the demonstration scenario. The second produces measurement that is theoretically principled but not tractably computable on real agent populations.</w:t>
      </w:r>
    </w:p>
    <w:p>
      <w:r>
        <w:t>What we overcome:</w:t>
      </w:r>
    </w:p>
    <w:p>
      <w:r>
        <w:t>• Tractable estimators for population-level properties. We do not propose another definition of "emergence" or "collective agency"; we propose definitions that ship with estimators, with sample-complexity bounds, computable on a frontier-agent testbed. The methodological backbone — turning intractable-looking questions about populations into computable measures — is transferred from the PI's prior work on elections (Faliszewski et al. 2025; Szufa et al. 2025; Talmon 2016).</w:t>
      </w:r>
    </w:p>
    <w:p>
      <w:r>
        <w:t>• An external-validity layer for testbeds. No prior testbed in this space carries a principled answer to "should this sandbox result be trusted for my deployment?" We adapt instance-space methodology, validated on the structurally similar problem of mapping the space of elections, to the space of agent-population configurations. The call's "externally valid" desideratum is treated as a first-class deliverable.</w:t>
      </w:r>
    </w:p>
    <w:p>
      <w:r>
        <w:t>• Multi-principal by construction. Every scenario has at least one principal-adversarial variant; no privileged overseer (an explicit out-of-scope class).</w:t>
      </w:r>
    </w:p>
    <w:p>
      <w:r>
        <w:t>We are not aware of prior work that closes the loop between a tractable population-level formalism, a frontier-agent testbed, and an external-validity layer.</w:t>
      </w:r>
    </w:p>
    <w:p>
      <w:r>
        <w:rPr>
          <w:i/>
          <w:color w:val="666666"/>
          <w:sz w:val="16"/>
        </w:rPr>
        <w:t>(approx. word count: 290)</w:t>
      </w:r>
    </w:p>
    <w:p>
      <w:r>
        <w:rPr>
          <w:b/>
        </w:rPr>
        <w:t>Feasibility*</w:t>
      </w:r>
      <w:r>
        <w:rPr>
          <w:i/>
          <w:color w:val="666666"/>
        </w:rPr>
        <w:t xml:space="preserve">  (≤ 300 words)</w:t>
      </w:r>
    </w:p>
    <w:p>
      <w:r>
        <w:rPr>
          <w:i/>
          <w:color w:val="666666"/>
        </w:rPr>
        <w:t>Intuition, prior work, or proof-of-concept supporting plausibility at the requested scale.</w:t>
      </w:r>
    </w:p>
    <w:p>
      <w:r>
        <w:t>The hard part is not building a simulator or writing a definition — it is making the measures tractable and the testbed externally valid. The PI's record is unusually well-matched to exactly those two difficulties:</w:t>
      </w:r>
    </w:p>
    <w:p>
      <w:r>
        <w:t>• Tractable measures over populations. A body of work on manipulation, control, and robustness in collective decision-making (Talmon 2016; Kaczmarek, Rothe &amp; Talmon 2025; Bredereck et al. 2017) — i.e., turning "can a coalition shift the outcome, and at what cost" into computable objects. This is the methodological core of Aim A's estimator program.</w:t>
      </w:r>
    </w:p>
    <w:p>
      <w:r>
        <w:t>• Instance-space / external-validity methodology. "Drawing a Map of Elections" and "How Similar Are Two Elections?" (Szufa et al. 2025; Faliszewski et al. 2025) — a rare, directly-transferable toolkit for the call's hardest sandbox desideratum. Aim C transplants the same methodology onto the space of agent-population configurations.</w:t>
      </w:r>
    </w:p>
    <w:p>
      <w:r>
        <w:t>• Frontier-agent work (not just abstractions). AI-Generated Compromises for Coalition Formation (Briman, Shapiro &amp; Talmon 2025) — LLM agents reaching collective decisions; evidence the group operates at frontier-agent fidelity, not toy systems.</w:t>
      </w:r>
    </w:p>
    <w:p>
      <w:r>
        <w:t>• Executable multi-agent simulation platforms. A four-layer methodology (formal kernel → agent-based simulation → empirical calibration → multi-objective optimization) for executable institutional models (Elem &amp; Talmon 2026), transferable as engineering practice to the Aim-B harness.</w:t>
      </w:r>
    </w:p>
    <w:p>
      <w:r>
        <w:t>Scale. Tier-1 scope is feasible because the distilled-proxy track absorbs high-volume runs (population-size sweeps, scenario sweeps, red-team batches), while frontier-agent compute is reserved for validation. This is the explicit cost-control lever and the cleanest way to honor the scalability/fidelity trade-off the call asks applicants to navigate.</w:t>
      </w:r>
    </w:p>
    <w:p>
      <w:r>
        <w:rPr>
          <w:i/>
          <w:color w:val="666666"/>
          <w:sz w:val="16"/>
        </w:rPr>
        <w:t>(approx. word count: 285)</w:t>
      </w:r>
    </w:p>
    <w:p>
      <w:r>
        <w:br w:type="page"/>
      </w:r>
    </w:p>
    <w:p>
      <w:r>
        <w:rPr>
          <w:b/>
        </w:rPr>
        <w:t>Team*</w:t>
      </w:r>
      <w:r>
        <w:rPr>
          <w:i/>
          <w:color w:val="666666"/>
        </w:rPr>
        <w:t xml:space="preserve">  (≤ 300 words)</w:t>
      </w:r>
    </w:p>
    <w:p>
      <w:r>
        <w:rPr>
          <w:i/>
          <w:color w:val="666666"/>
        </w:rPr>
        <w:t>All team members and collaborators with institutions and titles; why this team; how each contributes; explicit lead PI and co-PIs.</w:t>
      </w:r>
    </w:p>
    <w:p>
      <w:r>
        <w:t>Lead PI: Prof. Nimrod Talmon, Department of Software and Information Systems Engineering, Ben-Gurion University of the Negev (BGU). The PI's research record covers the two methodological edges this project leans on: (i) tractable formal measures over populations — manipulation, control, robustness in collective decision-making (Talmon 2016; Kaczmarek, Rothe &amp; Talmon 2025; Bredereck et al. 2017); (ii) instance-space / external-validity methodology — "Drawing a Map of Elections" (Szufa et al. 2025), "How Similar Are Two Elections?" (Faliszewski et al. 2025); and frontier-agent work — AI-Generated Compromises for Coalition Formation (Briman, Shapiro &amp; Talmon 2025), Legitimate Overrides in Decentralized Protocols (Elem &amp; Talmon 2026).</w:t>
      </w:r>
    </w:p>
    <w:p>
      <w:r>
        <w:t>Co-PIs: None. This is a single-institution Tier-1 proposal, deliberately scoped to fit the PI plus 1–2 students and an engineer.</w:t>
      </w:r>
    </w:p>
    <w:p>
      <w:r>
        <w:t>Other personnel (to be hired on award):</w:t>
      </w:r>
    </w:p>
    <w:p>
      <w:r>
        <w:t>• 1–2 PhD students (BGU, full-time). Roles: Aim-A formal definitions and estimator derivations; Aim-B scenario implementation and red-teaming; Aim-C instance-space embedding and transfer-calibration.</w:t>
      </w:r>
    </w:p>
    <w:p>
      <w:r>
        <w:t>• 1 research engineer / RA (BGU, part-time). Role: Aim-B harness engineering — agent runtime, tools, memory, comms, economy; instrumentation to compute Aim-A estimators inline; reproducibility infrastructure.</w:t>
      </w:r>
    </w:p>
    <w:p>
      <w:r>
        <w:t>• Postdoc fraction (optional, only if budget allows after other categories), focused on Aim-C external-validity methodology.</w:t>
      </w:r>
    </w:p>
    <w:p>
      <w:r>
        <w:t>Allocation by aim. PI: Aim A (definitions, estimator design) and Aim C (external-validity methodology). Students: Aims A, B, C as above. Engineer: Aim B (harness, instrumentation, red-team kit). The aims are deliberately bounded to the PI's two strongest methodological edges (tractable measures; instance-space external validity) rather than spread across all four call areas — the right shape for a focused single-institution Tier-1.</w:t>
      </w:r>
    </w:p>
    <w:p>
      <w:r>
        <w:rPr>
          <w:i/>
          <w:color w:val="666666"/>
          <w:sz w:val="16"/>
        </w:rPr>
        <w:t>(approx. word count: 295)</w:t>
      </w:r>
    </w:p>
    <w:p>
      <w:r>
        <w:rPr>
          <w:b/>
        </w:rPr>
        <w:t>Proposal Risks*</w:t>
      </w:r>
      <w:r>
        <w:rPr>
          <w:i/>
          <w:color w:val="666666"/>
        </w:rPr>
        <w:t xml:space="preserve">  (≤ 300 words)</w:t>
      </w:r>
    </w:p>
    <w:p>
      <w:r>
        <w:rPr>
          <w:i/>
          <w:color w:val="666666"/>
        </w:rPr>
        <w:t>Most significant risks (harm, irrelevance, inconclusive results) and mitigations.</w:t>
      </w:r>
    </w:p>
    <w:p>
      <w:r>
        <w:t>• First-pass formal definitions don't survive contact with frontier agents. Mitigation: this is Aim C; the Aim A↔B loop is designed to revise them. Revision is a reported result, not a failure mode.</w:t>
      </w:r>
    </w:p>
    <w:p>
      <w:r>
        <w:t>• Frontier-agent experiments too costly at scale. Mitigation: the distilled-proxy track (Aim B) with explicit validity bounds absorbs high-volume runs; frontier-agent compute is reserved for validation. Keeps cost inside the Tier-1 envelope.</w:t>
      </w:r>
    </w:p>
    <w:p>
      <w:r>
        <w:t>• External validity is hard to validate. Mitigation: we borrow a methodology with a track record on a structurally similar problem (instance spaces for elections) and report its limits honestly. The transfer-calibration tool ships with its own validity envelope.</w:t>
      </w:r>
    </w:p>
    <w:p>
      <w:r>
        <w:t>• Risk of being read as classical game theory / "toy systems." Mitigation: frontier-model agents with real tools, memory, and inter-agent communication are the unit of study throughout; the formalism is scaffolding instantiated on them. Aim C is the call's required "concrete and credible methodology for extending results."</w:t>
      </w:r>
    </w:p>
    <w:p>
      <w:r>
        <w:t>• Inconclusive results. Mitigation: the work plan is staged so each phase produces a falsifiable artifact (definition + estimator + sandbox run); null results sharpen the formalism. The deliverables (testbed, measurement suite, transfer tool) are public goods of value independent of any single hypothesis.</w:t>
      </w:r>
    </w:p>
    <w:p>
      <w:r>
        <w:t>• Harm from publishing red-team scenarios. Mitigation: red-team kit released under a responsible-disclosure protocol consistent with cohort norms; principal-adversarial scenarios documented at the level needed to reproduce measurement, not to amplify exploit capability. No agent capability is advanced.</w:t>
      </w:r>
    </w:p>
    <w:p>
      <w:r>
        <w:rPr>
          <w:i/>
          <w:color w:val="666666"/>
          <w:sz w:val="16"/>
        </w:rPr>
        <w:t>(approx. word count: 280)</w:t>
      </w:r>
    </w:p>
    <w:p>
      <w:r>
        <w:br w:type="page"/>
      </w:r>
    </w:p>
    <w:p>
      <w:r>
        <w:rPr>
          <w:b/>
        </w:rPr>
        <w:t>"But for" Impact*</w:t>
      </w:r>
      <w:r>
        <w:rPr>
          <w:i/>
          <w:color w:val="666666"/>
        </w:rPr>
        <w:t xml:space="preserve">  (≤ 300 words)</w:t>
      </w:r>
    </w:p>
    <w:p>
      <w:r>
        <w:rPr>
          <w:i/>
          <w:color w:val="666666"/>
        </w:rPr>
        <w:t>What makes this hard to fund by typical means and why markets won't solve it.</w:t>
      </w:r>
    </w:p>
    <w:p>
      <w:r>
        <w:t>Every agent-deploying organization has an incentive to build internal evaluations of its own agents. None has an incentive to build a neutral, cross-principal, externally-validated measurement science for populations of agents built by others — yet that is exactly what a multi-principal world needs, and exactly what market forces will leave in the gap.</w:t>
      </w:r>
    </w:p>
    <w:p>
      <w:r>
        <w:t>Why markets will not solve it:</w:t>
      </w:r>
    </w:p>
    <w:p>
      <w:r>
        <w:t>• Measurement public good. Once it exists, its highest social value is neutrality — the property no commercially-aligned actor can credibly supply.</w:t>
      </w:r>
    </w:p>
    <w:p>
      <w:r>
        <w:t>• Coordination structure typical of safety infrastructure. The value to any single actor is below the cost of building it; the value to the ecosystem is above. Without philanthropic seeding, no one builds it.</w:t>
      </w:r>
    </w:p>
    <w:p>
      <w:r>
        <w:t>• Explicitly non-capability deliverables. Estimators, red-team scenarios, a transfer-calibration tool. No deploying organization gains commercial advantage from funding it; an academic group with the right methodological prerequisites does.</w:t>
      </w:r>
    </w:p>
    <w:p>
      <w:r>
        <w:t>Why this is hard to fund elsewhere:</w:t>
      </w:r>
    </w:p>
    <w:p>
      <w:r>
        <w:t>• Standard NSF / ISF tracks fund the theory pieces (Aim A) or the systems pieces (Aim B) but rarely the loop between them (Aim C), which is where this proposal's contribution lives.</w:t>
      </w:r>
    </w:p>
    <w:p>
      <w:r>
        <w:t>• Industry safety teams will not fund cross-principal, externally-validated measurement of their own deployments by a neutral third party.</w:t>
      </w:r>
    </w:p>
    <w:p>
      <w:r>
        <w:t>• The 24-month window is too short for most foundational-science grants and too long/risky for most engineering grants. The call's tier structure is the right fit.</w:t>
      </w:r>
    </w:p>
    <w:p>
      <w:r>
        <w:t>This is the coordination/incentive failure the call exists to fill: a measurement science for populations of agents from different principals, built by a neutral academic actor and released as a public good.</w:t>
      </w:r>
    </w:p>
    <w:p>
      <w:r>
        <w:rPr>
          <w:i/>
          <w:color w:val="666666"/>
          <w:sz w:val="16"/>
        </w:rPr>
        <w:t>(approx. word count: 290)</w:t>
      </w:r>
    </w:p>
    <w:p>
      <w:r>
        <w:rPr>
          <w:b/>
        </w:rPr>
        <w:t>Existing Funding*</w:t>
      </w:r>
      <w:r>
        <w:rPr>
          <w:i/>
          <w:color w:val="666666"/>
        </w:rPr>
        <w:t xml:space="preserve">  (≤ 300 words)</w:t>
      </w:r>
    </w:p>
    <w:p>
      <w:r>
        <w:rPr>
          <w:i/>
          <w:color w:val="666666"/>
        </w:rPr>
        <w:t>Existing funding for closely related work and any pending applications elsewhere (funder + amount); effect on the project if not funded.</w:t>
      </w:r>
    </w:p>
    <w:p>
      <w:r>
        <w:rPr>
          <w:i/>
          <w:color w:val="C0392B"/>
        </w:rPr>
        <w:t>[TO FILL: PI to fill in concrete grant numbers. Draft text below — replace bracketed items with your actual portfolio.]</w:t>
      </w:r>
    </w:p>
    <w:p>
      <w:r>
        <w:t>Existing support touching adjacent topics:</w:t>
      </w:r>
    </w:p>
    <w:p>
      <w:r>
        <w:t>• [TO FILL: ISF Grant #_____, "&lt;title&gt;", USD/NIS amount, dates] — supports the foundational computational-social-choice work that enables Aim A's estimator program but does not extend to multi-agent safety, the frontier-agent testbed (Aim B), or the external-validity layer (Aim C).</w:t>
      </w:r>
    </w:p>
    <w:p>
      <w:r>
        <w:t>• [TO FILL: any BSF / ERC / European or industry grant touching social choice, multi-agent systems, or LLM-agent research].</w:t>
      </w:r>
    </w:p>
    <w:p>
      <w:r>
        <w:t>Pending applications elsewhere with overlap:</w:t>
      </w:r>
    </w:p>
    <w:p>
      <w:r>
        <w:t>• [TO FILL: list any pending submissions that touch population-level safety measurement, agent testbeds, or instance-space methodology — or state "no pending applications with overlapping scope"].</w:t>
      </w:r>
    </w:p>
    <w:p>
      <w:r>
        <w:t>Effect if not funded: the testbed (Aim B) and the external-validity tool (Aim C) would not be pursued — they require dedicated engineering and frontier-model API/compute beyond the PI's existing portfolio. Aim A could proceed at a reduced scale as part of ongoing social-choice work, but without the testbed-grounded revision loop that makes it relevant to multi-agent safety as defined by this call. In effect, without this award the contribution would collapse to a theory-only effort with no instantiated measurement, no external-validity calibration, and no practitioner-facing tool — losing the parts of the project the call was created to fund.</w:t>
      </w:r>
    </w:p>
    <w:p>
      <w:r>
        <w:rPr>
          <w:i/>
          <w:color w:val="666666"/>
          <w:sz w:val="16"/>
        </w:rPr>
        <w:t>(approx. word count: 250)</w:t>
      </w:r>
    </w:p>
    <w:p>
      <w:r>
        <w:br w:type="page"/>
      </w:r>
    </w:p>
    <w:p>
      <w:r>
        <w:rPr>
          <w:b/>
        </w:rPr>
        <w:t>Suggested Reviewers (Optional)</w:t>
      </w:r>
      <w:r>
        <w:rPr>
          <w:i/>
          <w:color w:val="666666"/>
        </w:rPr>
        <w:t xml:space="preserve">  (up to 5)</w:t>
      </w:r>
    </w:p>
    <w:p>
      <w:r>
        <w:rPr>
          <w:i/>
          <w:color w:val="666666"/>
        </w:rPr>
        <w:t>Technical experts well-qualified to review; avoid close collaborators/advisors.</w:t>
      </w:r>
    </w:p>
    <w:p>
      <w:r>
        <w:rPr>
          <w:i/>
          <w:color w:val="C0392B"/>
        </w:rPr>
        <w:t>[TO FILL: PI to suggest 3–5 names. Candidate domains (no specific names invented here): (1) multi-agent safety researchers (non-collaborators of the PI); (2) computational social choice senior researchers outside the PI's direct publication network; (3) empirical LLM-agent / testbed researchers with track records on multi-principal evaluation. Cross-check against your DBLP co-author graph before listing.]</w:t>
      </w:r>
    </w:p>
    <w:p>
      <w:r>
        <w:rPr>
          <w:b/>
        </w:rPr>
        <w:t>Optional Figure / Diagram</w:t>
      </w:r>
    </w:p>
    <w:p>
      <w:r>
        <w:rPr>
          <w:i/>
          <w:color w:val="C0392B"/>
        </w:rPr>
        <w:t>[TO FILL: consider a single figure showing the Aim-A ↔ Aim-B loop + the Aim-C external-validity map. Stylistically: three boxes (Theory / Testbed / Map) with bidirectional arrows; the Map box outputs "transfer confidence" to a fourth box labelled "deployment."]</w:t>
      </w:r>
    </w:p>
    <w:p>
      <w:r>
        <w:rPr>
          <w:b/>
        </w:rPr>
        <w:t>References</w:t>
      </w:r>
    </w:p>
    <w:p>
      <w:r>
        <w:rPr>
          <w:i/>
          <w:color w:val="666666"/>
        </w:rPr>
        <w:t>Cited sources; not counted toward word limit; do not use to extend answers.</w:t>
      </w:r>
    </w:p>
    <w:p>
      <w:pPr>
        <w:pStyle w:val="ListBullet"/>
      </w:pPr>
      <w:r>
        <w:t>Hammond et al. (2025). Multi-Agent Risks from Advanced AI. CAIF report. arXiv:2502.14143.</w:t>
      </w:r>
    </w:p>
    <w:p>
      <w:pPr>
        <w:pStyle w:val="ListBullet"/>
      </w:pPr>
      <w:r>
        <w:t>Dafoe et al. (2021). Open Problems in Cooperative AI. Nature.</w:t>
      </w:r>
    </w:p>
    <w:p>
      <w:pPr>
        <w:pStyle w:val="ListBullet"/>
      </w:pPr>
      <w:r>
        <w:t>DeepMind (2025). Distributional AGI Safety. arXiv:2512.16856.</w:t>
      </w:r>
    </w:p>
    <w:p>
      <w:pPr>
        <w:pStyle w:val="ListBullet"/>
      </w:pPr>
      <w:r>
        <w:t>Motwani et al. (2024). Secret Collusion among AI Agents: Multi-Agent Deception via Steganography. NeurIPS 2024.</w:t>
      </w:r>
    </w:p>
    <w:p>
      <w:pPr>
        <w:pStyle w:val="ListBullet"/>
      </w:pPr>
      <w:r>
        <w:t>Lee &amp; Tiwari (2024). Prompt Infection: LLM-to-LLM Prompt Injection within Multi-Agent Systems. arXiv:2410.07283.</w:t>
      </w:r>
    </w:p>
    <w:p>
      <w:pPr>
        <w:pStyle w:val="ListBullet"/>
      </w:pPr>
      <w:r>
        <w:t>Agrawal, Ebadian &amp; Hammond (2026). The Multi-Agent Off-Switch Game. AAMAS 2026.</w:t>
      </w:r>
    </w:p>
    <w:p>
      <w:pPr>
        <w:pStyle w:val="ListBullet"/>
      </w:pPr>
      <w:r>
        <w:t>Jones, Dragan &amp; Steinhardt (2025). Adversaries Can Misuse Combinations of Safe Models. ICML 2025.</w:t>
      </w:r>
    </w:p>
    <w:p>
      <w:pPr>
        <w:pStyle w:val="ListBullet"/>
      </w:pPr>
      <w:r>
        <w:t>Jørgensen, Weichwald &amp; Hammond (2025). Causal Foundations of Collective Agency. arXiv:2605.00248.</w:t>
      </w:r>
    </w:p>
    <w:p>
      <w:pPr>
        <w:pStyle w:val="ListBullet"/>
      </w:pPr>
      <w:r>
        <w:t>Szabo &amp; Teo (2015). Formalization of Weak Emergence in Multiagent Systems. ACM TOMACS.</w:t>
      </w:r>
    </w:p>
    <w:p>
      <w:pPr>
        <w:pStyle w:val="ListBullet"/>
      </w:pPr>
      <w:r>
        <w:t>Akata et al. (2025). Playing Repeated Games with Large Language Models. Nature Human Behaviour.</w:t>
      </w:r>
    </w:p>
    <w:p>
      <w:pPr>
        <w:pStyle w:val="ListBullet"/>
      </w:pPr>
      <w:r>
        <w:t>Park et al. (2023). Generative Agents. UIST '23.</w:t>
      </w:r>
    </w:p>
    <w:p>
      <w:pPr>
        <w:pStyle w:val="ListBullet"/>
      </w:pPr>
      <w:r>
        <w:t>Kapoor et al. (2026). Open-World Evaluations for Measuring Frontier AI Capabilities. arXiv:2605.20520.</w:t>
      </w:r>
    </w:p>
    <w:p>
      <w:pPr>
        <w:pStyle w:val="ListBullet"/>
      </w:pPr>
      <w:r>
        <w:t>Tilli (2026). Agent Properties for Multi-Agent Safety. ICLR 2026 Workshop.</w:t>
      </w:r>
    </w:p>
    <w:p>
      <w:pPr>
        <w:pStyle w:val="ListBullet"/>
      </w:pPr>
      <w:r>
        <w:t>Szufa, Boehmer, Bredereck, Faliszewski, Niedermeier, Skowron, Slinko &amp; Talmon (2025). Drawing a Map of Elections. Artificial Intelligence 343:104332.</w:t>
      </w:r>
    </w:p>
    <w:p>
      <w:pPr>
        <w:pStyle w:val="ListBullet"/>
      </w:pPr>
      <w:r>
        <w:t>Faliszewski, Skowron, Slinko, Sornat, Szufa &amp; Talmon (2025). How Similar Are Two Elections? JCSS 150 / AAAI.</w:t>
      </w:r>
    </w:p>
    <w:p>
      <w:pPr>
        <w:pStyle w:val="ListBullet"/>
      </w:pPr>
      <w:r>
        <w:t>Briman, Shapiro &amp; Talmon (2025). AI-Generated Compromises for Coalition Formation. arXiv:2506.06837.</w:t>
      </w:r>
    </w:p>
    <w:p>
      <w:pPr>
        <w:pStyle w:val="ListBullet"/>
      </w:pPr>
      <w:r>
        <w:t>Kaczmarek, Rothe &amp; Talmon (2025). Control by Adding or Deleting Edges in Graph-Restricted Weighted Voting Games. JAIR 82.</w:t>
      </w:r>
    </w:p>
    <w:p>
      <w:pPr>
        <w:pStyle w:val="ListBullet"/>
      </w:pPr>
      <w:r>
        <w:t>Bredereck, Faliszewski, Kaczmarczyk, Niedermeier, Skowron &amp; Talmon (2017). Robustness Among Multiwinner Voting Rules. arXiv:1707.01417.</w:t>
      </w:r>
    </w:p>
    <w:p>
      <w:pPr>
        <w:pStyle w:val="ListBullet"/>
      </w:pPr>
      <w:r>
        <w:t>Talmon (2016). Algorithmic Aspects of Manipulation and Anonymization in Social Choice and Social Networks. PhD thesis, TU Berlin.</w:t>
      </w:r>
    </w:p>
    <w:p>
      <w:pPr>
        <w:pStyle w:val="ListBullet"/>
      </w:pPr>
      <w:r>
        <w:t>Elem &amp; Talmon (2026). Legitimate Overrides in Decentralized Protocols. arXiv:2602.12260.</w:t>
      </w:r>
    </w:p>
    <w:p>
      <w:r>
        <w:rPr>
          <w:i/>
          <w:color w:val="C0392B"/>
        </w:rPr>
        <w:t>[TO FILL: verify each arXiv ID / venue / year before submission — citations were copied from the working brief and should be re-checked against DBLP / arXiv.]</w:t>
      </w:r>
    </w:p>
    <w:p>
      <w:r>
        <w:br w:type="page"/>
      </w:r>
    </w:p>
    <w:p>
      <w:pPr>
        <w:pStyle w:val="Heading1"/>
      </w:pPr>
      <w:r>
        <w:rPr>
          <w:color w:val="1A5599"/>
        </w:rPr>
        <w:t>3. Milestones and Outcomes (DRAFT for the official template)</w:t>
      </w:r>
    </w:p>
    <w:p>
      <w:r>
        <w:rPr>
          <w:i/>
          <w:color w:val="666666"/>
        </w:rPr>
        <w:t>The submission requires a separate template upload. The content below is a draft for that template — refine, then copy into the official form. Outcomes are end-state scientific/safety-relevant changes (not activities like "publish papers"). Milestones are time-bound decision points with tangible evidence.</w:t>
      </w:r>
    </w:p>
    <w:p>
      <w:pPr>
        <w:pStyle w:val="Heading2"/>
      </w:pPr>
      <w:r>
        <w:rPr>
          <w:color w:val="1A5599"/>
        </w:rPr>
        <w:t>End-of-project Outcomes</w:t>
      </w:r>
    </w:p>
    <w:p>
      <w:r>
        <w:rPr>
          <w:b/>
        </w:rPr>
        <w:t>Outcome 1 — Validated measurement theory for three population-level safety properties.</w:t>
      </w:r>
    </w:p>
    <w:p>
      <w:r>
        <w:t>Formal definitions of collusion-resistance, cascade-fragility, and collective-agency emergence, each paired with an estimator carrying explicit sample/intervention complexity bounds and a reference implementation against the Aim-B testbed.</w:t>
      </w:r>
    </w:p>
    <w:p>
      <w:r>
        <w:t>Why it matters for safety-relevant decisions: deploying organizations gain, for the first time, a way to measure these properties on a multi-agent stack rather than only evaluate agents one at a time. Cohort partners can apply the estimators to their own scenarios.</w:t>
      </w:r>
    </w:p>
    <w:p>
      <w:r>
        <w:t>Success measure: each estimator passes a reproducibility test on the testbed (two independent runs, same scenario, agreement within the bound stated by the estimator's complexity analysis); at least one property's estimator detects a failure that per-agent monitoring baselines miss.</w:t>
      </w:r>
    </w:p>
    <w:p>
      <w:r>
        <w:rPr>
          <w:b/>
        </w:rPr>
        <w:t>Outcome 2 — Open frontier-agent testbed with multi-principal scenario library.</w:t>
      </w:r>
    </w:p>
    <w:p>
      <w:r>
        <w:t>A reproducible, instrumented testbed of frontier-model agents (Claude, GPT, Gemini, an open-weight frontier-tier model) with tools, persistent memory, communication channels, and economic constraints, hosting at least three scenario families, each with at least one principal-adversarial variant.</w:t>
      </w:r>
    </w:p>
    <w:p>
      <w:r>
        <w:t>Why it matters: a neutral, reproducible measurement substrate for the funded cohort and third parties.</w:t>
      </w:r>
    </w:p>
    <w:p>
      <w:r>
        <w:t>Success measure: at least three scenarios released (one per family); the harness reproduces published runs deterministically where determinism is feasible; at least one cohort partner runs measurement on it independently.</w:t>
      </w:r>
    </w:p>
    <w:p>
      <w:r>
        <w:rPr>
          <w:b/>
        </w:rPr>
        <w:t>Outcome 3 — Transfer-calibration tool (Aim C).</w:t>
      </w:r>
    </w:p>
    <w:p>
      <w:r>
        <w:t>A tool that, given a sandbox result and a description of a target deployment, returns a calibrated transfer confidence with an explicit validity envelope.</w:t>
      </w:r>
    </w:p>
    <w:p>
      <w:r>
        <w:t>Why it matters: operationalizes the call's "externally valid — when should simulation-derived conclusions be trusted" desideratum into something a practitioner can actually use.</w:t>
      </w:r>
    </w:p>
    <w:p>
      <w:r>
        <w:t>Success measure: calibration is validated on held-out tested configurations; the tool's reported confidences are well-calibrated within stated bounds on the held-out set; reproducible third-party use is demonstrated by at least one external partner.</w:t>
      </w:r>
    </w:p>
    <w:p>
      <w:r>
        <w:rPr>
          <w:b/>
        </w:rPr>
        <w:t>Outcome 4 — First systematic map of how population-level safety properties scale.</w:t>
      </w:r>
    </w:p>
    <w:p>
      <w:r>
        <w:t>An empirical chart of how collusion-, cascade-, and emergence-risk depend on population size, heterogeneity, interaction topology, and tool access — with phase-transition probes where they appear.</w:t>
      </w:r>
    </w:p>
    <w:p>
      <w:r>
        <w:t>Why it matters: the field gains a first empirical chart of where in configuration-space the population becomes fragile, which directly informs deployment-time safety policy (e.g. when to throttle agent counts or restrict shared tool access).</w:t>
      </w:r>
    </w:p>
    <w:p>
      <w:r>
        <w:t>Success measure: public dataset of estimator outputs across the configuration sweep; at least one phase-transition finding (positive or negative) confirmed by red-team probes.</w:t>
      </w:r>
    </w:p>
    <w:p>
      <w:pPr>
        <w:pStyle w:val="Heading2"/>
      </w:pPr>
      <w:r>
        <w:rPr>
          <w:color w:val="1A5599"/>
        </w:rPr>
        <w:t>Time-bound Milestones</w:t>
      </w:r>
    </w:p>
    <w:p>
      <w:r>
        <w:rPr>
          <w:b/>
        </w:rPr>
        <w:t>Month 6.</w:t>
      </w:r>
    </w:p>
    <w:p>
      <w:r>
        <w:t>What will be demonstrated: Aim-A v1 — formal definitions and first estimators for collusion-resistance and cascade-fragility; Aim-B harness MVP (single principal, single tool stack); first principal-adversarial scenario.</w:t>
      </w:r>
    </w:p>
    <w:p>
      <w:r>
        <w:t>Tangible evidence: technical report; working harness in public repo; scenario released.</w:t>
      </w:r>
    </w:p>
    <w:p>
      <w:r>
        <w:t>Core hypothesis tested: can a manipulation-budget estimator over an agent population return a bounded-error estimate from feasibly many interventions? If not, the formalism is the first thing revised.</w:t>
      </w:r>
    </w:p>
    <w:p>
      <w:r>
        <w:rPr>
          <w:b/>
        </w:rPr>
        <w:t>Month 12.</w:t>
      </w:r>
    </w:p>
    <w:p>
      <w:r>
        <w:t>What will be demonstrated: loop online — Aim A ↔ Aim B for collusion and cascade properties; external-validity map v1.</w:t>
      </w:r>
    </w:p>
    <w:p>
      <w:r>
        <w:t>Tangible evidence: runnable estimators in repo; map artifact published; at least one cohort partner has reproduced at least one estimator on their own scenario.</w:t>
      </w:r>
    </w:p>
    <w:p>
      <w:r>
        <w:t>Core hypothesis tested: does instance-space embedding place tested configurations such that nearest-neighbour transfer-confidence predictions correlate with held-out estimator agreement? If not, the external-validity layer's methodology is revised.</w:t>
      </w:r>
    </w:p>
    <w:p>
      <w:r>
        <w:rPr>
          <w:b/>
        </w:rPr>
        <w:t>Month 18.</w:t>
      </w:r>
    </w:p>
    <w:p>
      <w:r>
        <w:t>What will be demonstrated: collective-agency emergence estimator; red-team kit released; transfer-calibration tool alpha.</w:t>
      </w:r>
    </w:p>
    <w:p>
      <w:r>
        <w:t>Tangible evidence: tool runs on at least three sandbox results and a target deployment description; calibration measured on a held-out set; red-team kit publicly released with responsible-disclosure protocol.</w:t>
      </w:r>
    </w:p>
    <w:p>
      <w:r>
        <w:t>Core hypothesis tested: does a revealed-preference / aggregation-consistency test detect emergent collective agency with bounded sample complexity on realistic frontier-agent populations? If not, definitions are revised.</w:t>
      </w:r>
    </w:p>
    <w:p>
      <w:r>
        <w:rPr>
          <w:b/>
        </w:rPr>
        <w:t>Month 24.</w:t>
      </w:r>
    </w:p>
    <w:p>
      <w:r>
        <w:t>What will be demonstrated: full measurement suite and transfer tool v1.0; cross-cohort benchmark; final maps and papers submitted to AAMAS / IJCAI / AAAI.</w:t>
      </w:r>
    </w:p>
    <w:p>
      <w:r>
        <w:t>Tangible evidence: artifacts publicly released under open license; benchmark adopted by at least one cohort partner; papers in submission.</w:t>
      </w:r>
    </w:p>
    <w:p>
      <w:r>
        <w:br w:type="page"/>
      </w:r>
    </w:p>
    <w:p>
      <w:pPr>
        <w:pStyle w:val="Heading1"/>
      </w:pPr>
      <w:r>
        <w:rPr>
          <w:color w:val="1A5599"/>
        </w:rPr>
        <w:t>4. Team CVs</w:t>
      </w:r>
    </w:p>
    <w:p>
      <w:r>
        <w:rPr>
          <w:i/>
          <w:color w:val="666666"/>
        </w:rPr>
        <w:t>Upload up to 5 PDF CVs of most relevant team members.</w:t>
      </w:r>
    </w:p>
    <w:p>
      <w:r>
        <w:rPr>
          <w:i/>
          <w:color w:val="C0392B"/>
        </w:rPr>
        <w:t>[TO FILL: (1) PI CV (Nimrod Talmon) — most recent, max 2 pages preferred. (2) Optionally CVs of named senior personnel — none in this Tier-1 single-PI proposal. Students/RA hired post-award so no CVs required.]</w:t>
      </w:r>
    </w:p>
    <w:p>
      <w:r>
        <w:br w:type="page"/>
      </w:r>
    </w:p>
    <w:p>
      <w:pPr>
        <w:pStyle w:val="Heading1"/>
      </w:pPr>
      <w:r>
        <w:rPr>
          <w:color w:val="1A5599"/>
        </w:rPr>
        <w:t>5. Budget &amp; Compute</w:t>
      </w:r>
    </w:p>
    <w:p>
      <w:r>
        <w:rPr>
          <w:b/>
        </w:rPr>
        <w:t>Estimated Total Budget</w:t>
      </w:r>
    </w:p>
    <w:p>
      <w:r>
        <w:t>USD $290,000–$300,000 over 24 months, inclusive of ≤10% indirect (per Schmidt Sciences policy). Final allocation in budget template.</w:t>
      </w:r>
    </w:p>
    <w:p>
      <w:r>
        <w:rPr>
          <w:b/>
        </w:rPr>
        <w:t>Budget Template Upload</w:t>
      </w:r>
    </w:p>
    <w:p>
      <w:r>
        <w:rPr>
          <w:i/>
          <w:color w:val="C0392B"/>
        </w:rPr>
        <w:t>[TO FILL: complete the official Schmidt budget template (link in smapply form); filename: "Talmon Budget for Scientific Milestones and Outcomes for Scaling AI Safety for a Multi-Agent World". Categories drafted below.]</w:t>
      </w:r>
    </w:p>
    <w:p>
      <w:r>
        <w:rPr>
          <w:b/>
        </w:rPr>
        <w:t>Indicative Allocation (for the budget template)</w:t>
      </w:r>
    </w:p>
    <w:p>
      <w:r>
        <w:t>Personnel (~70–75% of total). 1–2 PhD students at BGU full-time × 24 mo; 1 research engineer / RA part-time × 24 mo; PI summer salary fraction at BGU's policy rate. No co-PI line; optional postdoc fraction only if budget allows after other categories.</w:t>
      </w:r>
    </w:p>
    <w:p>
      <w:r>
        <w:t>Compute — Option 2 (Standard Compute, ≤ USD $50,000 inclusive line item). Commercial GPU rental (≈ H100-class via standard cloud provider) for distilled-proxy training and inference; rough estimate ≈ USD $2–4 per GPU-hour at provider list rates. Indicative target: ~$25–40k over 24 mo.</w:t>
      </w:r>
    </w:p>
    <w:p>
      <w:r>
        <w:t>API credits (separate line, not counted as "compute" per the call's rule). Frontier-model API for validation runs and red-team batches: Claude (Opus / Sonnet), GPT, Gemini, open-weight frontier-tier model. Indicative: ~$15–25k over 24 mo, heavily front-loaded to Months 6–18.</w:t>
      </w:r>
    </w:p>
    <w:p>
      <w:r>
        <w:t>Travel / dissemination (~5%). AAMAS / IJCAI / AAAI + the cohort meeting. Non-US-awardee logistics will respect W-8 considerations; US conference travel funded from non-Schmidt sources where required.</w:t>
      </w:r>
    </w:p>
    <w:p>
      <w:r>
        <w:t>Indirect (≤10% of grand total) per Schmidt Sciences policy.</w:t>
      </w:r>
    </w:p>
    <w:p>
      <w:r>
        <w:rPr>
          <w:b/>
        </w:rPr>
        <w:t>Budget Justification*</w:t>
      </w:r>
      <w:r>
        <w:rPr>
          <w:i/>
          <w:color w:val="666666"/>
        </w:rPr>
        <w:t xml:space="preserve">  (≤ 300 words)</w:t>
      </w:r>
    </w:p>
    <w:p>
      <w:r>
        <w:rPr>
          <w:i/>
          <w:color w:val="666666"/>
        </w:rPr>
        <w:t>High-level alignment between budget and project; necessity of categories.</w:t>
      </w:r>
    </w:p>
    <w:p>
      <w:r>
        <w:t>Total ≤ USD $300,000 over 24 months, with ≤10% indirect, per Tier-1 cap and Schmidt Sciences policy.</w:t>
      </w:r>
    </w:p>
    <w:p>
      <w:r>
        <w:t>Personnel (~70–75%). The core contribution — Aim A's tractable estimators and Aim C's external-validity tool — is intellectual work, not compute. 1–2 PhD students and one engineer is the smallest team that covers Aim A (formal work), Aim B (testbed engineering), and Aim C (instance-space embedding) over 24 months. No co-PI, no full postdoc line — these are deliberately omitted to keep the proposal focused and within Tier 1.</w:t>
      </w:r>
    </w:p>
    <w:p>
      <w:r>
        <w:t>Compute — Option 2 (≤ $50,000 inclusive). Modest commercial GPU rental (≈ H100-class) for the distilled-proxy track: training and inference on 8–32B open-weight models calibrated to stand in for frontier agents on specific behavioral dimensions. This track is the cost-control mechanism that makes a genuinely frontier-fidelity testbed feasible at Tier-1 scale. Provider, rate, and hour estimates are documented in the budget line item.</w:t>
      </w:r>
    </w:p>
    <w:p>
      <w:r>
        <w:t>API credits (separate line, not "compute" per call rules). Frontier-model API for validation runs and red-team batches across Claude, GPT, Gemini, and an open-weight frontier-tier model — vendor diversity is required so principal-adversarial scenarios are realistic.</w:t>
      </w:r>
    </w:p>
    <w:p>
      <w:r>
        <w:t>Travel / dissemination (~5%). AAMAS / IJCAI / AAAI plus the funded-cohort meeting. US conference travel will be supported from non-Schmidt sources where required by the non-US-awardee structure.</w:t>
      </w:r>
    </w:p>
    <w:p>
      <w:r>
        <w:t>Indirect ≤10% at BGU's policy cap. The personnel-heavy, compute-conservative structure aligns with the proposal's central feasibility argument: the proxy track absorbs volume; frontier runs are reserved for validation; the intellectual deliverables drive the cost.</w:t>
      </w:r>
    </w:p>
    <w:p>
      <w:r>
        <w:rPr>
          <w:i/>
          <w:color w:val="666666"/>
          <w:sz w:val="16"/>
        </w:rPr>
        <w:t>(approx. word count: 295)</w:t>
      </w:r>
    </w:p>
    <w:p>
      <w:r>
        <w:rPr>
          <w:b/>
        </w:rPr>
        <w:t>Grant administrator / finance contact email*</w:t>
      </w:r>
    </w:p>
    <w:p>
      <w:r>
        <w:rPr>
          <w:i/>
          <w:color w:val="C0392B"/>
        </w:rPr>
        <w:t>[TO FILL: BGU research authority / grant administrator email — to be confirmed by PI.]</w:t>
      </w:r>
    </w:p>
    <w:p>
      <w:r>
        <w:rPr>
          <w:b/>
        </w:rPr>
        <w:t>Compute Option</w:t>
      </w:r>
    </w:p>
    <w:p>
      <w:r>
        <w:t>Option 2 — Standard Compute (≤ USD $50,000 GPU line item in budget). Rationale: high-volume runs are LLM-based and use API (which is not "compute" per the call); we need only modest commercial GPU for the distilled-proxy track. Option 2 fits cleanly within Tier 1; in-kind cluster support (Option 3) is not required.</w:t>
      </w:r>
    </w:p>
    <w:p>
      <w:r>
        <w:br w:type="page"/>
      </w:r>
    </w:p>
    <w:p>
      <w:pPr>
        <w:pStyle w:val="Heading1"/>
      </w:pPr>
      <w:r>
        <w:rPr>
          <w:color w:val="1A5599"/>
        </w:rPr>
        <w:t>6. Anything Else?</w:t>
      </w:r>
    </w:p>
    <w:p>
      <w:r>
        <w:rPr>
          <w:b/>
        </w:rPr>
        <w:t>Do you give permission to share your proposal with other funders (external to the partners of this call)?</w:t>
      </w:r>
    </w:p>
    <w:p>
      <w:r>
        <w:rPr>
          <w:i/>
          <w:color w:val="C0392B"/>
        </w:rPr>
        <w:t>[TO FILL: PI to choose Yes / No. Default suggestion: Yes — wider exposure increases back-up funding probability and the project is non-proprietary.]</w:t>
      </w:r>
    </w:p>
    <w:p>
      <w:r>
        <w:rPr>
          <w:b/>
        </w:rPr>
        <w:t>Anything else you would like to communicate?</w:t>
      </w:r>
    </w:p>
    <w:p>
      <w:r>
        <w:t>Two practical notes for the panel. (1) BGU is a non-US institution; NGOSource equivalency determination, where required, will be initiated within Schmidt's 90-day target. (2) The proposal targets the "Science of Agent Networks" sub-areas #3 and #4 and the "Sandboxes and Testbeds" area in depth, rather than spreading across all four call areas — consistent with the call's explicit depth-over-breadth guidance.</w:t>
      </w:r>
    </w:p>
    <w:p>
      <w:r>
        <w:br w:type="page"/>
      </w:r>
    </w:p>
    <w:p>
      <w:pPr>
        <w:pStyle w:val="Heading1"/>
      </w:pPr>
      <w:r>
        <w:rPr>
          <w:color w:val="1A5599"/>
        </w:rPr>
        <w:t>7. Eligibility &amp; Disclaimer</w:t>
      </w:r>
    </w:p>
    <w:p>
      <w:r>
        <w:rPr>
          <w:b/>
        </w:rPr>
        <w:t>Confirm eligibility criteria*</w:t>
      </w:r>
    </w:p>
    <w:p>
      <w:r>
        <w:rPr>
          <w:i/>
          <w:color w:val="C0392B"/>
        </w:rPr>
        <w:t>[TO FILL: PI to check the box. BGU is a non-US public university and will satisfy the IRS foreign-equivalent requirement (NGOSource ED to be initiated on award).]</w:t>
      </w:r>
    </w:p>
    <w:p>
      <w:r>
        <w:rPr>
          <w:b/>
        </w:rPr>
        <w:t>Additional requirements for Google.org-funded projects*</w:t>
      </w:r>
    </w:p>
    <w:p>
      <w:r>
        <w:rPr>
          <w:i/>
          <w:color w:val="C0392B"/>
        </w:rPr>
        <w:t>[TO FILL: PI to decide whether to accept Google.org's open-access / IP terms (Apache 2.0 for code, CC-BY 4.0 for other IP, no patents, AI Principles compliance). The proposal's deliverables are already designed to be open, so accepting is recommended — it widens the funding pool and does not alter our IP plan.]</w:t>
      </w:r>
    </w:p>
    <w:p>
      <w:r>
        <w:rPr>
          <w:b/>
        </w:rPr>
        <w:t>Terms of submission*</w:t>
      </w:r>
    </w:p>
    <w:p>
      <w:r>
        <w:rPr>
          <w:i/>
          <w:color w:val="C0392B"/>
        </w:rPr>
        <w:t>[TO FILL: PI to accept on submission.]</w:t>
      </w:r>
    </w:p>
    <w:p>
      <w:r>
        <w:br w:type="page"/>
      </w:r>
    </w:p>
    <w:p>
      <w:pPr>
        <w:pStyle w:val="Heading1"/>
      </w:pPr>
      <w:r>
        <w:rPr>
          <w:color w:val="1A5599"/>
        </w:rPr>
        <w:t>Appendix — Working Notes (delete before submission)</w:t>
      </w:r>
    </w:p>
    <w:p>
      <w:r>
        <w:t>Word-count budget per section was honored against the limits in the smapply PDF (Background; Project Details; Milestones; Budget). Each answer ends with an approximate word count; verify exactly with Word's counter before submission.</w:t>
      </w:r>
    </w:p>
    <w:p>
      <w:r>
        <w:t>Items to confirm with the PI before submission:</w:t>
      </w:r>
    </w:p>
    <w:p>
      <w:r>
        <w:t>1. PI title and BGU faculty page URL.</w:t>
      </w:r>
    </w:p>
    <w:p>
      <w:r>
        <w:t>2. Headshot (1080×1080, professional).</w:t>
      </w:r>
    </w:p>
    <w:p>
      <w:r>
        <w:t>3. "How did you hear about this RFP?" drop-down selection.</w:t>
      </w:r>
    </w:p>
    <w:p>
      <w:r>
        <w:t>4. Existing-Funding section: real grant numbers, amounts, dates; any pending applications with overlapping scope.</w:t>
      </w:r>
    </w:p>
    <w:p>
      <w:r>
        <w:t>5. Suggested reviewers (3–5 names; non-collaborators per DBLP graph).</w:t>
      </w:r>
    </w:p>
    <w:p>
      <w:r>
        <w:t>6. Grant administrator email at BGU.</w:t>
      </w:r>
    </w:p>
    <w:p>
      <w:r>
        <w:t>7. Verify each reference's arXiv ID / venue / year against DBLP and arXiv (some were copied from the working brief and should be re-checked).</w:t>
      </w:r>
    </w:p>
    <w:p>
      <w:r>
        <w:t>8. Permission-to-share answer and Google.org-terms answer.</w:t>
      </w:r>
    </w:p>
    <w:p>
      <w:r>
        <w:t>9. Optional figure: one figure showing the Aim-A ↔ Aim-B loop + Aim-C external-validity map.</w:t>
      </w:r>
    </w:p>
    <w:p>
      <w:r>
        <w:t>10. Budget template (separate upload) and Milestones template (separate upload) — drop drafts above into the official Schmidt forms.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