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0"/>
        <w:ind w:left="3059" w:right="3060"/>
        <w:jc w:val="center"/>
      </w:pPr>
      <w:r>
        <w:rPr/>
        <w:t>IMPORTANT NOTICE:</w:t>
      </w:r>
    </w:p>
    <w:p>
      <w:pPr>
        <w:pStyle w:val="BodyText"/>
        <w:spacing w:before="11"/>
        <w:rPr>
          <w:sz w:val="31"/>
        </w:rPr>
      </w:pPr>
    </w:p>
    <w:p>
      <w:pPr>
        <w:pStyle w:val="ListParagraph"/>
        <w:numPr>
          <w:ilvl w:val="0"/>
          <w:numId w:val="1"/>
        </w:numPr>
        <w:tabs>
          <w:tab w:pos="840" w:val="left" w:leader="none"/>
        </w:tabs>
        <w:spacing w:line="240" w:lineRule="auto" w:before="0" w:after="0"/>
        <w:ind w:left="120" w:right="115" w:firstLine="0"/>
        <w:jc w:val="both"/>
        <w:rPr>
          <w:b/>
          <w:sz w:val="32"/>
        </w:rPr>
      </w:pPr>
      <w:r>
        <w:rPr>
          <w:b/>
          <w:sz w:val="32"/>
        </w:rPr>
        <w:t>The insurance policy that you are applying to purchase is being issued by an insurer that is not licensed by the State of California. These companies are called “nonadmitted” or “surplus line” insurers.</w:t>
      </w:r>
    </w:p>
    <w:p>
      <w:pPr>
        <w:pStyle w:val="BodyText"/>
        <w:spacing w:before="11"/>
        <w:rPr>
          <w:sz w:val="31"/>
        </w:rPr>
      </w:pPr>
    </w:p>
    <w:p>
      <w:pPr>
        <w:pStyle w:val="ListParagraph"/>
        <w:numPr>
          <w:ilvl w:val="0"/>
          <w:numId w:val="1"/>
        </w:numPr>
        <w:tabs>
          <w:tab w:pos="840" w:val="left" w:leader="none"/>
        </w:tabs>
        <w:spacing w:line="240" w:lineRule="auto" w:before="0" w:after="0"/>
        <w:ind w:left="120" w:right="117" w:firstLine="0"/>
        <w:jc w:val="both"/>
        <w:rPr>
          <w:b/>
          <w:sz w:val="32"/>
        </w:rPr>
      </w:pPr>
      <w:r>
        <w:rPr>
          <w:b/>
          <w:sz w:val="32"/>
        </w:rPr>
        <w:t>The insurer is not subject to the financial solvency regulation and enforcement that apply to California licensed</w:t>
      </w:r>
      <w:r>
        <w:rPr>
          <w:b/>
          <w:spacing w:val="-11"/>
          <w:sz w:val="32"/>
        </w:rPr>
        <w:t> </w:t>
      </w:r>
      <w:r>
        <w:rPr>
          <w:b/>
          <w:sz w:val="32"/>
        </w:rPr>
        <w:t>insurers.</w:t>
      </w:r>
    </w:p>
    <w:p>
      <w:pPr>
        <w:pStyle w:val="BodyText"/>
      </w:pPr>
    </w:p>
    <w:p>
      <w:pPr>
        <w:pStyle w:val="ListParagraph"/>
        <w:numPr>
          <w:ilvl w:val="0"/>
          <w:numId w:val="1"/>
        </w:numPr>
        <w:tabs>
          <w:tab w:pos="841" w:val="left" w:leader="none"/>
        </w:tabs>
        <w:spacing w:line="240" w:lineRule="auto" w:before="0" w:after="0"/>
        <w:ind w:left="120" w:right="115" w:firstLine="0"/>
        <w:jc w:val="both"/>
        <w:rPr>
          <w:b/>
          <w:sz w:val="32"/>
        </w:rPr>
      </w:pPr>
      <w:r>
        <w:rPr>
          <w:b/>
          <w:sz w:val="32"/>
        </w:rPr>
        <w:t>The insurer does not participate in any of the insurance guarantee funds created by California law. Therefore, these funds will</w:t>
      </w:r>
      <w:r>
        <w:rPr>
          <w:b/>
          <w:spacing w:val="-5"/>
          <w:sz w:val="32"/>
        </w:rPr>
        <w:t> </w:t>
      </w:r>
      <w:r>
        <w:rPr>
          <w:b/>
          <w:sz w:val="32"/>
        </w:rPr>
        <w:t>not</w:t>
      </w:r>
      <w:r>
        <w:rPr>
          <w:b/>
          <w:spacing w:val="-6"/>
          <w:sz w:val="32"/>
        </w:rPr>
        <w:t> </w:t>
      </w:r>
      <w:r>
        <w:rPr>
          <w:b/>
          <w:sz w:val="32"/>
        </w:rPr>
        <w:t>pay</w:t>
      </w:r>
      <w:r>
        <w:rPr>
          <w:b/>
          <w:spacing w:val="-5"/>
          <w:sz w:val="32"/>
        </w:rPr>
        <w:t> </w:t>
      </w:r>
      <w:r>
        <w:rPr>
          <w:b/>
          <w:sz w:val="32"/>
        </w:rPr>
        <w:t>your</w:t>
      </w:r>
      <w:r>
        <w:rPr>
          <w:b/>
          <w:spacing w:val="-4"/>
          <w:sz w:val="32"/>
        </w:rPr>
        <w:t> </w:t>
      </w:r>
      <w:r>
        <w:rPr>
          <w:b/>
          <w:sz w:val="32"/>
        </w:rPr>
        <w:t>claims</w:t>
      </w:r>
      <w:r>
        <w:rPr>
          <w:b/>
          <w:spacing w:val="-6"/>
          <w:sz w:val="32"/>
        </w:rPr>
        <w:t> </w:t>
      </w:r>
      <w:r>
        <w:rPr>
          <w:b/>
          <w:sz w:val="32"/>
        </w:rPr>
        <w:t>or</w:t>
      </w:r>
      <w:r>
        <w:rPr>
          <w:b/>
          <w:spacing w:val="-3"/>
          <w:sz w:val="32"/>
        </w:rPr>
        <w:t> </w:t>
      </w:r>
      <w:r>
        <w:rPr>
          <w:b/>
          <w:sz w:val="32"/>
        </w:rPr>
        <w:t>protect</w:t>
      </w:r>
      <w:r>
        <w:rPr>
          <w:b/>
          <w:spacing w:val="-4"/>
          <w:sz w:val="32"/>
        </w:rPr>
        <w:t> </w:t>
      </w:r>
      <w:r>
        <w:rPr>
          <w:b/>
          <w:sz w:val="32"/>
        </w:rPr>
        <w:t>your</w:t>
      </w:r>
      <w:r>
        <w:rPr>
          <w:b/>
          <w:spacing w:val="-6"/>
          <w:sz w:val="32"/>
        </w:rPr>
        <w:t> </w:t>
      </w:r>
      <w:r>
        <w:rPr>
          <w:b/>
          <w:sz w:val="32"/>
        </w:rPr>
        <w:t>assets</w:t>
      </w:r>
      <w:r>
        <w:rPr>
          <w:b/>
          <w:spacing w:val="-4"/>
          <w:sz w:val="32"/>
        </w:rPr>
        <w:t> </w:t>
      </w:r>
      <w:r>
        <w:rPr>
          <w:b/>
          <w:sz w:val="32"/>
        </w:rPr>
        <w:t>if</w:t>
      </w:r>
      <w:r>
        <w:rPr>
          <w:b/>
          <w:spacing w:val="-6"/>
          <w:sz w:val="32"/>
        </w:rPr>
        <w:t> </w:t>
      </w:r>
      <w:r>
        <w:rPr>
          <w:b/>
          <w:sz w:val="32"/>
        </w:rPr>
        <w:t>the</w:t>
      </w:r>
      <w:r>
        <w:rPr>
          <w:b/>
          <w:spacing w:val="-5"/>
          <w:sz w:val="32"/>
        </w:rPr>
        <w:t> </w:t>
      </w:r>
      <w:r>
        <w:rPr>
          <w:b/>
          <w:sz w:val="32"/>
        </w:rPr>
        <w:t>insurer</w:t>
      </w:r>
      <w:r>
        <w:rPr>
          <w:b/>
          <w:spacing w:val="-6"/>
          <w:sz w:val="32"/>
        </w:rPr>
        <w:t> </w:t>
      </w:r>
      <w:r>
        <w:rPr>
          <w:b/>
          <w:sz w:val="32"/>
        </w:rPr>
        <w:t>becomes insolvent and is unable to make payments as</w:t>
      </w:r>
      <w:r>
        <w:rPr>
          <w:b/>
          <w:spacing w:val="-15"/>
          <w:sz w:val="32"/>
        </w:rPr>
        <w:t> </w:t>
      </w:r>
      <w:r>
        <w:rPr>
          <w:b/>
          <w:sz w:val="32"/>
        </w:rPr>
        <w:t>promised.</w:t>
      </w:r>
    </w:p>
    <w:p>
      <w:pPr>
        <w:pStyle w:val="BodyText"/>
      </w:pPr>
    </w:p>
    <w:p>
      <w:pPr>
        <w:pStyle w:val="ListParagraph"/>
        <w:numPr>
          <w:ilvl w:val="0"/>
          <w:numId w:val="1"/>
        </w:numPr>
        <w:tabs>
          <w:tab w:pos="841" w:val="left" w:leader="none"/>
        </w:tabs>
        <w:spacing w:line="240" w:lineRule="auto" w:before="0" w:after="0"/>
        <w:ind w:left="120" w:right="117" w:firstLine="0"/>
        <w:jc w:val="both"/>
        <w:rPr>
          <w:b/>
          <w:sz w:val="32"/>
        </w:rPr>
      </w:pPr>
      <w:r>
        <w:rPr>
          <w:b/>
          <w:sz w:val="32"/>
        </w:rPr>
        <w:t>The insurer should be licensed either as a foreign insurer in another state in the United States or as a non-United States (alien) insurer.</w:t>
      </w:r>
      <w:r>
        <w:rPr>
          <w:b/>
          <w:spacing w:val="-17"/>
          <w:sz w:val="32"/>
        </w:rPr>
        <w:t> </w:t>
      </w:r>
      <w:r>
        <w:rPr>
          <w:b/>
          <w:sz w:val="32"/>
        </w:rPr>
        <w:t>You</w:t>
      </w:r>
      <w:r>
        <w:rPr>
          <w:b/>
          <w:spacing w:val="-18"/>
          <w:sz w:val="32"/>
        </w:rPr>
        <w:t> </w:t>
      </w:r>
      <w:r>
        <w:rPr>
          <w:b/>
          <w:sz w:val="32"/>
        </w:rPr>
        <w:t>should</w:t>
      </w:r>
      <w:r>
        <w:rPr>
          <w:b/>
          <w:spacing w:val="-15"/>
          <w:sz w:val="32"/>
        </w:rPr>
        <w:t> </w:t>
      </w:r>
      <w:r>
        <w:rPr>
          <w:b/>
          <w:sz w:val="32"/>
        </w:rPr>
        <w:t>ask</w:t>
      </w:r>
      <w:r>
        <w:rPr>
          <w:b/>
          <w:spacing w:val="-16"/>
          <w:sz w:val="32"/>
        </w:rPr>
        <w:t> </w:t>
      </w:r>
      <w:r>
        <w:rPr>
          <w:b/>
          <w:sz w:val="32"/>
        </w:rPr>
        <w:t>questions</w:t>
      </w:r>
      <w:r>
        <w:rPr>
          <w:b/>
          <w:spacing w:val="-16"/>
          <w:sz w:val="32"/>
        </w:rPr>
        <w:t> </w:t>
      </w:r>
      <w:r>
        <w:rPr>
          <w:b/>
          <w:sz w:val="32"/>
        </w:rPr>
        <w:t>of</w:t>
      </w:r>
      <w:r>
        <w:rPr>
          <w:b/>
          <w:spacing w:val="-16"/>
          <w:sz w:val="32"/>
        </w:rPr>
        <w:t> </w:t>
      </w:r>
      <w:r>
        <w:rPr>
          <w:b/>
          <w:sz w:val="32"/>
        </w:rPr>
        <w:t>your</w:t>
      </w:r>
      <w:r>
        <w:rPr>
          <w:b/>
          <w:spacing w:val="-16"/>
          <w:sz w:val="32"/>
        </w:rPr>
        <w:t> </w:t>
      </w:r>
      <w:r>
        <w:rPr>
          <w:b/>
          <w:sz w:val="32"/>
        </w:rPr>
        <w:t>insurance</w:t>
      </w:r>
      <w:r>
        <w:rPr>
          <w:b/>
          <w:spacing w:val="-16"/>
          <w:sz w:val="32"/>
        </w:rPr>
        <w:t> </w:t>
      </w:r>
      <w:r>
        <w:rPr>
          <w:b/>
          <w:sz w:val="32"/>
        </w:rPr>
        <w:t>agent,</w:t>
      </w:r>
      <w:r>
        <w:rPr>
          <w:b/>
          <w:spacing w:val="-17"/>
          <w:sz w:val="32"/>
        </w:rPr>
        <w:t> </w:t>
      </w:r>
      <w:r>
        <w:rPr>
          <w:b/>
          <w:sz w:val="32"/>
        </w:rPr>
        <w:t>broker,</w:t>
      </w:r>
      <w:r>
        <w:rPr>
          <w:b/>
          <w:spacing w:val="-17"/>
          <w:sz w:val="32"/>
        </w:rPr>
        <w:t> </w:t>
      </w:r>
      <w:r>
        <w:rPr>
          <w:b/>
          <w:sz w:val="32"/>
        </w:rPr>
        <w:t>or “surplus line” broker or contact the California Department of Insurance at the toll-free number 1-800-927-4357 or internet website </w:t>
      </w:r>
      <w:hyperlink r:id="rId5">
        <w:r>
          <w:rPr>
            <w:b/>
            <w:sz w:val="32"/>
          </w:rPr>
          <w:t>www.insurance.ca.gov. </w:t>
        </w:r>
      </w:hyperlink>
      <w:r>
        <w:rPr>
          <w:b/>
          <w:sz w:val="32"/>
        </w:rPr>
        <w:t>Ask whether or not the insurer is licensed as a foreign or non-United States (alien) insurer and for additional information</w:t>
      </w:r>
      <w:r>
        <w:rPr>
          <w:b/>
          <w:spacing w:val="-20"/>
          <w:sz w:val="32"/>
        </w:rPr>
        <w:t> </w:t>
      </w:r>
      <w:r>
        <w:rPr>
          <w:b/>
          <w:sz w:val="32"/>
        </w:rPr>
        <w:t>about</w:t>
      </w:r>
      <w:r>
        <w:rPr>
          <w:b/>
          <w:spacing w:val="-19"/>
          <w:sz w:val="32"/>
        </w:rPr>
        <w:t> </w:t>
      </w:r>
      <w:r>
        <w:rPr>
          <w:b/>
          <w:sz w:val="32"/>
        </w:rPr>
        <w:t>the</w:t>
      </w:r>
      <w:r>
        <w:rPr>
          <w:b/>
          <w:spacing w:val="-19"/>
          <w:sz w:val="32"/>
        </w:rPr>
        <w:t> </w:t>
      </w:r>
      <w:r>
        <w:rPr>
          <w:b/>
          <w:sz w:val="32"/>
        </w:rPr>
        <w:t>insurer.</w:t>
      </w:r>
      <w:r>
        <w:rPr>
          <w:b/>
          <w:spacing w:val="-20"/>
          <w:sz w:val="32"/>
        </w:rPr>
        <w:t> </w:t>
      </w:r>
      <w:r>
        <w:rPr>
          <w:b/>
          <w:sz w:val="32"/>
        </w:rPr>
        <w:t>You</w:t>
      </w:r>
      <w:r>
        <w:rPr>
          <w:b/>
          <w:spacing w:val="-20"/>
          <w:sz w:val="32"/>
        </w:rPr>
        <w:t> </w:t>
      </w:r>
      <w:r>
        <w:rPr>
          <w:b/>
          <w:sz w:val="32"/>
        </w:rPr>
        <w:t>may</w:t>
      </w:r>
      <w:r>
        <w:rPr>
          <w:b/>
          <w:spacing w:val="-20"/>
          <w:sz w:val="32"/>
        </w:rPr>
        <w:t> </w:t>
      </w:r>
      <w:r>
        <w:rPr>
          <w:b/>
          <w:sz w:val="32"/>
        </w:rPr>
        <w:t>also</w:t>
      </w:r>
      <w:r>
        <w:rPr>
          <w:b/>
          <w:spacing w:val="-21"/>
          <w:sz w:val="32"/>
        </w:rPr>
        <w:t> </w:t>
      </w:r>
      <w:r>
        <w:rPr>
          <w:b/>
          <w:sz w:val="32"/>
        </w:rPr>
        <w:t>visit</w:t>
      </w:r>
      <w:r>
        <w:rPr>
          <w:b/>
          <w:spacing w:val="-19"/>
          <w:sz w:val="32"/>
        </w:rPr>
        <w:t> </w:t>
      </w:r>
      <w:r>
        <w:rPr>
          <w:b/>
          <w:sz w:val="32"/>
        </w:rPr>
        <w:t>the</w:t>
      </w:r>
      <w:r>
        <w:rPr>
          <w:b/>
          <w:spacing w:val="-20"/>
          <w:sz w:val="32"/>
        </w:rPr>
        <w:t> </w:t>
      </w:r>
      <w:r>
        <w:rPr>
          <w:b/>
          <w:sz w:val="32"/>
        </w:rPr>
        <w:t>NAIC’s</w:t>
      </w:r>
      <w:r>
        <w:rPr>
          <w:b/>
          <w:spacing w:val="-19"/>
          <w:sz w:val="32"/>
        </w:rPr>
        <w:t> </w:t>
      </w:r>
      <w:r>
        <w:rPr>
          <w:b/>
          <w:sz w:val="32"/>
        </w:rPr>
        <w:t>internet website at </w:t>
      </w:r>
      <w:hyperlink r:id="rId6">
        <w:r>
          <w:rPr>
            <w:b/>
            <w:sz w:val="32"/>
          </w:rPr>
          <w:t>www.naic.org.</w:t>
        </w:r>
      </w:hyperlink>
      <w:r>
        <w:rPr>
          <w:b/>
          <w:sz w:val="32"/>
        </w:rPr>
        <w:t> The NAIC—the National Association of Insurance Commissioners—is the regulatory support organization created and governed by the chief insurance regulators in the</w:t>
      </w:r>
      <w:r>
        <w:rPr>
          <w:b/>
          <w:spacing w:val="-50"/>
          <w:sz w:val="32"/>
        </w:rPr>
        <w:t> </w:t>
      </w:r>
      <w:r>
        <w:rPr>
          <w:b/>
          <w:sz w:val="32"/>
        </w:rPr>
        <w:t>United States.</w:t>
      </w:r>
    </w:p>
    <w:p>
      <w:pPr>
        <w:pStyle w:val="BodyText"/>
        <w:spacing w:before="1"/>
      </w:pPr>
    </w:p>
    <w:p>
      <w:pPr>
        <w:pStyle w:val="ListParagraph"/>
        <w:numPr>
          <w:ilvl w:val="0"/>
          <w:numId w:val="1"/>
        </w:numPr>
        <w:tabs>
          <w:tab w:pos="840" w:val="left" w:leader="none"/>
        </w:tabs>
        <w:spacing w:line="240" w:lineRule="auto" w:before="0" w:after="0"/>
        <w:ind w:left="120" w:right="115" w:firstLine="0"/>
        <w:jc w:val="both"/>
        <w:rPr>
          <w:b/>
          <w:sz w:val="32"/>
        </w:rPr>
      </w:pPr>
      <w:r>
        <w:rPr>
          <w:b/>
          <w:sz w:val="32"/>
        </w:rPr>
        <w:t>Foreign insurers should be licensed by a state in the United States and you may contact that state’s department of insurance to obtain more information about that insurer. You can find a link to each state from this NAIC internet website: https://naic.org/state_web_map.htm.</w:t>
      </w:r>
    </w:p>
    <w:p>
      <w:pPr>
        <w:spacing w:after="0" w:line="240" w:lineRule="auto"/>
        <w:jc w:val="both"/>
        <w:rPr>
          <w:sz w:val="32"/>
        </w:rPr>
        <w:sectPr>
          <w:type w:val="continuous"/>
          <w:pgSz w:w="12240" w:h="15840"/>
          <w:pgMar w:top="1380" w:bottom="280" w:left="1320" w:right="1320"/>
        </w:sectPr>
      </w:pPr>
    </w:p>
    <w:p>
      <w:pPr>
        <w:pStyle w:val="ListParagraph"/>
        <w:numPr>
          <w:ilvl w:val="0"/>
          <w:numId w:val="1"/>
        </w:numPr>
        <w:tabs>
          <w:tab w:pos="840" w:val="left" w:leader="none"/>
        </w:tabs>
        <w:spacing w:line="240" w:lineRule="auto" w:before="60" w:after="0"/>
        <w:ind w:left="120" w:right="117" w:hanging="1"/>
        <w:jc w:val="both"/>
        <w:rPr>
          <w:b/>
          <w:sz w:val="32"/>
        </w:rPr>
      </w:pPr>
      <w:r>
        <w:rPr>
          <w:b/>
          <w:sz w:val="32"/>
        </w:rPr>
        <w:t>For non-United States (alien) insurers, the insurer should be licensed by a country outside of the United States and should be on the NAIC’s International Insurers Department (IID) listing of approved nonadmitted non-United States insurers. Ask your agent, broker, or “surplus line” broker to obtain more information about that</w:t>
      </w:r>
      <w:r>
        <w:rPr>
          <w:b/>
          <w:spacing w:val="-2"/>
          <w:sz w:val="32"/>
        </w:rPr>
        <w:t> </w:t>
      </w:r>
      <w:r>
        <w:rPr>
          <w:b/>
          <w:sz w:val="32"/>
        </w:rPr>
        <w:t>insurer.</w:t>
      </w:r>
    </w:p>
    <w:p>
      <w:pPr>
        <w:pStyle w:val="BodyText"/>
        <w:spacing w:before="10"/>
        <w:rPr>
          <w:sz w:val="31"/>
        </w:rPr>
      </w:pPr>
    </w:p>
    <w:p>
      <w:pPr>
        <w:pStyle w:val="ListParagraph"/>
        <w:numPr>
          <w:ilvl w:val="0"/>
          <w:numId w:val="1"/>
        </w:numPr>
        <w:tabs>
          <w:tab w:pos="841" w:val="left" w:leader="none"/>
        </w:tabs>
        <w:spacing w:line="240" w:lineRule="auto" w:before="1" w:after="0"/>
        <w:ind w:left="120" w:right="116" w:firstLine="0"/>
        <w:jc w:val="both"/>
        <w:rPr>
          <w:b/>
          <w:sz w:val="32"/>
        </w:rPr>
      </w:pPr>
      <w:r>
        <w:rPr>
          <w:b/>
          <w:sz w:val="32"/>
        </w:rPr>
        <w:t>California</w:t>
      </w:r>
      <w:r>
        <w:rPr>
          <w:b/>
          <w:spacing w:val="-14"/>
          <w:sz w:val="32"/>
        </w:rPr>
        <w:t> </w:t>
      </w:r>
      <w:r>
        <w:rPr>
          <w:b/>
          <w:sz w:val="32"/>
        </w:rPr>
        <w:t>maintains</w:t>
      </w:r>
      <w:r>
        <w:rPr>
          <w:b/>
          <w:spacing w:val="-15"/>
          <w:sz w:val="32"/>
        </w:rPr>
        <w:t> </w:t>
      </w:r>
      <w:r>
        <w:rPr>
          <w:b/>
          <w:sz w:val="32"/>
        </w:rPr>
        <w:t>a</w:t>
      </w:r>
      <w:r>
        <w:rPr>
          <w:b/>
          <w:spacing w:val="-13"/>
          <w:sz w:val="32"/>
        </w:rPr>
        <w:t> </w:t>
      </w:r>
      <w:r>
        <w:rPr>
          <w:b/>
          <w:sz w:val="32"/>
        </w:rPr>
        <w:t>“List</w:t>
      </w:r>
      <w:r>
        <w:rPr>
          <w:b/>
          <w:spacing w:val="-15"/>
          <w:sz w:val="32"/>
        </w:rPr>
        <w:t> </w:t>
      </w:r>
      <w:r>
        <w:rPr>
          <w:b/>
          <w:sz w:val="32"/>
        </w:rPr>
        <w:t>of</w:t>
      </w:r>
      <w:r>
        <w:rPr>
          <w:b/>
          <w:spacing w:val="-14"/>
          <w:sz w:val="32"/>
        </w:rPr>
        <w:t> </w:t>
      </w:r>
      <w:r>
        <w:rPr>
          <w:b/>
          <w:sz w:val="32"/>
        </w:rPr>
        <w:t>Approved</w:t>
      </w:r>
      <w:r>
        <w:rPr>
          <w:b/>
          <w:spacing w:val="-16"/>
          <w:sz w:val="32"/>
        </w:rPr>
        <w:t> </w:t>
      </w:r>
      <w:r>
        <w:rPr>
          <w:b/>
          <w:sz w:val="32"/>
        </w:rPr>
        <w:t>Surplus</w:t>
      </w:r>
      <w:r>
        <w:rPr>
          <w:b/>
          <w:spacing w:val="-14"/>
          <w:sz w:val="32"/>
        </w:rPr>
        <w:t> </w:t>
      </w:r>
      <w:r>
        <w:rPr>
          <w:b/>
          <w:sz w:val="32"/>
        </w:rPr>
        <w:t>Line</w:t>
      </w:r>
      <w:r>
        <w:rPr>
          <w:b/>
          <w:spacing w:val="-13"/>
          <w:sz w:val="32"/>
        </w:rPr>
        <w:t> </w:t>
      </w:r>
      <w:r>
        <w:rPr>
          <w:b/>
          <w:sz w:val="32"/>
        </w:rPr>
        <w:t>Insurers (LASLI).” Ask your agent or broker if the insurer is on that list, or view that list at the internet website of the California Department of Insurance: </w:t>
      </w:r>
      <w:hyperlink r:id="rId7">
        <w:r>
          <w:rPr>
            <w:b/>
            <w:sz w:val="32"/>
          </w:rPr>
          <w:t>www.insurance.ca.gov/01-consumers/120-company/07-</w:t>
        </w:r>
      </w:hyperlink>
      <w:r>
        <w:rPr>
          <w:b/>
          <w:sz w:val="32"/>
        </w:rPr>
        <w:t> lasli/lasli.cfm.</w:t>
      </w:r>
    </w:p>
    <w:p>
      <w:pPr>
        <w:pStyle w:val="BodyText"/>
      </w:pPr>
    </w:p>
    <w:p>
      <w:pPr>
        <w:pStyle w:val="ListParagraph"/>
        <w:numPr>
          <w:ilvl w:val="0"/>
          <w:numId w:val="1"/>
        </w:numPr>
        <w:tabs>
          <w:tab w:pos="840" w:val="left" w:leader="none"/>
        </w:tabs>
        <w:spacing w:line="240" w:lineRule="auto" w:before="0" w:after="0"/>
        <w:ind w:left="120" w:right="116" w:firstLine="0"/>
        <w:jc w:val="both"/>
        <w:rPr>
          <w:b/>
          <w:sz w:val="32"/>
        </w:rPr>
      </w:pPr>
      <w:r>
        <w:rPr>
          <w:b/>
          <w:sz w:val="32"/>
        </w:rPr>
        <w:t>If you, as the applicant, required that the insurance policy you have purchased be effective immediately, either because existing coverage was going to lapse within two business days or because you were</w:t>
      </w:r>
      <w:r>
        <w:rPr>
          <w:b/>
          <w:spacing w:val="-18"/>
          <w:sz w:val="32"/>
        </w:rPr>
        <w:t> </w:t>
      </w:r>
      <w:r>
        <w:rPr>
          <w:b/>
          <w:sz w:val="32"/>
        </w:rPr>
        <w:t>required</w:t>
      </w:r>
      <w:r>
        <w:rPr>
          <w:b/>
          <w:spacing w:val="-17"/>
          <w:sz w:val="32"/>
        </w:rPr>
        <w:t> </w:t>
      </w:r>
      <w:r>
        <w:rPr>
          <w:b/>
          <w:sz w:val="32"/>
        </w:rPr>
        <w:t>to</w:t>
      </w:r>
      <w:r>
        <w:rPr>
          <w:b/>
          <w:spacing w:val="-17"/>
          <w:sz w:val="32"/>
        </w:rPr>
        <w:t> </w:t>
      </w:r>
      <w:r>
        <w:rPr>
          <w:b/>
          <w:sz w:val="32"/>
        </w:rPr>
        <w:t>have</w:t>
      </w:r>
      <w:r>
        <w:rPr>
          <w:b/>
          <w:spacing w:val="-17"/>
          <w:sz w:val="32"/>
        </w:rPr>
        <w:t> </w:t>
      </w:r>
      <w:r>
        <w:rPr>
          <w:b/>
          <w:sz w:val="32"/>
        </w:rPr>
        <w:t>coverage</w:t>
      </w:r>
      <w:r>
        <w:rPr>
          <w:b/>
          <w:spacing w:val="-17"/>
          <w:sz w:val="32"/>
        </w:rPr>
        <w:t> </w:t>
      </w:r>
      <w:r>
        <w:rPr>
          <w:b/>
          <w:sz w:val="32"/>
        </w:rPr>
        <w:t>within</w:t>
      </w:r>
      <w:r>
        <w:rPr>
          <w:b/>
          <w:spacing w:val="-15"/>
          <w:sz w:val="32"/>
        </w:rPr>
        <w:t> </w:t>
      </w:r>
      <w:r>
        <w:rPr>
          <w:b/>
          <w:sz w:val="32"/>
        </w:rPr>
        <w:t>two</w:t>
      </w:r>
      <w:r>
        <w:rPr>
          <w:b/>
          <w:spacing w:val="-18"/>
          <w:sz w:val="32"/>
        </w:rPr>
        <w:t> </w:t>
      </w:r>
      <w:r>
        <w:rPr>
          <w:b/>
          <w:sz w:val="32"/>
        </w:rPr>
        <w:t>business</w:t>
      </w:r>
      <w:r>
        <w:rPr>
          <w:b/>
          <w:spacing w:val="-17"/>
          <w:sz w:val="32"/>
        </w:rPr>
        <w:t> </w:t>
      </w:r>
      <w:r>
        <w:rPr>
          <w:b/>
          <w:sz w:val="32"/>
        </w:rPr>
        <w:t>days,</w:t>
      </w:r>
      <w:r>
        <w:rPr>
          <w:b/>
          <w:spacing w:val="-17"/>
          <w:sz w:val="32"/>
        </w:rPr>
        <w:t> </w:t>
      </w:r>
      <w:r>
        <w:rPr>
          <w:b/>
          <w:sz w:val="32"/>
        </w:rPr>
        <w:t>and</w:t>
      </w:r>
      <w:r>
        <w:rPr>
          <w:b/>
          <w:spacing w:val="-16"/>
          <w:sz w:val="32"/>
        </w:rPr>
        <w:t> </w:t>
      </w:r>
      <w:r>
        <w:rPr>
          <w:b/>
          <w:sz w:val="32"/>
        </w:rPr>
        <w:t>you</w:t>
      </w:r>
      <w:r>
        <w:rPr>
          <w:b/>
          <w:spacing w:val="-17"/>
          <w:sz w:val="32"/>
        </w:rPr>
        <w:t> </w:t>
      </w:r>
      <w:r>
        <w:rPr>
          <w:b/>
          <w:spacing w:val="-2"/>
          <w:sz w:val="32"/>
        </w:rPr>
        <w:t>did </w:t>
      </w:r>
      <w:r>
        <w:rPr>
          <w:b/>
          <w:sz w:val="32"/>
        </w:rPr>
        <w:t>not</w:t>
      </w:r>
      <w:r>
        <w:rPr>
          <w:b/>
          <w:spacing w:val="-16"/>
          <w:sz w:val="32"/>
        </w:rPr>
        <w:t> </w:t>
      </w:r>
      <w:r>
        <w:rPr>
          <w:b/>
          <w:sz w:val="32"/>
        </w:rPr>
        <w:t>receive</w:t>
      </w:r>
      <w:r>
        <w:rPr>
          <w:b/>
          <w:spacing w:val="-14"/>
          <w:sz w:val="32"/>
        </w:rPr>
        <w:t> </w:t>
      </w:r>
      <w:r>
        <w:rPr>
          <w:b/>
          <w:sz w:val="32"/>
        </w:rPr>
        <w:t>this</w:t>
      </w:r>
      <w:r>
        <w:rPr>
          <w:b/>
          <w:spacing w:val="-15"/>
          <w:sz w:val="32"/>
        </w:rPr>
        <w:t> </w:t>
      </w:r>
      <w:r>
        <w:rPr>
          <w:b/>
          <w:sz w:val="32"/>
        </w:rPr>
        <w:t>disclosure</w:t>
      </w:r>
      <w:r>
        <w:rPr>
          <w:b/>
          <w:spacing w:val="-15"/>
          <w:sz w:val="32"/>
        </w:rPr>
        <w:t> </w:t>
      </w:r>
      <w:r>
        <w:rPr>
          <w:b/>
          <w:sz w:val="32"/>
        </w:rPr>
        <w:t>form</w:t>
      </w:r>
      <w:r>
        <w:rPr>
          <w:b/>
          <w:spacing w:val="-15"/>
          <w:sz w:val="32"/>
        </w:rPr>
        <w:t> </w:t>
      </w:r>
      <w:r>
        <w:rPr>
          <w:b/>
          <w:sz w:val="32"/>
        </w:rPr>
        <w:t>and</w:t>
      </w:r>
      <w:r>
        <w:rPr>
          <w:b/>
          <w:spacing w:val="-15"/>
          <w:sz w:val="32"/>
        </w:rPr>
        <w:t> </w:t>
      </w:r>
      <w:r>
        <w:rPr>
          <w:b/>
          <w:sz w:val="32"/>
        </w:rPr>
        <w:t>a</w:t>
      </w:r>
      <w:r>
        <w:rPr>
          <w:b/>
          <w:spacing w:val="-14"/>
          <w:sz w:val="32"/>
        </w:rPr>
        <w:t> </w:t>
      </w:r>
      <w:r>
        <w:rPr>
          <w:b/>
          <w:sz w:val="32"/>
        </w:rPr>
        <w:t>request</w:t>
      </w:r>
      <w:r>
        <w:rPr>
          <w:b/>
          <w:spacing w:val="-14"/>
          <w:sz w:val="32"/>
        </w:rPr>
        <w:t> </w:t>
      </w:r>
      <w:r>
        <w:rPr>
          <w:b/>
          <w:sz w:val="32"/>
        </w:rPr>
        <w:t>for</w:t>
      </w:r>
      <w:r>
        <w:rPr>
          <w:b/>
          <w:spacing w:val="-16"/>
          <w:sz w:val="32"/>
        </w:rPr>
        <w:t> </w:t>
      </w:r>
      <w:r>
        <w:rPr>
          <w:b/>
          <w:sz w:val="32"/>
        </w:rPr>
        <w:t>your</w:t>
      </w:r>
      <w:r>
        <w:rPr>
          <w:b/>
          <w:spacing w:val="-14"/>
          <w:sz w:val="32"/>
        </w:rPr>
        <w:t> </w:t>
      </w:r>
      <w:r>
        <w:rPr>
          <w:b/>
          <w:sz w:val="32"/>
        </w:rPr>
        <w:t>signature</w:t>
      </w:r>
      <w:r>
        <w:rPr>
          <w:b/>
          <w:spacing w:val="-15"/>
          <w:sz w:val="32"/>
        </w:rPr>
        <w:t> </w:t>
      </w:r>
      <w:r>
        <w:rPr>
          <w:b/>
          <w:sz w:val="32"/>
        </w:rPr>
        <w:t>until after coverage became effective, you have the right to cancel this policy within five days of receiving this disclosure. If you cancel coverage,</w:t>
      </w:r>
      <w:r>
        <w:rPr>
          <w:b/>
          <w:spacing w:val="-16"/>
          <w:sz w:val="32"/>
        </w:rPr>
        <w:t> </w:t>
      </w:r>
      <w:r>
        <w:rPr>
          <w:b/>
          <w:sz w:val="32"/>
        </w:rPr>
        <w:t>the</w:t>
      </w:r>
      <w:r>
        <w:rPr>
          <w:b/>
          <w:spacing w:val="-15"/>
          <w:sz w:val="32"/>
        </w:rPr>
        <w:t> </w:t>
      </w:r>
      <w:r>
        <w:rPr>
          <w:b/>
          <w:sz w:val="32"/>
        </w:rPr>
        <w:t>premium</w:t>
      </w:r>
      <w:r>
        <w:rPr>
          <w:b/>
          <w:spacing w:val="-15"/>
          <w:sz w:val="32"/>
        </w:rPr>
        <w:t> </w:t>
      </w:r>
      <w:r>
        <w:rPr>
          <w:b/>
          <w:sz w:val="32"/>
        </w:rPr>
        <w:t>will</w:t>
      </w:r>
      <w:r>
        <w:rPr>
          <w:b/>
          <w:spacing w:val="-16"/>
          <w:sz w:val="32"/>
        </w:rPr>
        <w:t> </w:t>
      </w:r>
      <w:r>
        <w:rPr>
          <w:b/>
          <w:sz w:val="32"/>
        </w:rPr>
        <w:t>be</w:t>
      </w:r>
      <w:r>
        <w:rPr>
          <w:b/>
          <w:spacing w:val="-15"/>
          <w:sz w:val="32"/>
        </w:rPr>
        <w:t> </w:t>
      </w:r>
      <w:r>
        <w:rPr>
          <w:b/>
          <w:sz w:val="32"/>
        </w:rPr>
        <w:t>prorated</w:t>
      </w:r>
      <w:r>
        <w:rPr>
          <w:b/>
          <w:spacing w:val="-16"/>
          <w:sz w:val="32"/>
        </w:rPr>
        <w:t> </w:t>
      </w:r>
      <w:r>
        <w:rPr>
          <w:b/>
          <w:sz w:val="32"/>
        </w:rPr>
        <w:t>and</w:t>
      </w:r>
      <w:r>
        <w:rPr>
          <w:b/>
          <w:spacing w:val="-16"/>
          <w:sz w:val="32"/>
        </w:rPr>
        <w:t> </w:t>
      </w:r>
      <w:r>
        <w:rPr>
          <w:b/>
          <w:sz w:val="32"/>
        </w:rPr>
        <w:t>any</w:t>
      </w:r>
      <w:r>
        <w:rPr>
          <w:b/>
          <w:spacing w:val="-15"/>
          <w:sz w:val="32"/>
        </w:rPr>
        <w:t> </w:t>
      </w:r>
      <w:r>
        <w:rPr>
          <w:b/>
          <w:sz w:val="32"/>
        </w:rPr>
        <w:t>broker’s</w:t>
      </w:r>
      <w:r>
        <w:rPr>
          <w:b/>
          <w:spacing w:val="-15"/>
          <w:sz w:val="32"/>
        </w:rPr>
        <w:t> </w:t>
      </w:r>
      <w:r>
        <w:rPr>
          <w:b/>
          <w:sz w:val="32"/>
        </w:rPr>
        <w:t>fee</w:t>
      </w:r>
      <w:r>
        <w:rPr>
          <w:b/>
          <w:spacing w:val="-17"/>
          <w:sz w:val="32"/>
        </w:rPr>
        <w:t> </w:t>
      </w:r>
      <w:r>
        <w:rPr>
          <w:b/>
          <w:sz w:val="32"/>
        </w:rPr>
        <w:t>charged for this insurance will be returned to</w:t>
      </w:r>
      <w:r>
        <w:rPr>
          <w:b/>
          <w:spacing w:val="-8"/>
          <w:sz w:val="32"/>
        </w:rPr>
        <w:t> </w:t>
      </w:r>
      <w:r>
        <w:rPr>
          <w:b/>
          <w:sz w:val="32"/>
        </w:rPr>
        <w:t>you.</w:t>
      </w:r>
    </w:p>
    <w:p>
      <w:pPr>
        <w:pStyle w:val="BodyText"/>
        <w:rPr>
          <w:sz w:val="34"/>
        </w:rPr>
      </w:pPr>
    </w:p>
    <w:p>
      <w:pPr>
        <w:pStyle w:val="BodyText"/>
        <w:rPr>
          <w:sz w:val="34"/>
        </w:rPr>
      </w:pPr>
    </w:p>
    <w:p>
      <w:pPr>
        <w:pStyle w:val="BodyText"/>
        <w:rPr>
          <w:sz w:val="34"/>
        </w:rPr>
      </w:pPr>
    </w:p>
    <w:p>
      <w:pPr>
        <w:tabs>
          <w:tab w:pos="9479" w:val="left" w:leader="none"/>
        </w:tabs>
        <w:spacing w:before="298"/>
        <w:ind w:left="4440" w:right="0" w:firstLine="0"/>
        <w:jc w:val="left"/>
        <w:rPr>
          <w:sz w:val="32"/>
        </w:rPr>
      </w:pPr>
      <w:r>
        <w:rPr>
          <w:b/>
          <w:sz w:val="32"/>
        </w:rPr>
        <w:t>Date:</w:t>
      </w:r>
      <w:r>
        <w:rPr>
          <w:b/>
          <w:spacing w:val="-1"/>
          <w:sz w:val="32"/>
        </w:rPr>
        <w:t> </w:t>
      </w:r>
      <w:r>
        <w:rPr>
          <w:w w:val="100"/>
          <w:sz w:val="32"/>
          <w:u w:val="single"/>
        </w:rPr>
        <w:t> </w:t>
      </w:r>
      <w:r>
        <w:rPr>
          <w:sz w:val="32"/>
          <w:u w:val="single"/>
        </w:rPr>
        <w:tab/>
      </w:r>
    </w:p>
    <w:p>
      <w:pPr>
        <w:pStyle w:val="BodyText"/>
        <w:rPr>
          <w:b w:val="0"/>
          <w:sz w:val="20"/>
        </w:rPr>
      </w:pPr>
    </w:p>
    <w:p>
      <w:pPr>
        <w:pStyle w:val="BodyText"/>
        <w:rPr>
          <w:b w:val="0"/>
          <w:sz w:val="20"/>
        </w:rPr>
      </w:pPr>
    </w:p>
    <w:p>
      <w:pPr>
        <w:pStyle w:val="BodyText"/>
        <w:spacing w:before="6"/>
        <w:rPr>
          <w:b w:val="0"/>
          <w:sz w:val="16"/>
        </w:rPr>
      </w:pPr>
    </w:p>
    <w:p>
      <w:pPr>
        <w:pStyle w:val="BodyText"/>
        <w:tabs>
          <w:tab w:pos="9479" w:val="left" w:leader="none"/>
        </w:tabs>
        <w:spacing w:before="87"/>
        <w:ind w:left="4440"/>
        <w:rPr>
          <w:b w:val="0"/>
        </w:rPr>
      </w:pPr>
      <w:r>
        <w:rPr/>
        <w:t>Insured:</w:t>
      </w:r>
      <w:r>
        <w:rPr>
          <w:spacing w:val="1"/>
        </w:rPr>
        <w:t> </w:t>
      </w:r>
      <w:r>
        <w:rPr>
          <w:b w:val="0"/>
          <w:w w:val="100"/>
          <w:u w:val="single"/>
        </w:rPr>
        <w:t> </w:t>
      </w:r>
      <w:r>
        <w:rPr>
          <w:b w:val="0"/>
          <w:u w:val="single"/>
        </w:rPr>
        <w:tab/>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4"/>
        <w:rPr>
          <w:b w:val="0"/>
          <w:sz w:val="20"/>
        </w:rPr>
      </w:pPr>
    </w:p>
    <w:p>
      <w:pPr>
        <w:pStyle w:val="BodyText"/>
        <w:spacing w:before="87"/>
        <w:ind w:left="119"/>
      </w:pPr>
      <w:r>
        <w:rPr/>
        <w:t>D-1 (Effective January 1, 2020)</w:t>
      </w:r>
    </w:p>
    <w:sectPr>
      <w:pgSz w:w="12240" w:h="15840"/>
      <w:pgMar w:top="138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0" w:hanging="720"/>
        <w:jc w:val="left"/>
      </w:pPr>
      <w:rPr>
        <w:rFonts w:hint="default" w:ascii="Times New Roman" w:hAnsi="Times New Roman" w:eastAsia="Times New Roman" w:cs="Times New Roman"/>
        <w:b/>
        <w:bCs/>
        <w:spacing w:val="-1"/>
        <w:w w:val="100"/>
        <w:sz w:val="32"/>
        <w:szCs w:val="32"/>
      </w:rPr>
    </w:lvl>
    <w:lvl w:ilvl="1">
      <w:start w:val="0"/>
      <w:numFmt w:val="bullet"/>
      <w:lvlText w:val="•"/>
      <w:lvlJc w:val="left"/>
      <w:pPr>
        <w:ind w:left="1068" w:hanging="720"/>
      </w:pPr>
      <w:rPr>
        <w:rFonts w:hint="default"/>
      </w:rPr>
    </w:lvl>
    <w:lvl w:ilvl="2">
      <w:start w:val="0"/>
      <w:numFmt w:val="bullet"/>
      <w:lvlText w:val="•"/>
      <w:lvlJc w:val="left"/>
      <w:pPr>
        <w:ind w:left="2016" w:hanging="720"/>
      </w:pPr>
      <w:rPr>
        <w:rFonts w:hint="default"/>
      </w:rPr>
    </w:lvl>
    <w:lvl w:ilvl="3">
      <w:start w:val="0"/>
      <w:numFmt w:val="bullet"/>
      <w:lvlText w:val="•"/>
      <w:lvlJc w:val="left"/>
      <w:pPr>
        <w:ind w:left="2964" w:hanging="720"/>
      </w:pPr>
      <w:rPr>
        <w:rFonts w:hint="default"/>
      </w:rPr>
    </w:lvl>
    <w:lvl w:ilvl="4">
      <w:start w:val="0"/>
      <w:numFmt w:val="bullet"/>
      <w:lvlText w:val="•"/>
      <w:lvlJc w:val="left"/>
      <w:pPr>
        <w:ind w:left="3912" w:hanging="720"/>
      </w:pPr>
      <w:rPr>
        <w:rFonts w:hint="default"/>
      </w:rPr>
    </w:lvl>
    <w:lvl w:ilvl="5">
      <w:start w:val="0"/>
      <w:numFmt w:val="bullet"/>
      <w:lvlText w:val="•"/>
      <w:lvlJc w:val="left"/>
      <w:pPr>
        <w:ind w:left="4860" w:hanging="720"/>
      </w:pPr>
      <w:rPr>
        <w:rFonts w:hint="default"/>
      </w:rPr>
    </w:lvl>
    <w:lvl w:ilvl="6">
      <w:start w:val="0"/>
      <w:numFmt w:val="bullet"/>
      <w:lvlText w:val="•"/>
      <w:lvlJc w:val="left"/>
      <w:pPr>
        <w:ind w:left="5808" w:hanging="720"/>
      </w:pPr>
      <w:rPr>
        <w:rFonts w:hint="default"/>
      </w:rPr>
    </w:lvl>
    <w:lvl w:ilvl="7">
      <w:start w:val="0"/>
      <w:numFmt w:val="bullet"/>
      <w:lvlText w:val="•"/>
      <w:lvlJc w:val="left"/>
      <w:pPr>
        <w:ind w:left="6756" w:hanging="720"/>
      </w:pPr>
      <w:rPr>
        <w:rFonts w:hint="default"/>
      </w:rPr>
    </w:lvl>
    <w:lvl w:ilvl="8">
      <w:start w:val="0"/>
      <w:numFmt w:val="bullet"/>
      <w:lvlText w:val="•"/>
      <w:lvlJc w:val="left"/>
      <w:pPr>
        <w:ind w:left="7704"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b/>
      <w:bCs/>
      <w:sz w:val="32"/>
      <w:szCs w:val="32"/>
    </w:rPr>
  </w:style>
  <w:style w:styleId="ListParagraph" w:type="paragraph">
    <w:name w:val="List Paragraph"/>
    <w:basedOn w:val="Normal"/>
    <w:uiPriority w:val="1"/>
    <w:qFormat/>
    <w:pPr>
      <w:ind w:left="120" w:right="115"/>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yperlink" Target="http://www.insurance.ca.gov/01-consumers/120-company/07-" TargetMode="Externa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naic.org/" TargetMode="External"/><Relationship Id="rId11" Type="http://schemas.openxmlformats.org/officeDocument/2006/relationships/customXml" Target="../customXml/item3.xml"/><Relationship Id="rId5" Type="http://schemas.openxmlformats.org/officeDocument/2006/relationships/hyperlink" Target="http://www.insurance.ca.gov/" TargetMode="Externa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8" ma:contentTypeDescription="Create a new document." ma:contentTypeScope="" ma:versionID="70ecfd3025c67de9e970163aaeb799b5">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271fe8f9d433548e6ae441a0ab2fac9c"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6AB79F-B8E1-412D-912E-55F5C2647BF5}"/>
</file>

<file path=customXml/itemProps2.xml><?xml version="1.0" encoding="utf-8"?>
<ds:datastoreItem xmlns:ds="http://schemas.openxmlformats.org/officeDocument/2006/customXml" ds:itemID="{DAABAE30-E0CC-4248-B281-38142CE5123E}"/>
</file>

<file path=customXml/itemProps3.xml><?xml version="1.0" encoding="utf-8"?>
<ds:datastoreItem xmlns:ds="http://schemas.openxmlformats.org/officeDocument/2006/customXml" ds:itemID="{9F3DACB5-137A-4C73-A1E4-4BA414C88C9B}"/>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D1 form rev 01-01-2020</dc:title>
  <dc:creator>Michelle</dc:creator>
  <dcterms:created xsi:type="dcterms:W3CDTF">2023-12-02T23:53:16Z</dcterms:created>
  <dcterms:modified xsi:type="dcterms:W3CDTF">2023-12-02T23:53:16Z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2019-09-30T00:00:00Z</vt:filetime>
  </property>
  <property fmtid="{D5CDD505-2E9C-101B-9397-08002B2CF9AE}" pid="3" name="Creator">
    <vt:lpwstr>PScript5.dll Version 5.2.2</vt:lpwstr>
  </property>
  <property fmtid="{D5CDD505-2E9C-101B-9397-08002B2CF9AE}" pid="4" name="LastSaved">
    <vt:filetime>2023-12-02T00:00:00Z</vt:filetime>
  </property>
  <property fmtid="{D5CDD505-2E9C-101B-9397-08002B2CF9AE}" pid="5" name="ContentTypeId">
    <vt:lpwstr>0x010100CFB8E4E7B8EE964CA6E3F892321D241C</vt:lpwstr>
  </property>
</Properties>
</file>