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9.png" ContentType="image/png"/>
  <Override PartName="/word/media/rId52.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w:t>
      </w:r>
      <w:r>
        <w:t xml:space="preserve"> </w:t>
      </w:r>
      <w:r>
        <w:t xml:space="preserve">and</w:t>
      </w:r>
      <w:r>
        <w:t xml:space="preserve"> </w:t>
      </w:r>
      <w:r>
        <w:t xml:space="preserve">evaluation</w:t>
      </w:r>
      <w:r>
        <w:t xml:space="preserve"> </w:t>
      </w:r>
      <w:r>
        <w:t xml:space="preserve">of</w:t>
      </w:r>
      <w:r>
        <w:t xml:space="preserve"> </w:t>
      </w:r>
      <w:r>
        <w:t xml:space="preserve">a</w:t>
      </w:r>
      <w:r>
        <w:t xml:space="preserve"> </w:t>
      </w:r>
      <w:r>
        <w:t xml:space="preserve">PBPK</w:t>
      </w:r>
      <w:r>
        <w:t xml:space="preserve"> </w:t>
      </w:r>
      <w:r>
        <w:t xml:space="preserve">model</w:t>
      </w:r>
      <w:r>
        <w:t xml:space="preserve"> </w:t>
      </w:r>
      <w:r>
        <w:t xml:space="preserve">for</w:t>
      </w:r>
      <w:r>
        <w:t xml:space="preserve"> </w:t>
      </w:r>
      <w:r>
        <w:t xml:space="preserve">COMPOUND</w:t>
      </w:r>
      <w:r>
        <w:t xml:space="preserve"> </w:t>
      </w:r>
      <w:r>
        <w:t xml:space="preserve">in</w:t>
      </w:r>
      <w:r>
        <w:t xml:space="preserve"> </w:t>
      </w:r>
      <w:r>
        <w:t xml:space="preserve">healthy</w:t>
      </w:r>
      <w:r>
        <w:t xml:space="preserve"> </w:t>
      </w:r>
      <w:r>
        <w:t xml:space="preserve">adults</w:t>
      </w:r>
    </w:p>
    <w:p>
      <w:pPr>
        <w:pStyle w:val="AbstractTitle"/>
      </w:pPr>
      <w:r>
        <w:t xml:space="preserve">Abstract</w:t>
      </w:r>
    </w:p>
    <w:tbl>
      <w:tblPr>
        <w:tblStyle w:val="Table"/>
        <w:tblW w:type="pct" w:w="5000"/>
        <w:tblLayout w:type="fixed"/>
        <w:tblLook w:firstRow="1" w:lastRow="0" w:firstColumn="0" w:lastColumn="0" w:noHBand="0" w:noVBand="0" w:val="0020"/>
      </w:tblPr>
      <w:tblGrid>
        <w:gridCol w:w="3478"/>
        <w:gridCol w:w="4441"/>
      </w:tblGrid>
      <w:tr>
        <w:trPr>
          <w:tblHeader w:val="on"/>
        </w:trPr>
        <w:tc>
          <w:tcPr/>
          <w:p>
            <w:pPr>
              <w:pStyle w:val="Compact"/>
              <w:jc w:val="left"/>
            </w:pPr>
            <w:r>
              <w:t xml:space="preserve">Version</w:t>
            </w:r>
          </w:p>
        </w:tc>
        <w:tc>
          <w:tcPr/>
          <w:p>
            <w:pPr>
              <w:pStyle w:val="Compact"/>
              <w:jc w:val="left"/>
            </w:pPr>
            <w:r>
              <w:t xml:space="preserve">x.x-OSPy.y</w:t>
            </w:r>
          </w:p>
        </w:tc>
      </w:tr>
      <w:tr>
        <w:tc>
          <w:tcPr/>
          <w:p>
            <w:pPr>
              <w:pStyle w:val="Compact"/>
              <w:jc w:val="left"/>
            </w:pPr>
            <w:r>
              <w:t xml:space="preserve">based</w:t>
            </w:r>
            <w:r>
              <w:t xml:space="preserve"> </w:t>
            </w:r>
            <w:r>
              <w:t xml:space="preserve">on</w:t>
            </w:r>
            <w:r>
              <w:t xml:space="preserve"> </w:t>
            </w:r>
            <w:r>
              <w:rPr>
                <w:i/>
                <w:iCs/>
              </w:rPr>
              <w:t xml:space="preserve">Model</w:t>
            </w:r>
            <w:r>
              <w:rPr>
                <w:i/>
                <w:iCs/>
              </w:rPr>
              <w:t xml:space="preserve"> </w:t>
            </w:r>
            <w:r>
              <w:rPr>
                <w:i/>
                <w:iCs/>
              </w:rPr>
              <w:t xml:space="preserve">Snapshot</w:t>
            </w:r>
            <w:r>
              <w:t xml:space="preserve"> </w:t>
            </w:r>
            <w:r>
              <w:t xml:space="preserve">and</w:t>
            </w:r>
            <w:r>
              <w:t xml:space="preserve"> </w:t>
            </w:r>
            <w:r>
              <w:rPr>
                <w:i/>
                <w:iCs/>
              </w:rPr>
              <w:t xml:space="preserve">Evaluation</w:t>
            </w:r>
            <w:r>
              <w:rPr>
                <w:i/>
                <w:iCs/>
              </w:rPr>
              <w:t xml:space="preserve"> </w:t>
            </w:r>
            <w:r>
              <w:rPr>
                <w:i/>
                <w:iCs/>
              </w:rPr>
              <w:t xml:space="preserve">Plan</w:t>
            </w:r>
          </w:p>
        </w:tc>
        <w:tc>
          <w:tcPr/>
          <w:p>
            <w:pPr>
              <w:pStyle w:val="Compact"/>
              <w:jc w:val="left"/>
            </w:pPr>
            <w:r>
              <w:t xml:space="preserve">https://github.com/Open-Systems-Pharmacology/COMPOUND-Model/releases/tag/vx.x</w:t>
            </w:r>
          </w:p>
        </w:tc>
      </w:tr>
      <w:tr>
        <w:tc>
          <w:tcPr/>
          <w:p>
            <w:pPr>
              <w:pStyle w:val="Compact"/>
              <w:jc w:val="left"/>
            </w:pPr>
            <w:r>
              <w:t xml:space="preserve">OSP</w:t>
            </w:r>
            <w:r>
              <w:t xml:space="preserve"> </w:t>
            </w:r>
            <w:r>
              <w:t xml:space="preserve">Version</w:t>
            </w:r>
          </w:p>
        </w:tc>
        <w:tc>
          <w:tcPr/>
          <w:p>
            <w:pPr>
              <w:pStyle w:val="Compact"/>
              <w:jc w:val="left"/>
            </w:pPr>
            <w:r>
              <w:t xml:space="preserve">y.y</w:t>
            </w:r>
          </w:p>
        </w:tc>
      </w:tr>
      <w:tr>
        <w:tc>
          <w:tcPr/>
          <w:p>
            <w:pPr>
              <w:pStyle w:val="Compact"/>
              <w:jc w:val="left"/>
            </w:pPr>
            <w:r>
              <w:t xml:space="preserve">Qualification</w:t>
            </w:r>
            <w:r>
              <w:t xml:space="preserve"> </w:t>
            </w:r>
            <w:r>
              <w:t xml:space="preserve">Framework</w:t>
            </w:r>
            <w:r>
              <w:t xml:space="preserve"> </w:t>
            </w:r>
            <w:r>
              <w:t xml:space="preserve">Version</w:t>
            </w:r>
          </w:p>
        </w:tc>
        <w:tc>
          <w:tcPr/>
          <w:p>
            <w:pPr>
              <w:pStyle w:val="Compact"/>
              <w:jc w:val="left"/>
            </w:pPr>
            <w:r>
              <w:t xml:space="preserve">z.z</w:t>
            </w:r>
          </w:p>
        </w:tc>
      </w:tr>
    </w:tbl>
    <w:p>
      <w:pPr>
        <w:pStyle w:val="Abstract"/>
      </w:pPr>
      <w:r>
        <w:t xml:space="preserve">This</w:t>
      </w:r>
      <w:r>
        <w:t xml:space="preserve"> </w:t>
      </w:r>
      <w:r>
        <w:t xml:space="preserve">evaluation</w:t>
      </w:r>
      <w:r>
        <w:t xml:space="preserve"> </w:t>
      </w:r>
      <w:r>
        <w:t xml:space="preserve">report</w:t>
      </w:r>
      <w:r>
        <w:t xml:space="preserve"> </w:t>
      </w:r>
      <w:r>
        <w:t xml:space="preserve">and</w:t>
      </w:r>
      <w:r>
        <w:t xml:space="preserve"> </w:t>
      </w:r>
      <w:r>
        <w:t xml:space="preserve">the</w:t>
      </w:r>
      <w:r>
        <w:t xml:space="preserve"> </w:t>
      </w:r>
      <w:r>
        <w:t xml:space="preserve">corresponding</w:t>
      </w:r>
      <w:r>
        <w:t xml:space="preserve"> </w:t>
      </w:r>
      <w:r>
        <w:t xml:space="preserve">PK-Sim</w:t>
      </w:r>
      <w:r>
        <w:t xml:space="preserve"> </w:t>
      </w:r>
      <w:r>
        <w:t xml:space="preserve">project</w:t>
      </w:r>
      <w:r>
        <w:t xml:space="preserve"> </w:t>
      </w:r>
      <w:r>
        <w:t xml:space="preserve">file</w:t>
      </w:r>
      <w:r>
        <w:t xml:space="preserve"> </w:t>
      </w:r>
      <w:r>
        <w:t xml:space="preserve">are</w:t>
      </w:r>
      <w:r>
        <w:t xml:space="preserve"> </w:t>
      </w:r>
      <w:r>
        <w:t xml:space="preserve">filed</w:t>
      </w:r>
      <w:r>
        <w:t xml:space="preserve"> </w:t>
      </w:r>
      <w:r>
        <w:t xml:space="preserve">at:</w:t>
      </w:r>
    </w:p>
    <w:p>
      <w:pPr>
        <w:pStyle w:val="Abstract"/>
      </w:pPr>
      <w:r>
        <w:t xml:space="preserve">https://github.com/Open-Systems-Pharmacology/OSP-PBPK-Model-Library/</w:t>
      </w:r>
    </w:p>
    <w:p>
      <w:pPr>
        <w:pStyle w:val="Abstract"/>
      </w:pPr>
      <w:br w:type="page"/>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introduction"/>
    <w:p>
      <w:pPr>
        <w:pStyle w:val="Heading1"/>
      </w:pPr>
      <w:r>
        <w:t xml:space="preserve">Introduction</w:t>
      </w:r>
      <w:bookmarkStart w:id="introduction" w:name="introduction"/>
      <w:bookmarkEnd w:id="introduction"/>
    </w:p>
    <w:p>
      <w:pPr>
        <w:pStyle w:val="FirstParagraph"/>
      </w:pPr>
      <w:r>
        <w:t xml:space="preserve">Moxifloxacin is an a broad-spectrum fluoroquinolone antibiotic, used to treat a variety of bacterial infactions (</w:t>
      </w:r>
      <w:hyperlink w:anchor="main-references">
        <w:r>
          <w:rPr>
            <w:rStyle w:val="Hyperlink"/>
          </w:rPr>
          <w:t xml:space="preserve">U.S. Food and Drug Administration 2016</w:t>
        </w:r>
      </w:hyperlink>
      <w:r>
        <w:t xml:space="preserve">). Moxifloxacin is administered typically with a 400 mg once daily regimen.</w:t>
      </w:r>
    </w:p>
    <w:p>
      <w:pPr>
        <w:pStyle w:val="BodyText"/>
      </w:pPr>
      <w:r>
        <w:t xml:space="preserve">Moxifloxacin is absorbed well from the gastrointestinal tract, with almost complete bioavailability (90 %) (</w:t>
      </w:r>
      <w:hyperlink w:anchor="Xa1bb8be75326274092d377a2eb3f67cb26f63de">
        <w:r>
          <w:rPr>
            <w:rStyle w:val="Hyperlink"/>
          </w:rPr>
          <w:t xml:space="preserve">U.S. Food and Drug Administration 2016</w:t>
        </w:r>
      </w:hyperlink>
      <w:r>
        <w:t xml:space="preserve">). Plasma concentrations show dose-linear PK (</w:t>
      </w:r>
      <w:hyperlink w:anchor="main-references">
        <w:r>
          <w:rPr>
            <w:rStyle w:val="Hyperlink"/>
          </w:rPr>
          <w:t xml:space="preserve">U.S. Food and Drug Administration 2016</w:t>
        </w:r>
      </w:hyperlink>
      <w:r>
        <w:t xml:space="preserve">). The elimination half-life is 12h. Plasma protein binding is approximately 30-50 % (</w:t>
      </w:r>
      <w:hyperlink w:anchor="main-references">
        <w:r>
          <w:rPr>
            <w:rStyle w:val="Hyperlink"/>
          </w:rPr>
          <w:t xml:space="preserve">U.S. Food and Drug Administration 2016</w:t>
        </w:r>
      </w:hyperlink>
      <w:r>
        <w:t xml:space="preserve">). Moxifloxacin has a distribution volume ranging between 1.7-2.7 L/kg (</w:t>
      </w:r>
      <w:hyperlink w:anchor="main-references">
        <w:r>
          <w:rPr>
            <w:rStyle w:val="Hyperlink"/>
          </w:rPr>
          <w:t xml:space="preserve">U.S. Food and Drug Administration 2016</w:t>
        </w:r>
      </w:hyperlink>
      <w:r>
        <w:t xml:space="preserve">). About half of the dose is metabolized to inactive metabolites via glucuronide and sulfate conjugation, whereas about 20 % is found unchanged in urine and 25 % in feces (</w:t>
      </w:r>
      <w:hyperlink w:anchor="main-references">
        <w:r>
          <w:rPr>
            <w:rStyle w:val="Hyperlink"/>
          </w:rPr>
          <w:t xml:space="preserve">U.S. Food and Drug Administration 2016</w:t>
        </w:r>
      </w:hyperlink>
      <w:r>
        <w:t xml:space="preserve">). The sulfate conjugate (M1) accounts for approximately 38 % of the dose, and is eliminated primarily in the feces (</w:t>
      </w:r>
      <w:hyperlink w:anchor="main-references">
        <w:r>
          <w:rPr>
            <w:rStyle w:val="Hyperlink"/>
          </w:rPr>
          <w:t xml:space="preserve">U.S. Food and Drug Administration 2016</w:t>
        </w:r>
      </w:hyperlink>
      <w:r>
        <w:t xml:space="preserve">). The glucuronide conjugate (M2) accounts for approximately 14 % of the dose, and is eliminated in the urine (</w:t>
      </w:r>
      <w:hyperlink w:anchor="main-references">
        <w:r>
          <w:rPr>
            <w:rStyle w:val="Hyperlink"/>
          </w:rPr>
          <w:t xml:space="preserve">U.S. Food and Drug Administration 2016</w:t>
        </w:r>
      </w:hyperlink>
      <w:r>
        <w:t xml:space="preserve">).</w:t>
      </w:r>
    </w:p>
    <w:p>
      <w:pPr>
        <w:pStyle w:val="BodyText"/>
      </w:pPr>
      <w:r>
        <w:t xml:space="preserve">The herein presented model building and evaluation report evaluates the performance of the PBPK model for Moxifloxacin in (healthy) adults. The model was developed using data of 3 clinical studies with intravenous and oral administration of 400 mg QD (</w:t>
      </w:r>
      <w:hyperlink w:anchor="main-references">
        <w:r>
          <w:rPr>
            <w:rStyle w:val="Hyperlink"/>
          </w:rPr>
          <w:t xml:space="preserve">Sullivan 1999, Stass and Kabitza 1999, U.S. Food and Drug Administration 2016</w:t>
        </w:r>
      </w:hyperlink>
      <w:r>
        <w:t xml:space="preserve">). The model was evaluated using data of 3 clinical studies with intravenous and oral administration of doses ranging between 60 and 600 mg (</w:t>
      </w:r>
      <w:hyperlink w:anchor="main-references">
        <w:r>
          <w:rPr>
            <w:rStyle w:val="Hyperlink"/>
          </w:rPr>
          <w:t xml:space="preserve">Siefert 1999, U.S. Food and Drug Administration 2000 U.S</w:t>
        </w:r>
      </w:hyperlink>
      <w:r>
        <w:t xml:space="preserve">). The PK-Sim project file contains simulations and the observed data of all clinical studies used for model development and evaluation.</w:t>
      </w:r>
    </w:p>
    <w:p>
      <w:pPr>
        <w:pStyle w:val="BodyText"/>
      </w:pPr>
      <w:r>
        <w:t xml:space="preserve">The presented Moxifloxacin PBPK model as well as the respective evaluation plan and evaluation report are provided open-source (</w:t>
      </w:r>
      <w:hyperlink r:id="rId20">
        <w:r>
          <w:rPr>
            <w:rStyle w:val="Hyperlink"/>
          </w:rPr>
          <w:t xml:space="preserve">https://github.com/Open-Systems-Pharmacology/Moxifloxacin-Model</w:t>
        </w:r>
      </w:hyperlink>
      <w:r>
        <w:t xml:space="preserve">).</w:t>
      </w:r>
    </w:p>
    <w:bookmarkEnd w:id="21"/>
    <w:bookmarkStart w:id="33" w:name="methods"/>
    <w:p>
      <w:pPr>
        <w:pStyle w:val="Heading1"/>
      </w:pPr>
      <w:r>
        <w:t xml:space="preserve">Methods</w:t>
      </w:r>
      <w:bookmarkStart w:id="methods" w:name="methods"/>
      <w:bookmarkEnd w:id="methods"/>
    </w:p>
    <w:bookmarkStart w:id="22" w:name="modeling-strategy"/>
    <w:p>
      <w:pPr>
        <w:pStyle w:val="Heading2"/>
      </w:pPr>
      <w:r>
        <w:t xml:space="preserve">Modeling Strategy</w:t>
      </w:r>
      <w:bookmarkStart w:id="modeling-strategy" w:name="modeling-strategy"/>
      <w:bookmarkEnd w:id="modeling-strategy"/>
    </w:p>
    <w:p>
      <w:pPr>
        <w:pStyle w:val="FirstParagraph"/>
      </w:pPr>
      <w:r>
        <w:t xml:space="preserve">The general concept of building a PBPK model has previously been described by Kuepfer et al. (</w:t>
      </w:r>
      <w:hyperlink w:anchor="main-references">
        <w:r>
          <w:rPr>
            <w:rStyle w:val="Hyperlink"/>
          </w:rPr>
          <w:t xml:space="preserve">Kuepfer 2016</w:t>
        </w:r>
      </w:hyperlink>
      <w:r>
        <w:t xml:space="preserve">) Regarding the relevant anthropometric (height, weight) and physiological parameters (e.g. blood flows, organ volumes, binding protein concentrations, hematocrit, cardiac output) in adults was gathered from the literature and has been previously published (</w:t>
      </w:r>
      <w:hyperlink w:anchor="main-references">
        <w:r>
          <w:rPr>
            <w:rStyle w:val="Hyperlink"/>
          </w:rPr>
          <w:t xml:space="preserve">PK-Sim Ontogeny Database Version 7.3</w:t>
        </w:r>
      </w:hyperlink>
      <w:r>
        <w:t xml:space="preserve">). The information was incorporated into PK-Sim® and was used as default values for the simulations in adults.</w:t>
      </w:r>
    </w:p>
    <w:p>
      <w:pPr>
        <w:pStyle w:val="BodyText"/>
      </w:pPr>
      <w:r>
        <w:t xml:space="preserve">The applied activity and variability of plasma proteins and active processes that are integrated into PK-Sim® are described in the publicly available PK-Sim® Ontogeny Database Version 7.3 (</w:t>
      </w:r>
      <w:hyperlink w:anchor="main-references">
        <w:r>
          <w:rPr>
            <w:rStyle w:val="Hyperlink"/>
          </w:rPr>
          <w:t xml:space="preserve">Schlender 2016</w:t>
        </w:r>
      </w:hyperlink>
      <w:r>
        <w:t xml:space="preserve">) or otherwise referenced for the specific process.</w:t>
      </w:r>
    </w:p>
    <w:p>
      <w:pPr>
        <w:pStyle w:val="BodyText"/>
      </w:pPr>
      <w:r>
        <w:t xml:space="preserve">First, a base PBPK model was built using clinical data including selected single and multiple 400 mg dose studies with intravenous and oral applications (tablet) of moxifloxacin to find an appropriate structure to describe the pharmacokinetics in plasma (</w:t>
      </w:r>
      <w:hyperlink w:anchor="Xa559bd5247f9128e74e6edcc17de37648e8cde6">
        <w:r>
          <w:rPr>
            <w:rStyle w:val="Hyperlink"/>
          </w:rPr>
          <w:t xml:space="preserve">Sullivan 1999, Stass and Kabitza 1999, U.S. Food and Drug Administration 2016</w:t>
        </w:r>
      </w:hyperlink>
      <w:r>
        <w:t xml:space="preserve">). The PBPK models were built based on data from healthy individuals, using the reported sex, ethnicity and mean values for age, weight and height from each study protocol. If no demographic information was reported in the respective clinical study, a default mean individual was used with the following properties: male, European, 30 years of age, 73 kg body weight and 176 cm body height. The relative tissue-specific expressions of the enzymes involved in the glucuronide (UGT1A1) and sulfate (SULT2A1) conjugation of moxifloxacin were considered.</w:t>
      </w:r>
    </w:p>
    <w:p>
      <w:pPr>
        <w:pStyle w:val="BodyText"/>
      </w:pPr>
      <w:r>
        <w:t xml:space="preserve">The clearance parameters were identified usin the Parameter Identification module provided in PK-Sim®. A Weibull function was used to describe the oral dissolution of moxifloxacin. Structural model selection was mainly guided by visual inspection of the resulting description of data and biological plausibility.</w:t>
      </w:r>
    </w:p>
    <w:p>
      <w:pPr>
        <w:pStyle w:val="BodyText"/>
      </w:pPr>
      <w:r>
        <w:t xml:space="preserve">The model was then verified by simulating:</w:t>
      </w:r>
    </w:p>
    <w:p>
      <w:pPr>
        <w:pStyle w:val="Compact"/>
        <w:numPr>
          <w:ilvl w:val="0"/>
          <w:numId w:val="1001"/>
        </w:numPr>
      </w:pPr>
      <w:r>
        <w:t xml:space="preserve">Intravenous and oral administration of 400 mg (</w:t>
      </w:r>
      <w:hyperlink w:anchor="Xa559bd5247f9128e74e6edcc17de37648e8cde6">
        <w:r>
          <w:rPr>
            <w:rStyle w:val="Hyperlink"/>
          </w:rPr>
          <w:t xml:space="preserve">U.S. Food and Drug Administration 2000 U.S</w:t>
        </w:r>
      </w:hyperlink>
      <w:r>
        <w:t xml:space="preserve">)</w:t>
      </w:r>
    </w:p>
    <w:p>
      <w:pPr>
        <w:pStyle w:val="Compact"/>
        <w:numPr>
          <w:ilvl w:val="0"/>
          <w:numId w:val="1001"/>
        </w:numPr>
      </w:pPr>
      <w:r>
        <w:t xml:space="preserve">Intravenous and oral administration of 100 mg (</w:t>
      </w:r>
      <w:hyperlink w:anchor="Xa559bd5247f9128e74e6edcc17de37648e8cde6">
        <w:r>
          <w:rPr>
            <w:rStyle w:val="Hyperlink"/>
          </w:rPr>
          <w:t xml:space="preserve">Siefert 1999</w:t>
        </w:r>
      </w:hyperlink>
      <w:r>
        <w:t xml:space="preserve">)</w:t>
      </w:r>
    </w:p>
    <w:p>
      <w:pPr>
        <w:pStyle w:val="Compact"/>
        <w:numPr>
          <w:ilvl w:val="0"/>
          <w:numId w:val="1001"/>
        </w:numPr>
      </w:pPr>
      <w:r>
        <w:t xml:space="preserve">Single oral administration of doses ranging between 60 and 600 mg (</w:t>
      </w:r>
      <w:hyperlink w:anchor="Xa559bd5247f9128e74e6edcc17de37648e8cde6">
        <w:r>
          <w:rPr>
            <w:rStyle w:val="Hyperlink"/>
          </w:rPr>
          <w:t xml:space="preserve">U.S. Food and Drug Administration 2000 U.S</w:t>
        </w:r>
      </w:hyperlink>
      <w:r>
        <w:t xml:space="preserve">)</w:t>
      </w:r>
    </w:p>
    <w:p>
      <w:pPr>
        <w:pStyle w:val="FirstParagraph"/>
      </w:pPr>
      <w:r>
        <w:t xml:space="preserve">Details about input data (physicochemical,</w:t>
      </w:r>
      <w:r>
        <w:t xml:space="preserve"> </w:t>
      </w:r>
      <w:r>
        <w:rPr>
          <w:i/>
          <w:iCs/>
        </w:rPr>
        <w:t xml:space="preserve">in vitro</w:t>
      </w:r>
      <w:r>
        <w:t xml:space="preserve"> </w:t>
      </w:r>
      <w:r>
        <w:t xml:space="preserve">and clinical) can be found in</w:t>
      </w:r>
      <w:r>
        <w:t xml:space="preserve"> </w:t>
      </w:r>
      <w:hyperlink w:anchor="methods-data">
        <w:r>
          <w:rPr>
            <w:rStyle w:val="Hyperlink"/>
          </w:rPr>
          <w:t xml:space="preserve">Section 2.2</w:t>
        </w:r>
      </w:hyperlink>
      <w:r>
        <w:t xml:space="preserve">.</w:t>
      </w:r>
    </w:p>
    <w:p>
      <w:pPr>
        <w:pStyle w:val="BodyText"/>
      </w:pPr>
      <w:r>
        <w:t xml:space="preserve">Details about the structural model and its parameters can be found in</w:t>
      </w:r>
      <w:r>
        <w:t xml:space="preserve"> </w:t>
      </w:r>
      <w:hyperlink w:anchor="model-parameters-and-assumptions">
        <w:r>
          <w:rPr>
            <w:rStyle w:val="Hyperlink"/>
          </w:rPr>
          <w:t xml:space="preserve">Section 2.3</w:t>
        </w:r>
      </w:hyperlink>
      <w:r>
        <w:t xml:space="preserve">.</w:t>
      </w:r>
    </w:p>
    <w:bookmarkEnd w:id="22"/>
    <w:bookmarkStart w:id="27" w:name="data"/>
    <w:p>
      <w:pPr>
        <w:pStyle w:val="Heading2"/>
      </w:pPr>
      <w:r>
        <w:t xml:space="preserve">Data</w:t>
      </w:r>
      <w:bookmarkStart w:id="methods-data" w:name="methods-data"/>
      <w:bookmarkEnd w:id="methods-data"/>
    </w:p>
    <w:bookmarkStart w:id="23" w:name="in-vitro-physico-chemical-data"/>
    <w:p>
      <w:pPr>
        <w:pStyle w:val="Heading3"/>
      </w:pPr>
      <w:r>
        <w:t xml:space="preserve">In vitro / physico-chemical Data</w:t>
      </w:r>
      <w:r>
        <w:t xml:space="preserve"> </w:t>
      </w:r>
      <w:bookmarkStart w:id="invitro-and-physico-chemical-data" w:name="invitro-and-physico-chemical-data"/>
      <w:bookmarkEnd w:id="invitro-and-physico-chemical-data"/>
    </w:p>
    <w:p>
      <w:pPr>
        <w:pStyle w:val="FirstParagraph"/>
      </w:pPr>
      <w:r>
        <w:t xml:space="preserve">A literature search was performed to collect available information on physicochemical properties of moxifloxacin. The obtained information from literature is summarized in the table below.</w:t>
      </w:r>
    </w:p>
    <w:tbl>
      <w:tblPr>
        <w:tblStyle w:val="Table"/>
        <w:tblW w:type="pct" w:w="5000"/>
        <w:tblLayout w:type="fixed"/>
        <w:tblLook w:firstRow="1" w:lastRow="0" w:firstColumn="0" w:lastColumn="0" w:noHBand="0" w:noVBand="0" w:val="0020"/>
      </w:tblPr>
      <w:tblGrid>
        <w:gridCol w:w="981"/>
        <w:gridCol w:w="523"/>
        <w:gridCol w:w="589"/>
        <w:gridCol w:w="2749"/>
        <w:gridCol w:w="3076"/>
      </w:tblGrid>
      <w:tr>
        <w:trPr>
          <w:tblHeader w:val="on"/>
        </w:trPr>
        <w:tc>
          <w:tcPr/>
          <w:p>
            <w:pPr>
              <w:pStyle w:val="Compact"/>
              <w:jc w:val="left"/>
            </w:pPr>
            <w:r>
              <w:rPr>
                <w:b/>
                <w:bCs/>
              </w:rPr>
              <w:t xml:space="preserve">Parameter</w:t>
            </w:r>
          </w:p>
        </w:tc>
        <w:tc>
          <w:tcPr/>
          <w:p>
            <w:pPr>
              <w:pStyle w:val="Compact"/>
              <w:jc w:val="left"/>
            </w:pPr>
            <w:r>
              <w:rPr>
                <w:b/>
                <w:bCs/>
              </w:rPr>
              <w:t xml:space="preserve">Unit</w:t>
            </w:r>
          </w:p>
        </w:tc>
        <w:tc>
          <w:tcPr/>
          <w:p>
            <w:pPr>
              <w:pStyle w:val="Compact"/>
              <w:jc w:val="left"/>
            </w:pPr>
            <w:r>
              <w:rPr>
                <w:b/>
                <w:bCs/>
              </w:rPr>
              <w:t xml:space="preserve">Value</w:t>
            </w:r>
          </w:p>
        </w:tc>
        <w:tc>
          <w:tcPr/>
          <w:p>
            <w:pPr>
              <w:pStyle w:val="Compact"/>
              <w:jc w:val="left"/>
            </w:pPr>
            <w:r>
              <w:t xml:space="preserve">Source</w:t>
            </w:r>
          </w:p>
        </w:tc>
        <w:tc>
          <w:tcPr/>
          <w:p>
            <w:pPr>
              <w:pStyle w:val="Compact"/>
              <w:jc w:val="left"/>
            </w:pPr>
            <w:r>
              <w:rPr>
                <w:b/>
                <w:bCs/>
              </w:rPr>
              <w:t xml:space="preserve">Description</w:t>
            </w:r>
          </w:p>
        </w:tc>
      </w:tr>
      <w:tr>
        <w:tc>
          <w:tcPr/>
          <w:p>
            <w:pPr>
              <w:pStyle w:val="Compact"/>
              <w:jc w:val="left"/>
            </w:pPr>
            <w:r>
              <w:t xml:space="preserve">MW</w:t>
            </w:r>
          </w:p>
        </w:tc>
        <w:tc>
          <w:tcPr/>
          <w:p>
            <w:pPr>
              <w:pStyle w:val="Compact"/>
              <w:jc w:val="left"/>
            </w:pPr>
            <w:r>
              <w:t xml:space="preserve">g/mol</w:t>
            </w:r>
          </w:p>
        </w:tc>
        <w:tc>
          <w:tcPr/>
          <w:p>
            <w:pPr>
              <w:pStyle w:val="Compact"/>
              <w:jc w:val="left"/>
            </w:pPr>
            <w:r>
              <w:t xml:space="preserve">401.4</w:t>
            </w:r>
          </w:p>
        </w:tc>
        <w:tc>
          <w:tcPr/>
          <w:p>
            <w:pPr>
              <w:pStyle w:val="Compact"/>
              <w:jc w:val="left"/>
            </w:pPr>
            <w:hyperlink w:anchor="main-references">
              <w:r>
                <w:rPr>
                  <w:rStyle w:val="Hyperlink"/>
                </w:rPr>
                <w:t xml:space="preserve">Willmann 2019</w:t>
              </w:r>
            </w:hyperlink>
          </w:p>
        </w:tc>
        <w:tc>
          <w:tcPr/>
          <w:p>
            <w:pPr>
              <w:pStyle w:val="Compact"/>
              <w:jc w:val="left"/>
            </w:pPr>
            <w:r>
              <w:t xml:space="preserve">Molecular weight</w:t>
            </w:r>
          </w:p>
        </w:tc>
      </w:tr>
      <w:tr>
        <w:tc>
          <w:tcPr/>
          <w:p>
            <w:pPr>
              <w:pStyle w:val="Compact"/>
              <w:jc w:val="left"/>
            </w:pPr>
            <w:r>
              <w:t xml:space="preserve">pK</w:t>
            </w:r>
            <w:r>
              <w:rPr>
                <w:vertAlign w:val="subscript"/>
              </w:rPr>
              <w:t xml:space="preserve">a</w:t>
            </w:r>
            <w:r>
              <w:t xml:space="preserve"> </w:t>
            </w:r>
            <w:r>
              <w:t xml:space="preserve">(acid)</w:t>
            </w:r>
          </w:p>
        </w:tc>
        <w:tc>
          <w:tcPr/>
          <w:p>
            <w:pPr>
              <w:pStyle w:val="Compact"/>
            </w:pPr>
          </w:p>
        </w:tc>
        <w:tc>
          <w:tcPr/>
          <w:p>
            <w:pPr>
              <w:pStyle w:val="Compact"/>
              <w:jc w:val="left"/>
            </w:pPr>
            <w:r>
              <w:t xml:space="preserve">6.25</w:t>
            </w:r>
          </w:p>
        </w:tc>
        <w:tc>
          <w:tcPr/>
          <w:p>
            <w:pPr>
              <w:pStyle w:val="Compact"/>
              <w:jc w:val="left"/>
            </w:pPr>
            <w:hyperlink w:anchor="main-references">
              <w:r>
                <w:rPr>
                  <w:rStyle w:val="Hyperlink"/>
                </w:rPr>
                <w:t xml:space="preserve">Langlois 2005</w:t>
              </w:r>
            </w:hyperlink>
          </w:p>
        </w:tc>
        <w:tc>
          <w:tcPr/>
          <w:p>
            <w:pPr>
              <w:pStyle w:val="Compact"/>
              <w:jc w:val="left"/>
            </w:pPr>
            <w:r>
              <w:t xml:space="preserve">Acid dissociation constant</w:t>
            </w:r>
          </w:p>
        </w:tc>
      </w:tr>
      <w:tr>
        <w:tc>
          <w:tcPr/>
          <w:p>
            <w:pPr>
              <w:pStyle w:val="Compact"/>
              <w:jc w:val="left"/>
            </w:pPr>
            <w:r>
              <w:t xml:space="preserve">pK</w:t>
            </w:r>
            <w:r>
              <w:rPr>
                <w:vertAlign w:val="subscript"/>
              </w:rPr>
              <w:t xml:space="preserve">a</w:t>
            </w:r>
            <w:r>
              <w:t xml:space="preserve"> </w:t>
            </w:r>
            <w:r>
              <w:t xml:space="preserve">(base)</w:t>
            </w:r>
          </w:p>
        </w:tc>
        <w:tc>
          <w:tcPr/>
          <w:p>
            <w:pPr>
              <w:pStyle w:val="Compact"/>
            </w:pPr>
          </w:p>
        </w:tc>
        <w:tc>
          <w:tcPr/>
          <w:p>
            <w:pPr>
              <w:pStyle w:val="Compact"/>
              <w:jc w:val="left"/>
            </w:pPr>
            <w:r>
              <w:t xml:space="preserve">9.29</w:t>
            </w:r>
          </w:p>
        </w:tc>
        <w:tc>
          <w:tcPr/>
          <w:p>
            <w:pPr>
              <w:pStyle w:val="Compact"/>
              <w:jc w:val="left"/>
            </w:pPr>
            <w:hyperlink w:anchor="main-references">
              <w:r>
                <w:rPr>
                  <w:rStyle w:val="Hyperlink"/>
                </w:rPr>
                <w:t xml:space="preserve">Langlois 2005</w:t>
              </w:r>
            </w:hyperlink>
          </w:p>
        </w:tc>
        <w:tc>
          <w:tcPr/>
          <w:p>
            <w:pPr>
              <w:pStyle w:val="Compact"/>
              <w:jc w:val="left"/>
            </w:pPr>
            <w:r>
              <w:t xml:space="preserve">Acid dissociation constant</w:t>
            </w:r>
          </w:p>
        </w:tc>
      </w:tr>
      <w:tr>
        <w:tc>
          <w:tcPr/>
          <w:p>
            <w:pPr>
              <w:pStyle w:val="Compact"/>
              <w:jc w:val="left"/>
            </w:pPr>
            <w:r>
              <w:t xml:space="preserve">Solubility (pH)</w:t>
            </w:r>
          </w:p>
        </w:tc>
        <w:tc>
          <w:tcPr/>
          <w:p>
            <w:pPr>
              <w:pStyle w:val="Compact"/>
              <w:jc w:val="left"/>
            </w:pPr>
            <w:r>
              <w:t xml:space="preserve">mg/mL</w:t>
            </w:r>
          </w:p>
        </w:tc>
        <w:tc>
          <w:tcPr/>
          <w:p>
            <w:pPr>
              <w:pStyle w:val="Compact"/>
              <w:jc w:val="left"/>
            </w:pPr>
            <w:r>
              <w:t xml:space="preserve">2.9</w:t>
            </w:r>
          </w:p>
        </w:tc>
        <w:tc>
          <w:tcPr/>
          <w:p>
            <w:pPr>
              <w:pStyle w:val="Compact"/>
              <w:jc w:val="left"/>
            </w:pPr>
            <w:hyperlink w:anchor="main-references">
              <w:r>
                <w:rPr>
                  <w:rStyle w:val="Hyperlink"/>
                </w:rPr>
                <w:t xml:space="preserve">U.S. Pharmacist 2023</w:t>
              </w:r>
            </w:hyperlink>
          </w:p>
        </w:tc>
        <w:tc>
          <w:tcPr/>
          <w:p>
            <w:pPr>
              <w:pStyle w:val="Compact"/>
              <w:jc w:val="left"/>
            </w:pPr>
            <w:r>
              <w:t xml:space="preserve">Aqueous Solubility</w:t>
            </w:r>
          </w:p>
        </w:tc>
      </w:tr>
      <w:tr>
        <w:tc>
          <w:tcPr/>
          <w:p>
            <w:pPr>
              <w:pStyle w:val="Compact"/>
              <w:jc w:val="left"/>
            </w:pPr>
            <w:r>
              <w:t xml:space="preserve">Solubility (pH)</w:t>
            </w:r>
          </w:p>
        </w:tc>
        <w:tc>
          <w:tcPr/>
          <w:p>
            <w:pPr>
              <w:pStyle w:val="Compact"/>
              <w:jc w:val="left"/>
            </w:pPr>
            <w:r>
              <w:t xml:space="preserve">mg/mL</w:t>
            </w:r>
          </w:p>
        </w:tc>
        <w:tc>
          <w:tcPr/>
          <w:p>
            <w:pPr>
              <w:pStyle w:val="Compact"/>
              <w:jc w:val="left"/>
            </w:pPr>
            <w:r>
              <w:t xml:space="preserve">sparingly soluble in water</w:t>
            </w:r>
          </w:p>
        </w:tc>
        <w:tc>
          <w:tcPr/>
          <w:p>
            <w:pPr>
              <w:pStyle w:val="Compact"/>
              <w:jc w:val="left"/>
            </w:pPr>
            <w:hyperlink w:anchor="main-references">
              <w:r>
                <w:rPr>
                  <w:rStyle w:val="Hyperlink"/>
                </w:rPr>
                <w:t xml:space="preserve">Willmann 2019</w:t>
              </w:r>
            </w:hyperlink>
          </w:p>
        </w:tc>
        <w:tc>
          <w:tcPr/>
          <w:p>
            <w:pPr>
              <w:pStyle w:val="Compact"/>
              <w:jc w:val="left"/>
            </w:pPr>
            <w:r>
              <w:t xml:space="preserve">Aqueous Solubility</w:t>
            </w:r>
          </w:p>
        </w:tc>
      </w:tr>
      <w:tr>
        <w:tc>
          <w:tcPr/>
          <w:p>
            <w:pPr>
              <w:pStyle w:val="Compact"/>
              <w:jc w:val="left"/>
            </w:pPr>
            <w:r>
              <w:t xml:space="preserve">logMA</w:t>
            </w:r>
          </w:p>
        </w:tc>
        <w:tc>
          <w:tcPr/>
          <w:p>
            <w:pPr>
              <w:pStyle w:val="Compact"/>
            </w:pPr>
          </w:p>
        </w:tc>
        <w:tc>
          <w:tcPr/>
          <w:p>
            <w:pPr>
              <w:pStyle w:val="Compact"/>
              <w:jc w:val="left"/>
            </w:pPr>
            <w:r>
              <w:t xml:space="preserve">1.8</w:t>
            </w:r>
          </w:p>
        </w:tc>
        <w:tc>
          <w:tcPr/>
          <w:p>
            <w:pPr>
              <w:pStyle w:val="Compact"/>
              <w:jc w:val="left"/>
            </w:pPr>
            <w:hyperlink w:anchor="main-references">
              <w:r>
                <w:rPr>
                  <w:rStyle w:val="Hyperlink"/>
                </w:rPr>
                <w:t xml:space="preserve">Willmann 2019</w:t>
              </w:r>
            </w:hyperlink>
          </w:p>
        </w:tc>
        <w:tc>
          <w:tcPr/>
          <w:p>
            <w:pPr>
              <w:pStyle w:val="Compact"/>
              <w:jc w:val="left"/>
            </w:pPr>
            <w:r>
              <w:t xml:space="preserve">Membrane affinity</w:t>
            </w:r>
          </w:p>
        </w:tc>
      </w:tr>
      <w:tr>
        <w:tc>
          <w:tcPr/>
          <w:p>
            <w:pPr>
              <w:pStyle w:val="Compact"/>
              <w:jc w:val="left"/>
            </w:pPr>
            <w:r>
              <w:t xml:space="preserve">logP</w:t>
            </w:r>
          </w:p>
        </w:tc>
        <w:tc>
          <w:tcPr/>
          <w:p>
            <w:pPr>
              <w:pStyle w:val="Compact"/>
            </w:pPr>
          </w:p>
        </w:tc>
        <w:tc>
          <w:tcPr/>
          <w:p>
            <w:pPr>
              <w:pStyle w:val="Compact"/>
              <w:jc w:val="left"/>
            </w:pPr>
            <w:r>
              <w:t xml:space="preserve">0.6</w:t>
            </w:r>
          </w:p>
        </w:tc>
        <w:tc>
          <w:tcPr/>
          <w:p>
            <w:pPr>
              <w:pStyle w:val="Compact"/>
              <w:jc w:val="left"/>
            </w:pPr>
            <w:hyperlink w:anchor="main-references">
              <w:r>
                <w:rPr>
                  <w:rStyle w:val="Hyperlink"/>
                </w:rPr>
                <w:t xml:space="preserve">Willmann 2019</w:t>
              </w:r>
            </w:hyperlink>
          </w:p>
        </w:tc>
        <w:tc>
          <w:tcPr/>
          <w:p>
            <w:pPr>
              <w:pStyle w:val="Compact"/>
              <w:jc w:val="left"/>
            </w:pPr>
            <w:r>
              <w:t xml:space="preserve">Partition coefficient between octanol and water</w:t>
            </w:r>
          </w:p>
        </w:tc>
      </w:tr>
      <w:tr>
        <w:tc>
          <w:tcPr/>
          <w:p>
            <w:pPr>
              <w:pStyle w:val="Compact"/>
              <w:jc w:val="left"/>
            </w:pPr>
            <w:r>
              <w:t xml:space="preserve">logP</w:t>
            </w:r>
          </w:p>
        </w:tc>
        <w:tc>
          <w:tcPr/>
          <w:p>
            <w:pPr>
              <w:pStyle w:val="Compact"/>
            </w:pPr>
          </w:p>
        </w:tc>
        <w:tc>
          <w:tcPr/>
          <w:p>
            <w:pPr>
              <w:pStyle w:val="Compact"/>
              <w:jc w:val="left"/>
            </w:pPr>
            <w:r>
              <w:t xml:space="preserve">1.04</w:t>
            </w:r>
          </w:p>
        </w:tc>
        <w:tc>
          <w:tcPr/>
          <w:p>
            <w:pPr>
              <w:pStyle w:val="Compact"/>
              <w:jc w:val="left"/>
            </w:pPr>
            <w:hyperlink w:anchor="main-references">
              <w:r>
                <w:rPr>
                  <w:rStyle w:val="Hyperlink"/>
                </w:rPr>
                <w:t xml:space="preserve">Edginton 2009</w:t>
              </w:r>
            </w:hyperlink>
          </w:p>
        </w:tc>
        <w:tc>
          <w:tcPr/>
          <w:p>
            <w:pPr>
              <w:pStyle w:val="Compact"/>
              <w:jc w:val="left"/>
            </w:pPr>
            <w:r>
              <w:t xml:space="preserve">Partition coefficient between octanol and water</w:t>
            </w:r>
          </w:p>
        </w:tc>
      </w:tr>
      <w:tr>
        <w:tc>
          <w:tcPr/>
          <w:p>
            <w:pPr>
              <w:pStyle w:val="Compact"/>
              <w:jc w:val="left"/>
            </w:pPr>
            <w:r>
              <w:t xml:space="preserve">logP</w:t>
            </w:r>
          </w:p>
        </w:tc>
        <w:tc>
          <w:tcPr/>
          <w:p>
            <w:pPr>
              <w:pStyle w:val="Compact"/>
            </w:pPr>
          </w:p>
        </w:tc>
        <w:tc>
          <w:tcPr/>
          <w:p>
            <w:pPr>
              <w:pStyle w:val="Compact"/>
              <w:jc w:val="left"/>
            </w:pPr>
            <w:r>
              <w:t xml:space="preserve">0.832</w:t>
            </w:r>
          </w:p>
        </w:tc>
        <w:tc>
          <w:tcPr/>
          <w:p>
            <w:pPr>
              <w:pStyle w:val="Compact"/>
              <w:jc w:val="left"/>
            </w:pPr>
            <w:hyperlink w:anchor="main-references">
              <w:r>
                <w:rPr>
                  <w:rStyle w:val="Hyperlink"/>
                </w:rPr>
                <w:t xml:space="preserve">Litjens 2022</w:t>
              </w:r>
            </w:hyperlink>
          </w:p>
        </w:tc>
        <w:tc>
          <w:tcPr/>
          <w:p>
            <w:pPr>
              <w:pStyle w:val="Compact"/>
              <w:jc w:val="left"/>
            </w:pPr>
            <w:r>
              <w:t xml:space="preserve">Partition coefficient between octanol and water</w:t>
            </w:r>
          </w:p>
        </w:tc>
      </w:tr>
      <w:tr>
        <w:tc>
          <w:tcPr/>
          <w:p>
            <w:pPr>
              <w:pStyle w:val="Compact"/>
              <w:jc w:val="left"/>
            </w:pPr>
            <w:r>
              <w:t xml:space="preserve">fu</w:t>
            </w:r>
          </w:p>
        </w:tc>
        <w:tc>
          <w:tcPr/>
          <w:p>
            <w:pPr>
              <w:pStyle w:val="Compact"/>
              <w:jc w:val="left"/>
            </w:pPr>
            <w:r>
              <w:t xml:space="preserve">%</w:t>
            </w:r>
          </w:p>
        </w:tc>
        <w:tc>
          <w:tcPr/>
          <w:p>
            <w:pPr>
              <w:pStyle w:val="Compact"/>
              <w:jc w:val="left"/>
            </w:pPr>
            <w:r>
              <w:t xml:space="preserve">50</w:t>
            </w:r>
          </w:p>
        </w:tc>
        <w:tc>
          <w:tcPr/>
          <w:p>
            <w:pPr>
              <w:pStyle w:val="Compact"/>
              <w:jc w:val="left"/>
            </w:pPr>
            <w:hyperlink w:anchor="main-references">
              <w:r>
                <w:rPr>
                  <w:rStyle w:val="Hyperlink"/>
                </w:rPr>
                <w:t xml:space="preserve">Edginton 2009</w:t>
              </w:r>
            </w:hyperlink>
          </w:p>
        </w:tc>
        <w:tc>
          <w:tcPr/>
          <w:p>
            <w:pPr>
              <w:pStyle w:val="Compact"/>
              <w:jc w:val="left"/>
            </w:pPr>
            <w:r>
              <w:t xml:space="preserve">Fraction unbound in plasma</w:t>
            </w:r>
          </w:p>
        </w:tc>
      </w:tr>
      <w:tr>
        <w:tc>
          <w:tcPr/>
          <w:p>
            <w:pPr>
              <w:pStyle w:val="Compact"/>
              <w:jc w:val="left"/>
            </w:pPr>
            <w:r>
              <w:t xml:space="preserve">fu</w:t>
            </w:r>
          </w:p>
        </w:tc>
        <w:tc>
          <w:tcPr/>
          <w:p>
            <w:pPr>
              <w:pStyle w:val="Compact"/>
            </w:pPr>
          </w:p>
        </w:tc>
        <w:tc>
          <w:tcPr/>
          <w:p>
            <w:pPr>
              <w:pStyle w:val="Compact"/>
              <w:jc w:val="left"/>
            </w:pPr>
            <w:r>
              <w:t xml:space="preserve">0.606</w:t>
            </w:r>
          </w:p>
        </w:tc>
        <w:tc>
          <w:tcPr/>
          <w:p>
            <w:pPr>
              <w:pStyle w:val="Compact"/>
              <w:jc w:val="left"/>
            </w:pPr>
            <w:hyperlink w:anchor="main-references">
              <w:r>
                <w:rPr>
                  <w:rStyle w:val="Hyperlink"/>
                </w:rPr>
                <w:t xml:space="preserve">Litjens 2022</w:t>
              </w:r>
            </w:hyperlink>
          </w:p>
        </w:tc>
        <w:tc>
          <w:tcPr/>
          <w:p>
            <w:pPr>
              <w:pStyle w:val="Compact"/>
              <w:jc w:val="left"/>
            </w:pPr>
            <w:r>
              <w:t xml:space="preserve">Fraction unbound in plasma</w:t>
            </w:r>
          </w:p>
        </w:tc>
      </w:tr>
      <w:tr>
        <w:tc>
          <w:tcPr/>
          <w:p>
            <w:pPr>
              <w:pStyle w:val="Compact"/>
              <w:jc w:val="left"/>
            </w:pPr>
            <w:r>
              <w:t xml:space="preserve">fu</w:t>
            </w:r>
          </w:p>
        </w:tc>
        <w:tc>
          <w:tcPr/>
          <w:p>
            <w:pPr>
              <w:pStyle w:val="Compact"/>
              <w:jc w:val="left"/>
            </w:pPr>
            <w:r>
              <w:t xml:space="preserve">%</w:t>
            </w:r>
          </w:p>
        </w:tc>
        <w:tc>
          <w:tcPr/>
          <w:p>
            <w:pPr>
              <w:pStyle w:val="Compact"/>
              <w:jc w:val="left"/>
            </w:pPr>
            <w:r>
              <w:t xml:space="preserve">50-60</w:t>
            </w:r>
          </w:p>
        </w:tc>
        <w:tc>
          <w:tcPr/>
          <w:p>
            <w:pPr>
              <w:pStyle w:val="Compact"/>
              <w:jc w:val="left"/>
            </w:pPr>
            <w:hyperlink w:anchor="main-references">
              <w:r>
                <w:rPr>
                  <w:rStyle w:val="Hyperlink"/>
                </w:rPr>
                <w:t xml:space="preserve">Willmann 2019</w:t>
              </w:r>
            </w:hyperlink>
          </w:p>
        </w:tc>
        <w:tc>
          <w:tcPr/>
          <w:p>
            <w:pPr>
              <w:pStyle w:val="Compact"/>
              <w:jc w:val="left"/>
            </w:pPr>
            <w:r>
              <w:t xml:space="preserve">Fraction unbound in plasma</w:t>
            </w:r>
          </w:p>
        </w:tc>
      </w:tr>
      <w:tr>
        <w:tc>
          <w:tcPr/>
          <w:p>
            <w:pPr>
              <w:pStyle w:val="Compact"/>
              <w:jc w:val="left"/>
            </w:pPr>
            <w:r>
              <w:t xml:space="preserve">B/P ratio</w:t>
            </w:r>
          </w:p>
        </w:tc>
        <w:tc>
          <w:tcPr/>
          <w:p>
            <w:pPr>
              <w:pStyle w:val="Compact"/>
            </w:pPr>
          </w:p>
        </w:tc>
        <w:tc>
          <w:tcPr/>
          <w:p>
            <w:pPr>
              <w:pStyle w:val="Compact"/>
              <w:jc w:val="left"/>
            </w:pPr>
            <w:r>
              <w:t xml:space="preserve">1.10</w:t>
            </w:r>
          </w:p>
        </w:tc>
        <w:tc>
          <w:tcPr/>
          <w:p>
            <w:pPr>
              <w:pStyle w:val="Compact"/>
              <w:jc w:val="left"/>
            </w:pPr>
            <w:hyperlink w:anchor="main-references">
              <w:r>
                <w:rPr>
                  <w:rStyle w:val="Hyperlink"/>
                </w:rPr>
                <w:t xml:space="preserve">Litjens 2022</w:t>
              </w:r>
            </w:hyperlink>
          </w:p>
        </w:tc>
        <w:tc>
          <w:tcPr/>
          <w:p>
            <w:pPr>
              <w:pStyle w:val="Compact"/>
              <w:jc w:val="left"/>
            </w:pPr>
            <w:r>
              <w:t xml:space="preserve">Blood to plasma ratio</w:t>
            </w:r>
          </w:p>
        </w:tc>
      </w:tr>
      <w:tr>
        <w:tc>
          <w:tcPr/>
          <w:p>
            <w:pPr>
              <w:pStyle w:val="Compact"/>
              <w:jc w:val="left"/>
            </w:pPr>
            <w:r>
              <w:t xml:space="preserve">Passive permeability</w:t>
            </w:r>
          </w:p>
        </w:tc>
        <w:tc>
          <w:tcPr/>
          <w:p>
            <w:pPr>
              <w:pStyle w:val="Compact"/>
              <w:jc w:val="left"/>
            </w:pPr>
            <w:r>
              <w:t xml:space="preserve">10E-6 cm/s</w:t>
            </w:r>
          </w:p>
        </w:tc>
        <w:tc>
          <w:tcPr/>
          <w:p>
            <w:pPr>
              <w:pStyle w:val="Compact"/>
              <w:jc w:val="left"/>
            </w:pPr>
            <w:r>
              <w:t xml:space="preserve">11.5</w:t>
            </w:r>
          </w:p>
        </w:tc>
        <w:tc>
          <w:tcPr/>
          <w:p>
            <w:pPr>
              <w:pStyle w:val="Compact"/>
              <w:jc w:val="left"/>
            </w:pPr>
            <w:hyperlink w:anchor="main-references">
              <w:r>
                <w:rPr>
                  <w:rStyle w:val="Hyperlink"/>
                </w:rPr>
                <w:t xml:space="preserve">Litjens 2022</w:t>
              </w:r>
            </w:hyperlink>
          </w:p>
        </w:tc>
        <w:tc>
          <w:tcPr/>
          <w:p>
            <w:pPr>
              <w:pStyle w:val="Compact"/>
              <w:jc w:val="left"/>
            </w:pPr>
            <w:r>
              <w:t xml:space="preserve">Passive permeability (Caco-2)</w:t>
            </w:r>
          </w:p>
        </w:tc>
      </w:tr>
    </w:tbl>
    <w:bookmarkEnd w:id="23"/>
    <w:bookmarkStart w:id="26" w:name="clinical-data"/>
    <w:p>
      <w:pPr>
        <w:pStyle w:val="Heading3"/>
      </w:pPr>
      <w:r>
        <w:t xml:space="preserve">Clinical Data</w:t>
      </w:r>
      <w:r>
        <w:t xml:space="preserve"> </w:t>
      </w:r>
      <w:bookmarkStart w:id="clinical-data" w:name="clinical-data"/>
      <w:bookmarkEnd w:id="clinical-data"/>
    </w:p>
    <w:p>
      <w:pPr>
        <w:pStyle w:val="FirstParagraph"/>
      </w:pPr>
      <w:r>
        <w:t xml:space="preserve">A literature search was performed to collect available clinical data on moxifloxacin in healthy adults.</w:t>
      </w:r>
    </w:p>
    <w:bookmarkStart w:id="24" w:name="model-building"/>
    <w:p>
      <w:pPr>
        <w:pStyle w:val="Heading4"/>
      </w:pPr>
      <w:r>
        <w:t xml:space="preserve">Model Building</w:t>
      </w:r>
      <w:r>
        <w:t xml:space="preserve"> </w:t>
      </w:r>
      <w:bookmarkStart w:id="model-building" w:name="model-building"/>
      <w:bookmarkEnd w:id="model-building"/>
    </w:p>
    <w:p>
      <w:pPr>
        <w:pStyle w:val="FirstParagraph"/>
      </w:pPr>
      <w:r>
        <w:t xml:space="preserve">The following studies were used for model building (training data):</w:t>
      </w:r>
    </w:p>
    <w:tbl>
      <w:tblPr>
        <w:tblStyle w:val="Table"/>
        <w:tblW w:type="pct" w:w="5000"/>
        <w:tblLayout w:type="fixed"/>
        <w:tblLook w:firstRow="1" w:lastRow="0" w:firstColumn="0" w:lastColumn="0" w:noHBand="0" w:noVBand="0" w:val="0020"/>
      </w:tblPr>
      <w:tblGrid>
        <w:gridCol w:w="2673"/>
        <w:gridCol w:w="5247"/>
      </w:tblGrid>
      <w:tr>
        <w:trPr>
          <w:tblHeader w:val="on"/>
        </w:trPr>
        <w:tc>
          <w:tcPr/>
          <w:p>
            <w:pPr>
              <w:pStyle w:val="Compact"/>
              <w:jc w:val="left"/>
            </w:pPr>
            <w:r>
              <w:t xml:space="preserve">Publication</w:t>
            </w:r>
          </w:p>
        </w:tc>
        <w:tc>
          <w:tcPr/>
          <w:p>
            <w:pPr>
              <w:pStyle w:val="Compact"/>
              <w:jc w:val="left"/>
            </w:pPr>
            <w:r>
              <w:t xml:space="preserve">Arm / Treatment / Information used for model building</w:t>
            </w:r>
          </w:p>
        </w:tc>
      </w:tr>
      <w:tr>
        <w:tc>
          <w:tcPr/>
          <w:p>
            <w:pPr>
              <w:pStyle w:val="Compact"/>
              <w:jc w:val="left"/>
            </w:pPr>
            <w:hyperlink w:anchor="main-references">
              <w:r>
                <w:rPr>
                  <w:rStyle w:val="Hyperlink"/>
                </w:rPr>
                <w:t xml:space="preserve">Stass and Kabitza 1999</w:t>
              </w:r>
            </w:hyperlink>
          </w:p>
        </w:tc>
        <w:tc>
          <w:tcPr/>
          <w:p>
            <w:pPr>
              <w:pStyle w:val="Compact"/>
              <w:jc w:val="left"/>
            </w:pPr>
            <w:r>
              <w:t xml:space="preserve">Healthy Subjects with a single IV dose of 400 mg</w:t>
            </w:r>
          </w:p>
        </w:tc>
      </w:tr>
      <w:tr>
        <w:tc>
          <w:tcPr/>
          <w:p>
            <w:pPr>
              <w:pStyle w:val="Compact"/>
              <w:jc w:val="left"/>
            </w:pPr>
            <w:hyperlink w:anchor="main-references">
              <w:r>
                <w:rPr>
                  <w:rStyle w:val="Hyperlink"/>
                </w:rPr>
                <w:t xml:space="preserve">Stass and Kabitza 1999</w:t>
              </w:r>
            </w:hyperlink>
          </w:p>
        </w:tc>
        <w:tc>
          <w:tcPr/>
          <w:p>
            <w:pPr>
              <w:pStyle w:val="Compact"/>
              <w:jc w:val="left"/>
            </w:pPr>
            <w:r>
              <w:t xml:space="preserve">Healthy Subjects with a single PO dose of 400 mg</w:t>
            </w:r>
          </w:p>
        </w:tc>
      </w:tr>
      <w:tr>
        <w:tc>
          <w:tcPr/>
          <w:p>
            <w:pPr>
              <w:pStyle w:val="Compact"/>
              <w:jc w:val="left"/>
            </w:pPr>
            <w:hyperlink w:anchor="main-references">
              <w:r>
                <w:rPr>
                  <w:rStyle w:val="Hyperlink"/>
                </w:rPr>
                <w:t xml:space="preserve">U.S. Food and Drug Administration 2016</w:t>
              </w:r>
            </w:hyperlink>
          </w:p>
        </w:tc>
        <w:tc>
          <w:tcPr/>
          <w:p>
            <w:pPr>
              <w:pStyle w:val="Compact"/>
              <w:jc w:val="left"/>
            </w:pPr>
            <w:r>
              <w:t xml:space="preserve">Healthy Subjects with IV doses of 400 mg QD</w:t>
            </w:r>
          </w:p>
        </w:tc>
      </w:tr>
      <w:tr>
        <w:tc>
          <w:tcPr/>
          <w:p>
            <w:pPr>
              <w:pStyle w:val="Compact"/>
              <w:jc w:val="left"/>
            </w:pPr>
            <w:hyperlink w:anchor="main-references">
              <w:r>
                <w:rPr>
                  <w:rStyle w:val="Hyperlink"/>
                </w:rPr>
                <w:t xml:space="preserve">U.S. Food and Drug Administration 2016</w:t>
              </w:r>
            </w:hyperlink>
          </w:p>
        </w:tc>
        <w:tc>
          <w:tcPr/>
          <w:p>
            <w:pPr>
              <w:pStyle w:val="Compact"/>
              <w:jc w:val="left"/>
            </w:pPr>
            <w:r>
              <w:t xml:space="preserve">Healthy Subjects with PO doses of 400 mg QD</w:t>
            </w:r>
          </w:p>
        </w:tc>
      </w:tr>
      <w:tr>
        <w:tc>
          <w:tcPr/>
          <w:p>
            <w:pPr>
              <w:pStyle w:val="Compact"/>
              <w:jc w:val="left"/>
            </w:pPr>
            <w:hyperlink w:anchor="main-references">
              <w:r>
                <w:rPr>
                  <w:rStyle w:val="Hyperlink"/>
                </w:rPr>
                <w:t xml:space="preserve">Sullivan 1999</w:t>
              </w:r>
            </w:hyperlink>
          </w:p>
        </w:tc>
        <w:tc>
          <w:tcPr/>
          <w:p>
            <w:pPr>
              <w:pStyle w:val="Compact"/>
              <w:jc w:val="left"/>
            </w:pPr>
            <w:r>
              <w:t xml:space="preserve">Healthy Subjects with PO doses of 400 mg QD</w:t>
            </w:r>
          </w:p>
        </w:tc>
      </w:tr>
    </w:tbl>
    <w:bookmarkEnd w:id="24"/>
    <w:bookmarkStart w:id="25" w:name="model-verification"/>
    <w:p>
      <w:pPr>
        <w:pStyle w:val="Heading4"/>
      </w:pPr>
      <w:r>
        <w:t xml:space="preserve">Model Verification</w:t>
      </w:r>
      <w:r>
        <w:t xml:space="preserve"> </w:t>
      </w:r>
      <w:bookmarkStart w:id="model-verification" w:name="model-verification"/>
      <w:bookmarkEnd w:id="model-verification"/>
    </w:p>
    <w:p>
      <w:pPr>
        <w:pStyle w:val="FirstParagraph"/>
      </w:pPr>
      <w:r>
        <w:t xml:space="preserve">The following studies were used for model verification:</w:t>
      </w:r>
    </w:p>
    <w:tbl>
      <w:tblPr>
        <w:tblStyle w:val="Table"/>
        <w:tblW w:type="pct" w:w="5000"/>
        <w:tblLayout w:type="fixed"/>
        <w:tblLook w:firstRow="1" w:lastRow="0" w:firstColumn="0" w:lastColumn="0" w:noHBand="0" w:noVBand="0" w:val="0020"/>
      </w:tblPr>
      <w:tblGrid>
        <w:gridCol w:w="2673"/>
        <w:gridCol w:w="5247"/>
      </w:tblGrid>
      <w:tr>
        <w:trPr>
          <w:tblHeader w:val="on"/>
        </w:trPr>
        <w:tc>
          <w:tcPr/>
          <w:p>
            <w:pPr>
              <w:pStyle w:val="Compact"/>
              <w:jc w:val="left"/>
            </w:pPr>
            <w:r>
              <w:t xml:space="preserve">Publication</w:t>
            </w:r>
          </w:p>
        </w:tc>
        <w:tc>
          <w:tcPr/>
          <w:p>
            <w:pPr>
              <w:pStyle w:val="Compact"/>
              <w:jc w:val="left"/>
            </w:pPr>
            <w:r>
              <w:t xml:space="preserve">Arm / Treatment / Information used for model building</w:t>
            </w:r>
          </w:p>
        </w:tc>
      </w:tr>
      <w:tr>
        <w:tc>
          <w:tcPr/>
          <w:p>
            <w:pPr>
              <w:pStyle w:val="Compact"/>
              <w:jc w:val="left"/>
            </w:pPr>
            <w:hyperlink w:anchor="main-references">
              <w:r>
                <w:rPr>
                  <w:rStyle w:val="Hyperlink"/>
                </w:rPr>
                <w:t xml:space="preserve">Siefert 1999</w:t>
              </w:r>
            </w:hyperlink>
          </w:p>
        </w:tc>
        <w:tc>
          <w:tcPr/>
          <w:p>
            <w:pPr>
              <w:pStyle w:val="Compact"/>
              <w:jc w:val="left"/>
            </w:pPr>
            <w:r>
              <w:t xml:space="preserve">Healthy Subjects with a single IV dose of 100 mg</w:t>
            </w:r>
          </w:p>
        </w:tc>
      </w:tr>
      <w:tr>
        <w:tc>
          <w:tcPr/>
          <w:p>
            <w:pPr>
              <w:pStyle w:val="Compact"/>
              <w:jc w:val="left"/>
            </w:pPr>
            <w:hyperlink w:anchor="main-references">
              <w:r>
                <w:rPr>
                  <w:rStyle w:val="Hyperlink"/>
                </w:rPr>
                <w:t xml:space="preserve">Siefert 1999</w:t>
              </w:r>
            </w:hyperlink>
          </w:p>
        </w:tc>
        <w:tc>
          <w:tcPr/>
          <w:p>
            <w:pPr>
              <w:pStyle w:val="Compact"/>
              <w:jc w:val="left"/>
            </w:pPr>
            <w:r>
              <w:t xml:space="preserve">Healthy Subjects with a single PO dose of 100 mg</w:t>
            </w:r>
          </w:p>
        </w:tc>
      </w:tr>
      <w:tr>
        <w:tc>
          <w:tcPr/>
          <w:p>
            <w:pPr>
              <w:pStyle w:val="Compact"/>
              <w:jc w:val="left"/>
            </w:pPr>
            <w:hyperlink w:anchor="main-references">
              <w:r>
                <w:rPr>
                  <w:rStyle w:val="Hyperlink"/>
                </w:rPr>
                <w:t xml:space="preserve">U.S. Food and Drug Administration 2000 U.S</w:t>
              </w:r>
            </w:hyperlink>
          </w:p>
        </w:tc>
        <w:tc>
          <w:tcPr/>
          <w:p>
            <w:pPr>
              <w:pStyle w:val="Compact"/>
              <w:jc w:val="left"/>
            </w:pPr>
            <w:r>
              <w:t xml:space="preserve">Healthy Subjects with a single IV dose of 400 mg (Study PH 27517/0139)</w:t>
            </w:r>
          </w:p>
        </w:tc>
      </w:tr>
      <w:tr>
        <w:tc>
          <w:tcPr/>
          <w:p>
            <w:pPr>
              <w:pStyle w:val="Compact"/>
              <w:jc w:val="left"/>
            </w:pPr>
            <w:hyperlink w:anchor="main-references">
              <w:r>
                <w:rPr>
                  <w:rStyle w:val="Hyperlink"/>
                </w:rPr>
                <w:t xml:space="preserve">U.S. Food and Drug Administration 2000 U.S</w:t>
              </w:r>
            </w:hyperlink>
          </w:p>
        </w:tc>
        <w:tc>
          <w:tcPr/>
          <w:p>
            <w:pPr>
              <w:pStyle w:val="Compact"/>
              <w:jc w:val="left"/>
            </w:pPr>
            <w:r>
              <w:t xml:space="preserve">Healthy Subjects with a single PO dose of 400 mg (Study PH 27517/0139)</w:t>
            </w:r>
          </w:p>
        </w:tc>
      </w:tr>
      <w:tr>
        <w:tc>
          <w:tcPr/>
          <w:p>
            <w:pPr>
              <w:pStyle w:val="Compact"/>
              <w:jc w:val="left"/>
            </w:pPr>
            <w:hyperlink w:anchor="main-references">
              <w:r>
                <w:rPr>
                  <w:rStyle w:val="Hyperlink"/>
                </w:rPr>
                <w:t xml:space="preserve">U.S. Food and Drug Administration 2000 U.S</w:t>
              </w:r>
            </w:hyperlink>
          </w:p>
        </w:tc>
        <w:tc>
          <w:tcPr/>
          <w:p>
            <w:pPr>
              <w:pStyle w:val="Compact"/>
              <w:jc w:val="left"/>
            </w:pPr>
            <w:r>
              <w:t xml:space="preserve">Healthy Subjects with a single PO dose of 60 mg (Study PH 26024/0101)</w:t>
            </w:r>
          </w:p>
        </w:tc>
      </w:tr>
      <w:tr>
        <w:tc>
          <w:tcPr/>
          <w:p>
            <w:pPr>
              <w:pStyle w:val="Compact"/>
              <w:jc w:val="left"/>
            </w:pPr>
            <w:hyperlink w:anchor="main-references">
              <w:r>
                <w:rPr>
                  <w:rStyle w:val="Hyperlink"/>
                </w:rPr>
                <w:t xml:space="preserve">U.S. Food and Drug Administration 2000 U.S</w:t>
              </w:r>
            </w:hyperlink>
          </w:p>
        </w:tc>
        <w:tc>
          <w:tcPr/>
          <w:p>
            <w:pPr>
              <w:pStyle w:val="Compact"/>
              <w:jc w:val="left"/>
            </w:pPr>
            <w:r>
              <w:t xml:space="preserve">Healthy Subjects with a single PO dose of 60 mg (Study PH 26024/0101)</w:t>
            </w:r>
          </w:p>
        </w:tc>
      </w:tr>
      <w:tr>
        <w:tc>
          <w:tcPr/>
          <w:p>
            <w:pPr>
              <w:pStyle w:val="Compact"/>
              <w:jc w:val="left"/>
            </w:pPr>
            <w:hyperlink w:anchor="main-references">
              <w:r>
                <w:rPr>
                  <w:rStyle w:val="Hyperlink"/>
                </w:rPr>
                <w:t xml:space="preserve">U.S. Food and Drug Administration 2000 U.S</w:t>
              </w:r>
            </w:hyperlink>
          </w:p>
        </w:tc>
        <w:tc>
          <w:tcPr/>
          <w:p>
            <w:pPr>
              <w:pStyle w:val="Compact"/>
              <w:jc w:val="left"/>
            </w:pPr>
            <w:r>
              <w:t xml:space="preserve">Healthy Subjects with a single PO dose of 100 mg (Study PH 26024/0101)</w:t>
            </w:r>
          </w:p>
        </w:tc>
      </w:tr>
      <w:tr>
        <w:tc>
          <w:tcPr/>
          <w:p>
            <w:pPr>
              <w:pStyle w:val="Compact"/>
              <w:jc w:val="left"/>
            </w:pPr>
            <w:hyperlink w:anchor="main-references">
              <w:r>
                <w:rPr>
                  <w:rStyle w:val="Hyperlink"/>
                </w:rPr>
                <w:t xml:space="preserve">U.S. Food and Drug Administration 2000 U.S</w:t>
              </w:r>
            </w:hyperlink>
          </w:p>
        </w:tc>
        <w:tc>
          <w:tcPr/>
          <w:p>
            <w:pPr>
              <w:pStyle w:val="Compact"/>
              <w:jc w:val="left"/>
            </w:pPr>
            <w:r>
              <w:t xml:space="preserve">Healthy Subjects with a single PO dose of 200 mg (Study PH 26024/0101)</w:t>
            </w:r>
          </w:p>
        </w:tc>
      </w:tr>
      <w:tr>
        <w:tc>
          <w:tcPr/>
          <w:p>
            <w:pPr>
              <w:pStyle w:val="Compact"/>
              <w:jc w:val="left"/>
            </w:pPr>
            <w:hyperlink w:anchor="main-references">
              <w:r>
                <w:rPr>
                  <w:rStyle w:val="Hyperlink"/>
                </w:rPr>
                <w:t xml:space="preserve">U.S. Food and Drug Administration 2000 U.S</w:t>
              </w:r>
            </w:hyperlink>
          </w:p>
        </w:tc>
        <w:tc>
          <w:tcPr/>
          <w:p>
            <w:pPr>
              <w:pStyle w:val="Compact"/>
              <w:jc w:val="left"/>
            </w:pPr>
            <w:r>
              <w:t xml:space="preserve">Healthy Subjects with a single PO dose of 400 mg (Study PH 26024/0101)</w:t>
            </w:r>
          </w:p>
        </w:tc>
      </w:tr>
      <w:tr>
        <w:tc>
          <w:tcPr/>
          <w:p>
            <w:pPr>
              <w:pStyle w:val="Compact"/>
              <w:jc w:val="left"/>
            </w:pPr>
            <w:hyperlink w:anchor="main-references">
              <w:r>
                <w:rPr>
                  <w:rStyle w:val="Hyperlink"/>
                </w:rPr>
                <w:t xml:space="preserve">U.S. Food and Drug Administration 2000 U.S</w:t>
              </w:r>
            </w:hyperlink>
          </w:p>
        </w:tc>
        <w:tc>
          <w:tcPr/>
          <w:p>
            <w:pPr>
              <w:pStyle w:val="Compact"/>
              <w:jc w:val="left"/>
            </w:pPr>
            <w:r>
              <w:t xml:space="preserve">Healthy Subjects with a single PO dose of 600 mg (Study PH 26024/0101)</w:t>
            </w:r>
          </w:p>
        </w:tc>
      </w:tr>
    </w:tbl>
    <w:bookmarkEnd w:id="25"/>
    <w:bookmarkEnd w:id="26"/>
    <w:bookmarkEnd w:id="27"/>
    <w:bookmarkStart w:id="32" w:name="model-parameters-and-assumptions"/>
    <w:p>
      <w:pPr>
        <w:pStyle w:val="Heading2"/>
      </w:pPr>
      <w:r>
        <w:t xml:space="preserve">Model Parameters and Assumptions</w:t>
      </w:r>
      <w:bookmarkStart w:id="model-parameters-and-assumptions" w:name="model-parameters-and-assumptions"/>
      <w:bookmarkEnd w:id="model-parameters-and-assumptions"/>
    </w:p>
    <w:bookmarkStart w:id="28" w:name="absorption"/>
    <w:p>
      <w:pPr>
        <w:pStyle w:val="Heading3"/>
      </w:pPr>
      <w:r>
        <w:t xml:space="preserve">Absorption</w:t>
      </w:r>
      <w:r>
        <w:t xml:space="preserve"> </w:t>
      </w:r>
      <w:bookmarkStart w:id="model-parameters-and-assumptions-absorption" w:name="model-parameters-and-assumptions-absorption"/>
      <w:bookmarkEnd w:id="model-parameters-and-assumptions-absorption"/>
    </w:p>
    <w:p>
      <w:pPr>
        <w:pStyle w:val="FirstParagraph"/>
      </w:pPr>
      <w:r>
        <w:t xml:space="preserve">The parameter value for</w:t>
      </w:r>
      <w:r>
        <w:t xml:space="preserve"> </w:t>
      </w:r>
      <w:r>
        <w:rPr>
          <w:rStyle w:val="VerbatimChar"/>
        </w:rPr>
        <w:t xml:space="preserve">Specific intestinal permeability</w:t>
      </w:r>
      <w:r>
        <w:t xml:space="preserve"> </w:t>
      </w:r>
      <w:r>
        <w:t xml:space="preserve">was based on the passive permeability measured in Caco-2 cell line, see</w:t>
      </w:r>
      <w:r>
        <w:t xml:space="preserve"> </w:t>
      </w:r>
      <w:hyperlink w:anchor="Xa5b1ded4e723b0405536066fc0cd2600f4c274f">
        <w:r>
          <w:rPr>
            <w:rStyle w:val="Hyperlink"/>
          </w:rPr>
          <w:t xml:space="preserve">Section 2.3.4</w:t>
        </w:r>
      </w:hyperlink>
      <w:r>
        <w:t xml:space="preserve"> </w:t>
      </w:r>
      <w:r>
        <w:t xml:space="preserve">(</w:t>
      </w:r>
      <w:hyperlink w:anchor="main-references">
        <w:r>
          <w:rPr>
            <w:rStyle w:val="Hyperlink"/>
          </w:rPr>
          <w:t xml:space="preserve">Litjens 2022</w:t>
        </w:r>
      </w:hyperlink>
      <w:r>
        <w:t xml:space="preserve">). The aqeous solubility in was used in the model (see</w:t>
      </w:r>
      <w:r>
        <w:t xml:space="preserve"> </w:t>
      </w:r>
      <w:hyperlink w:anchor="invitro-and-physico-chemical-data">
        <w:r>
          <w:rPr>
            <w:rStyle w:val="Hyperlink"/>
          </w:rPr>
          <w:t xml:space="preserve">Section 2.2.1</w:t>
        </w:r>
      </w:hyperlink>
      <w:r>
        <w:t xml:space="preserve">) (</w:t>
      </w:r>
      <w:hyperlink w:anchor="main-references">
        <w:r>
          <w:rPr>
            <w:rStyle w:val="Hyperlink"/>
          </w:rPr>
          <w:t xml:space="preserve">U.S. Pharmacist 2023</w:t>
        </w:r>
      </w:hyperlink>
      <w:r>
        <w:t xml:space="preserve">). The dissolution of tablets was implemented via empirical Weibull dissolution.</w:t>
      </w:r>
    </w:p>
    <w:bookmarkEnd w:id="28"/>
    <w:bookmarkStart w:id="29" w:name="distribution"/>
    <w:p>
      <w:pPr>
        <w:pStyle w:val="Heading3"/>
      </w:pPr>
      <w:r>
        <w:t xml:space="preserve">Distribution</w:t>
      </w:r>
      <w:r>
        <w:t xml:space="preserve"> </w:t>
      </w:r>
      <w:bookmarkStart w:id="model-parameters-and-assumptions-distribution" w:name="model-parameters-and-assumptions-distribution"/>
      <w:bookmarkEnd w:id="model-parameters-and-assumptions-distribution"/>
    </w:p>
    <w:p>
      <w:pPr>
        <w:pStyle w:val="FirstParagraph"/>
      </w:pPr>
      <w:r>
        <w:t xml:space="preserve">Moxifloxacin is 40-50 % bound to albumin (see</w:t>
      </w:r>
      <w:r>
        <w:t xml:space="preserve"> </w:t>
      </w:r>
      <w:hyperlink w:anchor="invitro-and-physico-chemical-data">
        <w:r>
          <w:rPr>
            <w:rStyle w:val="Hyperlink"/>
          </w:rPr>
          <w:t xml:space="preserve">Section 2.2.1</w:t>
        </w:r>
      </w:hyperlink>
      <w:r>
        <w:t xml:space="preserve">)</w:t>
      </w:r>
      <w:r>
        <w:t xml:space="preserve"> </w:t>
      </w:r>
      <w:hyperlink w:anchor="main-references">
        <w:r>
          <w:rPr>
            <w:rStyle w:val="Hyperlink"/>
          </w:rPr>
          <w:t xml:space="preserve">Willmann 2019</w:t>
        </w:r>
      </w:hyperlink>
      <w:r>
        <w:t xml:space="preserve">. A value of fu = 55 % was used in this PBPK model for</w:t>
      </w:r>
      <w:r>
        <w:t xml:space="preserve"> </w:t>
      </w:r>
      <w:r>
        <w:rPr>
          <w:rStyle w:val="VerbatimChar"/>
        </w:rPr>
        <w:t xml:space="preserve">Fraction unbound (plasma, reference value)</w:t>
      </w:r>
      <w:r>
        <w:t xml:space="preserve">.</w:t>
      </w:r>
    </w:p>
    <w:p>
      <w:pPr>
        <w:pStyle w:val="BodyText"/>
      </w:pPr>
      <w:r>
        <w:t xml:space="preserve">An important parameter influencing the resulting volume of distribution is lipophilicity. The reported lipophilicity ranged from 0.6 to 1.80, and a value of 1.80 (logMA) was used in this model (see</w:t>
      </w:r>
      <w:r>
        <w:t xml:space="preserve"> </w:t>
      </w:r>
      <w:hyperlink w:anchor="invitro-and-physico-chemical-data">
        <w:r>
          <w:rPr>
            <w:rStyle w:val="Hyperlink"/>
          </w:rPr>
          <w:t xml:space="preserve">Section 2.2.1</w:t>
        </w:r>
      </w:hyperlink>
      <w:r>
        <w:t xml:space="preserve">) (</w:t>
      </w:r>
      <w:hyperlink w:anchor="main-references">
        <w:r>
          <w:rPr>
            <w:rStyle w:val="Hyperlink"/>
          </w:rPr>
          <w:t xml:space="preserve">Willmann 2019</w:t>
        </w:r>
      </w:hyperlink>
      <w:r>
        <w:t xml:space="preserve">).</w:t>
      </w:r>
    </w:p>
    <w:p>
      <w:pPr>
        <w:pStyle w:val="BodyText"/>
      </w:pPr>
      <w:r>
        <w:t xml:space="preserve">After testing the available organ-plasma partition coefficient and cell permeability calculation methods built in PK-Sim, observed clinical data was best described by choosing the partition coefficient calculation by</w:t>
      </w:r>
      <w:r>
        <w:t xml:space="preserve"> </w:t>
      </w:r>
      <w:r>
        <w:rPr>
          <w:rStyle w:val="VerbatimChar"/>
        </w:rPr>
        <w:t xml:space="preserve">Rodgers and Rowland</w:t>
      </w:r>
      <w:r>
        <w:t xml:space="preserve"> </w:t>
      </w:r>
      <w:r>
        <w:t xml:space="preserve">and cellular permeability calculation by</w:t>
      </w:r>
      <w:r>
        <w:t xml:space="preserve"> </w:t>
      </w:r>
      <w:r>
        <w:rPr>
          <w:rStyle w:val="VerbatimChar"/>
        </w:rPr>
        <w:t xml:space="preserve">PK-Sim Standard</w:t>
      </w:r>
      <w:r>
        <w:t xml:space="preserve">.</w:t>
      </w:r>
    </w:p>
    <w:bookmarkEnd w:id="29"/>
    <w:bookmarkStart w:id="30" w:name="metabolism-and-elimination"/>
    <w:p>
      <w:pPr>
        <w:pStyle w:val="Heading3"/>
      </w:pPr>
      <w:r>
        <w:t xml:space="preserve">Metabolism and Elimination</w:t>
      </w:r>
      <w:r>
        <w:t xml:space="preserve"> </w:t>
      </w:r>
      <w:bookmarkStart w:id="model-parameters-and-assumptions-metabolism-and-elimination" w:name="model-parameters-and-assumptions-metabolism-and-elimination"/>
      <w:bookmarkEnd w:id="model-parameters-and-assumptions-metabolism-and-elimination"/>
    </w:p>
    <w:p>
      <w:pPr>
        <w:pStyle w:val="FirstParagraph"/>
      </w:pPr>
      <w:r>
        <w:t xml:space="preserve">The major enzymes involved in the sulfate conjugation (SULT2A1) and glucuronidation (UGT1A1) were included in the PBPK model. The expression profile of SULT2A1 was based on EST. The expression profile of UGT1A1 was based on RT-PCR. Michaelis-Menten kinetics for SULT2A1 were reported in literature, but protein content was not reported. Therefore, SUL2A1 was implemented as a</w:t>
      </w:r>
      <w:r>
        <w:t xml:space="preserve"> </w:t>
      </w:r>
      <w:r>
        <w:rPr>
          <w:rStyle w:val="VerbatimChar"/>
        </w:rPr>
        <w:t xml:space="preserve">Intrinsic clearance - First order</w:t>
      </w:r>
      <w:r>
        <w:t xml:space="preserve"> </w:t>
      </w:r>
      <w:r>
        <w:t xml:space="preserve">process and fitted via Parameter Identification. UGT1A1 was implemented as</w:t>
      </w:r>
      <w:r>
        <w:t xml:space="preserve"> </w:t>
      </w:r>
      <w:r>
        <w:rPr>
          <w:rStyle w:val="VerbatimChar"/>
        </w:rPr>
        <w:t xml:space="preserve">In vitro metabolic rate in the presence of recombinant CYPs/enzymes - First order</w:t>
      </w:r>
      <w:r>
        <w:t xml:space="preserve"> </w:t>
      </w:r>
      <w:r>
        <w:t xml:space="preserve">parametrized based on the reported intrinsic clearance of 0.058 µL/min/pmol enzyme, derived via retrograde calculation (</w:t>
      </w:r>
      <w:hyperlink w:anchor="main-references">
        <w:r>
          <w:rPr>
            <w:rStyle w:val="Hyperlink"/>
          </w:rPr>
          <w:t xml:space="preserve">Litjens 2022</w:t>
        </w:r>
      </w:hyperlink>
      <w:r>
        <w:t xml:space="preserve">). SULT2A1</w:t>
      </w:r>
      <w:r>
        <w:t xml:space="preserve"> </w:t>
      </w:r>
      <w:r>
        <w:rPr>
          <w:rStyle w:val="VerbatimChar"/>
        </w:rPr>
        <w:t xml:space="preserve">specific clearance</w:t>
      </w:r>
      <w:r>
        <w:t xml:space="preserve"> </w:t>
      </w:r>
      <w:r>
        <w:t xml:space="preserve">and UGT1A1</w:t>
      </w:r>
      <w:r>
        <w:t xml:space="preserve"> </w:t>
      </w:r>
      <w:r>
        <w:rPr>
          <w:rStyle w:val="VerbatimChar"/>
        </w:rPr>
        <w:t xml:space="preserve">CLspec/[Enzyme]</w:t>
      </w:r>
      <w:r>
        <w:t xml:space="preserve"> </w:t>
      </w:r>
      <w:r>
        <w:t xml:space="preserve">were fitted to observed fractions metabolized (38 % sulfate conjugation and 14 % glucuronidation) via Parameter Identification.</w:t>
      </w:r>
    </w:p>
    <w:p>
      <w:pPr>
        <w:pStyle w:val="BodyText"/>
      </w:pPr>
      <w:r>
        <w:t xml:space="preserve">Renal clearance clearance contributes to about 20 % of the metabolism and elimination of moxifloxacin. The renal clearance was derived from the reported in vivo clearance (2.61 L/h for a 85 kg subject) (</w:t>
      </w:r>
      <w:hyperlink w:anchor="main-references">
        <w:r>
          <w:rPr>
            <w:rStyle w:val="Hyperlink"/>
          </w:rPr>
          <w:t xml:space="preserve">Stass and Kabitza 1999</w:t>
        </w:r>
      </w:hyperlink>
      <w:r>
        <w:t xml:space="preserve">). Biliary clearance was derived from the in vivo clearance, assuming it contributed 25 % of the total clearance (11.6 L/h for a 85 kg subject). Enterohepatic recirculation was implemented assuming EHC contibuous fraction equal to 1.</w:t>
      </w:r>
    </w:p>
    <w:bookmarkEnd w:id="30"/>
    <w:bookmarkStart w:id="31" w:name="automated-parameter-identification"/>
    <w:p>
      <w:pPr>
        <w:pStyle w:val="Heading3"/>
      </w:pPr>
      <w:r>
        <w:t xml:space="preserve">Automated Parameter Identification</w:t>
      </w:r>
      <w:r>
        <w:t xml:space="preserve"> </w:t>
      </w:r>
      <w:bookmarkStart w:id="model-parameters-and-assumptions-parameter-identification" w:name="model-parameters-and-assumptions-parameter-identification"/>
      <w:bookmarkEnd w:id="model-parameters-and-assumptions-parameter-identification"/>
    </w:p>
    <w:p>
      <w:pPr>
        <w:pStyle w:val="FirstParagraph"/>
      </w:pPr>
      <w:r>
        <w:t xml:space="preserve">The following parameters have been estimated in the model:</w:t>
      </w:r>
    </w:p>
    <w:tbl>
      <w:tblPr>
        <w:tblStyle w:val="Table"/>
        <w:tblW w:type="auto" w:w="0"/>
        <w:tblLook w:firstRow="1" w:lastRow="0" w:firstColumn="0" w:lastColumn="0" w:noHBand="0" w:noVBand="0" w:val="0020"/>
      </w:tblPr>
      <w:tblGrid>
        <w:gridCol w:w="7920"/>
      </w:tblGrid>
      <w:tr>
        <w:trPr>
          <w:tblHeader w:val="on"/>
        </w:trPr>
        <w:tc>
          <w:tcPr/>
          <w:p>
            <w:pPr>
              <w:pStyle w:val="Compact"/>
              <w:jc w:val="left"/>
            </w:pPr>
            <w:r>
              <w:t xml:space="preserve">Model Parameter</w:t>
            </w:r>
          </w:p>
        </w:tc>
      </w:tr>
      <w:tr>
        <w:tc>
          <w:tcPr/>
          <w:p>
            <w:pPr>
              <w:pStyle w:val="Compact"/>
              <w:jc w:val="left"/>
            </w:pPr>
            <w:r>
              <w:rPr>
                <w:rStyle w:val="VerbatimChar"/>
              </w:rPr>
              <w:t xml:space="preserve">specific clearance</w:t>
            </w:r>
            <w:r>
              <w:t xml:space="preserve"> </w:t>
            </w:r>
            <w:r>
              <w:t xml:space="preserve">(SULT2A1)</w:t>
            </w:r>
          </w:p>
        </w:tc>
      </w:tr>
      <w:tr>
        <w:tc>
          <w:tcPr/>
          <w:p>
            <w:pPr>
              <w:pStyle w:val="Compact"/>
              <w:jc w:val="left"/>
            </w:pPr>
            <w:r>
              <w:rPr>
                <w:rStyle w:val="VerbatimChar"/>
              </w:rPr>
              <w:t xml:space="preserve">CLspec/[Enzyme]</w:t>
            </w:r>
            <w:r>
              <w:t xml:space="preserve"> </w:t>
            </w:r>
            <w:r>
              <w:t xml:space="preserve">(UGT1A1)</w:t>
            </w:r>
          </w:p>
        </w:tc>
      </w:tr>
    </w:tbl>
    <w:bookmarkEnd w:id="31"/>
    <w:bookmarkEnd w:id="32"/>
    <w:bookmarkEnd w:id="33"/>
    <w:bookmarkStart w:id="99" w:name="results-and-discussion"/>
    <w:p>
      <w:pPr>
        <w:pStyle w:val="Heading1"/>
      </w:pPr>
      <w:r>
        <w:t xml:space="preserve">Results and Discussion</w:t>
      </w:r>
      <w:bookmarkStart w:id="results-and-discussion" w:name="results-and-discussion"/>
      <w:bookmarkEnd w:id="results-and-discussion"/>
    </w:p>
    <w:p>
      <w:pPr>
        <w:pStyle w:val="FirstParagraph"/>
      </w:pPr>
      <w:r>
        <w:t xml:space="preserve">The PBPK model for moxifloxacin was developed and verified with clinical pharmacokinetic data.</w:t>
      </w:r>
    </w:p>
    <w:p>
      <w:pPr>
        <w:pStyle w:val="BodyText"/>
      </w:pPr>
      <w:r>
        <w:t xml:space="preserve">The model was evaluated covering data from studies including in particular</w:t>
      </w:r>
    </w:p>
    <w:p>
      <w:pPr>
        <w:pStyle w:val="Compact"/>
        <w:numPr>
          <w:ilvl w:val="0"/>
          <w:numId w:val="1002"/>
        </w:numPr>
      </w:pPr>
      <w:r>
        <w:t xml:space="preserve">Intravenous and oral administration of 400 mg (</w:t>
      </w:r>
      <w:hyperlink w:anchor="Xa559bd5247f9128e74e6edcc17de37648e8cde6">
        <w:r>
          <w:rPr>
            <w:rStyle w:val="Hyperlink"/>
          </w:rPr>
          <w:t xml:space="preserve">U.S. Food and Drug Administration 2000 U.S</w:t>
        </w:r>
      </w:hyperlink>
      <w:r>
        <w:t xml:space="preserve">)</w:t>
      </w:r>
    </w:p>
    <w:p>
      <w:pPr>
        <w:pStyle w:val="Compact"/>
        <w:numPr>
          <w:ilvl w:val="0"/>
          <w:numId w:val="1002"/>
        </w:numPr>
      </w:pPr>
      <w:r>
        <w:t xml:space="preserve">Intravenous and oral administration of 100 mg (</w:t>
      </w:r>
      <w:hyperlink w:anchor="Xa559bd5247f9128e74e6edcc17de37648e8cde6">
        <w:r>
          <w:rPr>
            <w:rStyle w:val="Hyperlink"/>
          </w:rPr>
          <w:t xml:space="preserve">Siefert 1999</w:t>
        </w:r>
      </w:hyperlink>
      <w:r>
        <w:t xml:space="preserve">)</w:t>
      </w:r>
    </w:p>
    <w:p>
      <w:pPr>
        <w:pStyle w:val="Compact"/>
        <w:numPr>
          <w:ilvl w:val="0"/>
          <w:numId w:val="1002"/>
        </w:numPr>
      </w:pPr>
      <w:r>
        <w:t xml:space="preserve">Single oral administration of doses ranging between 60 and 600 mg (</w:t>
      </w:r>
      <w:hyperlink w:anchor="Xa559bd5247f9128e74e6edcc17de37648e8cde6">
        <w:r>
          <w:rPr>
            <w:rStyle w:val="Hyperlink"/>
          </w:rPr>
          <w:t xml:space="preserve">U.S. Food and Drug Administration 2000 U.S</w:t>
        </w:r>
      </w:hyperlink>
      <w:r>
        <w:t xml:space="preserve">)</w:t>
      </w:r>
    </w:p>
    <w:p>
      <w:pPr>
        <w:pStyle w:val="FirstParagraph"/>
      </w:pPr>
      <w:r>
        <w:t xml:space="preserve">The model quantifies moxifloxacin metabolism via glucuronidation and sulfate conjugation, and elimination via renal and biliary clearance.</w:t>
      </w:r>
    </w:p>
    <w:p>
      <w:pPr>
        <w:pStyle w:val="BodyText"/>
      </w:pPr>
      <w:r>
        <w:t xml:space="preserve">The next sections show:</w:t>
      </w:r>
    </w:p>
    <w:p>
      <w:pPr>
        <w:pStyle w:val="Compact"/>
        <w:numPr>
          <w:ilvl w:val="0"/>
          <w:numId w:val="1003"/>
        </w:numPr>
      </w:pPr>
      <w:r>
        <w:t xml:space="preserve">the final model parameters for the building blocks:</w:t>
      </w:r>
      <w:r>
        <w:t xml:space="preserve"> </w:t>
      </w:r>
      <w:hyperlink w:anchor="final-input-parameters">
        <w:r>
          <w:rPr>
            <w:rStyle w:val="Hyperlink"/>
          </w:rPr>
          <w:t xml:space="preserve">Section 3.1</w:t>
        </w:r>
      </w:hyperlink>
      <w:r>
        <w:t xml:space="preserve">.</w:t>
      </w:r>
    </w:p>
    <w:p>
      <w:pPr>
        <w:pStyle w:val="Compact"/>
        <w:numPr>
          <w:ilvl w:val="0"/>
          <w:numId w:val="1003"/>
        </w:numPr>
      </w:pPr>
      <w:r>
        <w:t xml:space="preserve">the overall goodness of fit:</w:t>
      </w:r>
      <w:r>
        <w:t xml:space="preserve"> </w:t>
      </w:r>
      <w:hyperlink w:anchor="diagnostics-plots">
        <w:r>
          <w:rPr>
            <w:rStyle w:val="Hyperlink"/>
          </w:rPr>
          <w:t xml:space="preserve">Section 3.2</w:t>
        </w:r>
      </w:hyperlink>
      <w:r>
        <w:t xml:space="preserve">.</w:t>
      </w:r>
    </w:p>
    <w:p>
      <w:pPr>
        <w:pStyle w:val="Compact"/>
        <w:numPr>
          <w:ilvl w:val="0"/>
          <w:numId w:val="1003"/>
        </w:numPr>
      </w:pPr>
      <w:r>
        <w:t xml:space="preserve">simulated vs. observed concentration-time profiles for the clinical studies used for model building and for model verification:</w:t>
      </w:r>
      <w:r>
        <w:t xml:space="preserve"> </w:t>
      </w:r>
      <w:hyperlink w:anchor="ct-profiles">
        <w:r>
          <w:rPr>
            <w:rStyle w:val="Hyperlink"/>
          </w:rPr>
          <w:t xml:space="preserve">Section 3.3</w:t>
        </w:r>
      </w:hyperlink>
      <w:r>
        <w:t xml:space="preserve">.</w:t>
      </w:r>
    </w:p>
    <w:bookmarkStart w:id="48" w:name="final-input-parameters"/>
    <w:p>
      <w:pPr>
        <w:pStyle w:val="Heading2"/>
      </w:pPr>
      <w:r>
        <w:t xml:space="preserve">Final input parameters</w:t>
      </w:r>
      <w:bookmarkStart w:id="final-input-parameters" w:name="final-input-parameters"/>
      <w:bookmarkEnd w:id="final-input-parameters"/>
    </w:p>
    <w:p>
      <w:pPr>
        <w:pStyle w:val="FirstParagraph"/>
      </w:pPr>
      <w:r>
        <w:t xml:space="preserve">The compound parameter values of the final PBPK model are illustrated below.</w:t>
      </w:r>
    </w:p>
    <w:bookmarkStart w:id="45" w:name="compound-moxifloxacin"/>
    <w:p>
      <w:pPr>
        <w:pStyle w:val="Heading3"/>
      </w:pPr>
      <w:r>
        <w:t xml:space="preserve">Compound: Moxifloxacin</w:t>
      </w:r>
    </w:p>
    <w:bookmarkStart w:id="34" w:name="parameters"/>
    <w:p>
      <w:pPr>
        <w:pStyle w:val="Heading4"/>
      </w:pPr>
      <w:r>
        <w:t xml:space="preserve">Parameters</w:t>
      </w:r>
    </w:p>
    <w:tbl>
      <w:tblPr>
        <w:tblStyle w:val="Table"/>
        <w:tblW w:type="pct" w:w="5000"/>
        <w:tblLayout w:type="fixed"/>
        <w:tblLook w:firstRow="1" w:lastRow="0" w:firstColumn="0" w:lastColumn="0" w:noHBand="0" w:noVBand="0" w:val="0020"/>
      </w:tblPr>
      <w:tblGrid>
        <w:gridCol w:w="2210"/>
        <w:gridCol w:w="598"/>
        <w:gridCol w:w="4236"/>
        <w:gridCol w:w="552"/>
        <w:gridCol w:w="322"/>
      </w:tblGrid>
      <w:tr>
        <w:trPr>
          <w:tblHeader w:val="on"/>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c>
          <w:tcPr/>
          <w:p>
            <w:pPr>
              <w:pStyle w:val="Compact"/>
              <w:jc w:val="left"/>
            </w:pPr>
            <w:r>
              <w:t xml:space="preserve">Alternative</w:t>
            </w:r>
          </w:p>
        </w:tc>
        <w:tc>
          <w:tcPr/>
          <w:p>
            <w:pPr>
              <w:pStyle w:val="Compact"/>
              <w:jc w:val="left"/>
            </w:pPr>
            <w:r>
              <w:t xml:space="preserve">Default</w:t>
            </w:r>
          </w:p>
        </w:tc>
      </w:tr>
      <w:tr>
        <w:tc>
          <w:tcPr/>
          <w:p>
            <w:pPr>
              <w:pStyle w:val="Compact"/>
              <w:jc w:val="left"/>
            </w:pPr>
            <w:r>
              <w:t xml:space="preserve">Solubility at reference pH</w:t>
            </w:r>
          </w:p>
        </w:tc>
        <w:tc>
          <w:tcPr/>
          <w:p>
            <w:pPr>
              <w:pStyle w:val="Compact"/>
              <w:jc w:val="left"/>
            </w:pPr>
            <w:r>
              <w:t xml:space="preserve">2.9 mg/ml</w:t>
            </w:r>
          </w:p>
        </w:tc>
        <w:tc>
          <w:tcPr/>
          <w:p>
            <w:pPr>
              <w:pStyle w:val="Compact"/>
              <w:jc w:val="left"/>
            </w:pPr>
            <w:r>
              <w:t xml:space="preserve">Internet-In Vitro-https://www.uspharmacist.com/article/moxifloxacin-20-mg-ml-oral-suspension</w:t>
            </w:r>
          </w:p>
        </w:tc>
        <w:tc>
          <w:tcPr/>
          <w:p>
            <w:pPr>
              <w:pStyle w:val="Compact"/>
              <w:jc w:val="left"/>
            </w:pPr>
            <w:r>
              <w:t xml:space="preserve">Measurement</w:t>
            </w:r>
          </w:p>
        </w:tc>
        <w:tc>
          <w:tcPr/>
          <w:p>
            <w:pPr>
              <w:pStyle w:val="Compact"/>
              <w:jc w:val="left"/>
            </w:pPr>
            <w:r>
              <w:t xml:space="preserve">True</w:t>
            </w:r>
          </w:p>
        </w:tc>
      </w:tr>
      <w:tr>
        <w:tc>
          <w:tcPr/>
          <w:p>
            <w:pPr>
              <w:pStyle w:val="Compact"/>
              <w:jc w:val="left"/>
            </w:pPr>
            <w:r>
              <w:t xml:space="preserve">Reference pH</w:t>
            </w:r>
          </w:p>
        </w:tc>
        <w:tc>
          <w:tcPr/>
          <w:p>
            <w:pPr>
              <w:pStyle w:val="Compact"/>
              <w:jc w:val="left"/>
            </w:pPr>
            <w:r>
              <w:t xml:space="preserve">7</w:t>
            </w:r>
          </w:p>
        </w:tc>
        <w:tc>
          <w:tcPr/>
          <w:p>
            <w:pPr>
              <w:pStyle w:val="Compact"/>
              <w:jc w:val="left"/>
            </w:pPr>
            <w:r>
              <w:t xml:space="preserve">Internet-In Vitro-https://www.uspharmacist.com/article/moxifloxacin-20-mg-ml-oral-suspension</w:t>
            </w:r>
          </w:p>
        </w:tc>
        <w:tc>
          <w:tcPr/>
          <w:p>
            <w:pPr>
              <w:pStyle w:val="Compact"/>
              <w:jc w:val="left"/>
            </w:pPr>
            <w:r>
              <w:t xml:space="preserve">Measurement</w:t>
            </w:r>
          </w:p>
        </w:tc>
        <w:tc>
          <w:tcPr/>
          <w:p>
            <w:pPr>
              <w:pStyle w:val="Compact"/>
              <w:jc w:val="left"/>
            </w:pPr>
            <w:r>
              <w:t xml:space="preserve">True</w:t>
            </w:r>
          </w:p>
        </w:tc>
      </w:tr>
      <w:tr>
        <w:tc>
          <w:tcPr/>
          <w:p>
            <w:pPr>
              <w:pStyle w:val="Compact"/>
              <w:jc w:val="left"/>
            </w:pPr>
            <w:r>
              <w:t xml:space="preserve">Lipophilicity</w:t>
            </w:r>
          </w:p>
        </w:tc>
        <w:tc>
          <w:tcPr/>
          <w:p>
            <w:pPr>
              <w:pStyle w:val="Compact"/>
              <w:jc w:val="left"/>
            </w:pPr>
            <w:r>
              <w:t xml:space="preserve">1.8 Log Units</w:t>
            </w:r>
          </w:p>
        </w:tc>
        <w:tc>
          <w:tcPr/>
          <w:p>
            <w:pPr>
              <w:pStyle w:val="Compact"/>
              <w:jc w:val="left"/>
            </w:pPr>
            <w:r>
              <w:t xml:space="preserve">Publication-Other-Willmann 2019</w:t>
            </w:r>
          </w:p>
        </w:tc>
        <w:tc>
          <w:tcPr/>
          <w:p>
            <w:pPr>
              <w:pStyle w:val="Compact"/>
              <w:jc w:val="left"/>
            </w:pPr>
            <w:r>
              <w:t xml:space="preserve">Measurement</w:t>
            </w:r>
          </w:p>
        </w:tc>
        <w:tc>
          <w:tcPr/>
          <w:p>
            <w:pPr>
              <w:pStyle w:val="Compact"/>
              <w:jc w:val="left"/>
            </w:pPr>
            <w:r>
              <w:t xml:space="preserve">True</w:t>
            </w:r>
          </w:p>
        </w:tc>
      </w:tr>
      <w:tr>
        <w:tc>
          <w:tcPr/>
          <w:p>
            <w:pPr>
              <w:pStyle w:val="Compact"/>
              <w:jc w:val="left"/>
            </w:pPr>
            <w:r>
              <w:t xml:space="preserve">Fraction unbound (plasma, reference value)</w:t>
            </w:r>
          </w:p>
        </w:tc>
        <w:tc>
          <w:tcPr/>
          <w:p>
            <w:pPr>
              <w:pStyle w:val="Compact"/>
              <w:jc w:val="left"/>
            </w:pPr>
            <w:r>
              <w:t xml:space="preserve">0.55</w:t>
            </w:r>
          </w:p>
        </w:tc>
        <w:tc>
          <w:tcPr/>
          <w:p>
            <w:pPr>
              <w:pStyle w:val="Compact"/>
              <w:jc w:val="left"/>
            </w:pPr>
            <w:r>
              <w:t xml:space="preserve">Publication-In Vitro-Willmann 2019</w:t>
            </w:r>
          </w:p>
        </w:tc>
        <w:tc>
          <w:tcPr/>
          <w:p>
            <w:pPr>
              <w:pStyle w:val="Compact"/>
              <w:jc w:val="left"/>
            </w:pPr>
            <w:r>
              <w:t xml:space="preserve">Measurement</w:t>
            </w:r>
          </w:p>
        </w:tc>
        <w:tc>
          <w:tcPr/>
          <w:p>
            <w:pPr>
              <w:pStyle w:val="Compact"/>
              <w:jc w:val="left"/>
            </w:pPr>
            <w:r>
              <w:t xml:space="preserve">True</w:t>
            </w:r>
          </w:p>
        </w:tc>
      </w:tr>
      <w:tr>
        <w:tc>
          <w:tcPr/>
          <w:p>
            <w:pPr>
              <w:pStyle w:val="Compact"/>
              <w:jc w:val="left"/>
            </w:pPr>
            <w:r>
              <w:t xml:space="preserve">Specific intestinal permeability (transcellular)</w:t>
            </w:r>
          </w:p>
        </w:tc>
        <w:tc>
          <w:tcPr/>
          <w:p>
            <w:pPr>
              <w:pStyle w:val="Compact"/>
              <w:jc w:val="left"/>
            </w:pPr>
            <w:r>
              <w:t xml:space="preserve">1.15E-05 cm/s</w:t>
            </w:r>
          </w:p>
        </w:tc>
        <w:tc>
          <w:tcPr/>
          <w:p>
            <w:pPr>
              <w:pStyle w:val="Compact"/>
              <w:jc w:val="left"/>
            </w:pPr>
            <w:r>
              <w:t xml:space="preserve">Publication-In Vitro-Litjens 2022</w:t>
            </w:r>
          </w:p>
        </w:tc>
        <w:tc>
          <w:tcPr/>
          <w:p>
            <w:pPr>
              <w:pStyle w:val="Compact"/>
              <w:jc w:val="left"/>
            </w:pPr>
            <w:r>
              <w:t xml:space="preserve">Litjens 2022</w:t>
            </w:r>
          </w:p>
        </w:tc>
        <w:tc>
          <w:tcPr/>
          <w:p>
            <w:pPr>
              <w:pStyle w:val="Compact"/>
              <w:jc w:val="left"/>
            </w:pPr>
            <w:r>
              <w:t xml:space="preserve">True</w:t>
            </w:r>
          </w:p>
        </w:tc>
      </w:tr>
      <w:tr>
        <w:tc>
          <w:tcPr/>
          <w:p>
            <w:pPr>
              <w:pStyle w:val="Compact"/>
              <w:jc w:val="left"/>
            </w:pPr>
            <w:r>
              <w:t xml:space="preserve">F</w:t>
            </w:r>
          </w:p>
        </w:tc>
        <w:tc>
          <w:tcPr/>
          <w:p>
            <w:pPr>
              <w:pStyle w:val="Compact"/>
              <w:jc w:val="left"/>
            </w:pPr>
            <w:r>
              <w:t xml:space="preserve">1</w:t>
            </w:r>
          </w:p>
        </w:tc>
        <w:tc>
          <w:tcPr/>
          <w:p>
            <w:pPr>
              <w:pStyle w:val="Compact"/>
            </w:pPr>
          </w:p>
        </w:tc>
        <w:tc>
          <w:tcPr/>
          <w:p>
            <w:pPr>
              <w:pStyle w:val="Compact"/>
            </w:pPr>
          </w:p>
        </w:tc>
        <w:tc>
          <w:tcPr/>
          <w:p>
            <w:pPr>
              <w:pStyle w:val="Compact"/>
            </w:pPr>
          </w:p>
        </w:tc>
      </w:tr>
      <w:tr>
        <w:tc>
          <w:tcPr/>
          <w:p>
            <w:pPr>
              <w:pStyle w:val="Compact"/>
              <w:jc w:val="left"/>
            </w:pPr>
            <w:r>
              <w:t xml:space="preserve">Is small molecule</w:t>
            </w:r>
          </w:p>
        </w:tc>
        <w:tc>
          <w:tcPr/>
          <w:p>
            <w:pPr>
              <w:pStyle w:val="Compact"/>
              <w:jc w:val="left"/>
            </w:pPr>
            <w:r>
              <w:t xml:space="preserve">Yes</w:t>
            </w:r>
          </w:p>
        </w:tc>
        <w:tc>
          <w:tcPr/>
          <w:p>
            <w:pPr>
              <w:pStyle w:val="Compact"/>
            </w:pPr>
          </w:p>
        </w:tc>
        <w:tc>
          <w:tcPr/>
          <w:p>
            <w:pPr>
              <w:pStyle w:val="Compact"/>
            </w:pPr>
          </w:p>
        </w:tc>
        <w:tc>
          <w:tcPr/>
          <w:p>
            <w:pPr>
              <w:pStyle w:val="Compact"/>
            </w:pPr>
          </w:p>
        </w:tc>
      </w:tr>
      <w:tr>
        <w:tc>
          <w:tcPr/>
          <w:p>
            <w:pPr>
              <w:pStyle w:val="Compact"/>
              <w:jc w:val="left"/>
            </w:pPr>
            <w:r>
              <w:t xml:space="preserve">Molecular weight</w:t>
            </w:r>
          </w:p>
        </w:tc>
        <w:tc>
          <w:tcPr/>
          <w:p>
            <w:pPr>
              <w:pStyle w:val="Compact"/>
              <w:jc w:val="left"/>
            </w:pPr>
            <w:r>
              <w:t xml:space="preserve">401.4 g/mol</w:t>
            </w:r>
          </w:p>
        </w:tc>
        <w:tc>
          <w:tcPr/>
          <w:p>
            <w:pPr>
              <w:pStyle w:val="Compact"/>
            </w:pPr>
          </w:p>
        </w:tc>
        <w:tc>
          <w:tcPr/>
          <w:p>
            <w:pPr>
              <w:pStyle w:val="Compact"/>
            </w:pPr>
          </w:p>
        </w:tc>
        <w:tc>
          <w:tcPr/>
          <w:p>
            <w:pPr>
              <w:pStyle w:val="Compact"/>
            </w:pPr>
          </w:p>
        </w:tc>
      </w:tr>
      <w:tr>
        <w:tc>
          <w:tcPr/>
          <w:p>
            <w:pPr>
              <w:pStyle w:val="Compact"/>
              <w:jc w:val="left"/>
            </w:pPr>
            <w:r>
              <w:t xml:space="preserve">Plasma protein binding partner</w:t>
            </w:r>
          </w:p>
        </w:tc>
        <w:tc>
          <w:tcPr/>
          <w:p>
            <w:pPr>
              <w:pStyle w:val="Compact"/>
              <w:jc w:val="left"/>
            </w:pPr>
            <w:r>
              <w:t xml:space="preserve">Albumin</w:t>
            </w:r>
          </w:p>
        </w:tc>
        <w:tc>
          <w:tcPr/>
          <w:p>
            <w:pPr>
              <w:pStyle w:val="Compact"/>
            </w:pPr>
          </w:p>
        </w:tc>
        <w:tc>
          <w:tcPr/>
          <w:p>
            <w:pPr>
              <w:pStyle w:val="Compact"/>
            </w:pPr>
          </w:p>
        </w:tc>
        <w:tc>
          <w:tcPr/>
          <w:p>
            <w:pPr>
              <w:pStyle w:val="Compact"/>
            </w:pPr>
          </w:p>
        </w:tc>
      </w:tr>
    </w:tbl>
    <w:bookmarkEnd w:id="34"/>
    <w:bookmarkStart w:id="35" w:name="calculation-methods"/>
    <w:p>
      <w:pPr>
        <w:pStyle w:val="Heading4"/>
      </w:pPr>
      <w:r>
        <w:t xml:space="preserve">Calculation methods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Name</w:t>
            </w:r>
          </w:p>
        </w:tc>
        <w:tc>
          <w:tcPr/>
          <w:p>
            <w:pPr>
              <w:pStyle w:val="Compact"/>
              <w:jc w:val="left"/>
            </w:pPr>
            <w:r>
              <w:t xml:space="preserve">Value</w:t>
            </w:r>
          </w:p>
        </w:tc>
      </w:tr>
      <w:tr>
        <w:tc>
          <w:tcPr/>
          <w:p>
            <w:pPr>
              <w:pStyle w:val="Compact"/>
              <w:jc w:val="left"/>
            </w:pPr>
            <w:r>
              <w:t xml:space="preserve">Partition coefficients</w:t>
            </w:r>
          </w:p>
        </w:tc>
        <w:tc>
          <w:tcPr/>
          <w:p>
            <w:pPr>
              <w:pStyle w:val="Compact"/>
              <w:jc w:val="left"/>
            </w:pPr>
            <w:r>
              <w:t xml:space="preserve">Rodgers and Rowland</w:t>
            </w:r>
          </w:p>
        </w:tc>
      </w:tr>
      <w:tr>
        <w:tc>
          <w:tcPr/>
          <w:p>
            <w:pPr>
              <w:pStyle w:val="Compact"/>
              <w:jc w:val="left"/>
            </w:pPr>
            <w:r>
              <w:t xml:space="preserve">Cellular permeabilities</w:t>
            </w:r>
          </w:p>
        </w:tc>
        <w:tc>
          <w:tcPr/>
          <w:p>
            <w:pPr>
              <w:pStyle w:val="Compact"/>
              <w:jc w:val="left"/>
            </w:pPr>
            <w:r>
              <w:t xml:space="preserve">PK-Sim Standard</w:t>
            </w:r>
          </w:p>
        </w:tc>
      </w:tr>
    </w:tbl>
    <w:bookmarkEnd w:id="35"/>
    <w:bookmarkStart w:id="44" w:name="processes"/>
    <w:p>
      <w:pPr>
        <w:pStyle w:val="Heading4"/>
      </w:pPr>
      <w:r>
        <w:t xml:space="preserve">Processes</w:t>
      </w:r>
    </w:p>
    <w:bookmarkStart w:id="37" w:name="metabolizing-enzyme-sult2a1-fit"/>
    <w:p>
      <w:pPr>
        <w:pStyle w:val="Heading5"/>
      </w:pPr>
      <w:r>
        <w:t xml:space="preserve">Metabolizing Enzyme: SULT2A1-Fit</w:t>
      </w:r>
    </w:p>
    <w:p>
      <w:pPr>
        <w:pStyle w:val="FirstParagraph"/>
      </w:pPr>
      <w:r>
        <w:t xml:space="preserve">Species: Human</w:t>
      </w:r>
    </w:p>
    <w:p>
      <w:pPr>
        <w:pStyle w:val="BodyText"/>
      </w:pPr>
      <w:r>
        <w:t xml:space="preserve">Molecule: SULT2A1</w:t>
      </w:r>
    </w:p>
    <w:bookmarkStart w:id="36" w:name="parameters-1"/>
    <w:p>
      <w:pPr>
        <w:pStyle w:val="Heading6"/>
      </w:pPr>
      <w:r>
        <w:t xml:space="preserve">Parameters</w:t>
      </w:r>
    </w:p>
    <w:tbl>
      <w:tblPr>
        <w:tblStyle w:val="Table"/>
        <w:tblW w:type="pct" w:w="5000"/>
        <w:tblLayout w:type="fixed"/>
        <w:tblLook w:firstRow="1" w:lastRow="0" w:firstColumn="0" w:lastColumn="0" w:noHBand="0" w:noVBand="0" w:val="0020"/>
      </w:tblPr>
      <w:tblGrid>
        <w:gridCol w:w="1157"/>
        <w:gridCol w:w="1096"/>
        <w:gridCol w:w="5665"/>
      </w:tblGrid>
      <w:tr>
        <w:trPr>
          <w:tblHeader w:val="on"/>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Intrinsic clearance</w:t>
            </w:r>
          </w:p>
        </w:tc>
        <w:tc>
          <w:tcPr/>
          <w:p>
            <w:pPr>
              <w:pStyle w:val="Compact"/>
              <w:jc w:val="left"/>
            </w:pPr>
            <w:r>
              <w:t xml:space="preserve">0.1 l/min</w:t>
            </w:r>
          </w:p>
        </w:tc>
        <w:tc>
          <w:tcPr/>
          <w:p>
            <w:pPr>
              <w:pStyle w:val="Compact"/>
            </w:pPr>
          </w:p>
        </w:tc>
      </w:tr>
      <w:tr>
        <w:tc>
          <w:tcPr/>
          <w:p>
            <w:pPr>
              <w:pStyle w:val="Compact"/>
              <w:jc w:val="left"/>
            </w:pPr>
            <w:r>
              <w:t xml:space="preserve">Specific clearance</w:t>
            </w:r>
          </w:p>
        </w:tc>
        <w:tc>
          <w:tcPr/>
          <w:p>
            <w:pPr>
              <w:pStyle w:val="Compact"/>
              <w:jc w:val="left"/>
            </w:pPr>
            <w:r>
              <w:t xml:space="preserve">0.0187322414 1/min</w:t>
            </w:r>
          </w:p>
        </w:tc>
        <w:tc>
          <w:tcPr/>
          <w:p>
            <w:pPr>
              <w:pStyle w:val="Compact"/>
              <w:jc w:val="left"/>
            </w:pPr>
            <w:r>
              <w:t xml:space="preserve">Parameter Identification-Parameter Identification-Value updated from</w:t>
            </w:r>
            <w:r>
              <w:t xml:space="preserve"> </w:t>
            </w:r>
            <w:r>
              <w:t xml:space="preserve">‘</w:t>
            </w:r>
            <w:r>
              <w:t xml:space="preserve">IV</w:t>
            </w:r>
            <w:r>
              <w:t xml:space="preserve">’</w:t>
            </w:r>
            <w:r>
              <w:t xml:space="preserve"> </w:t>
            </w:r>
            <w:r>
              <w:t xml:space="preserve">on 2025-08-21 17:37</w:t>
            </w:r>
          </w:p>
        </w:tc>
      </w:tr>
    </w:tbl>
    <w:bookmarkEnd w:id="36"/>
    <w:bookmarkEnd w:id="37"/>
    <w:bookmarkStart w:id="39" w:name="metabolizing-enzyme-ugt1a1-litjens-2022"/>
    <w:p>
      <w:pPr>
        <w:pStyle w:val="Heading5"/>
      </w:pPr>
      <w:r>
        <w:t xml:space="preserve">Metabolizing Enzyme: UGT1A1-Litjens 2022</w:t>
      </w:r>
    </w:p>
    <w:p>
      <w:pPr>
        <w:pStyle w:val="FirstParagraph"/>
      </w:pPr>
      <w:r>
        <w:t xml:space="preserve">Molecule: UGT1A1</w:t>
      </w:r>
    </w:p>
    <w:bookmarkStart w:id="38" w:name="parameters-2"/>
    <w:p>
      <w:pPr>
        <w:pStyle w:val="Heading6"/>
      </w:pPr>
      <w:r>
        <w:t xml:space="preserve">Parameters</w:t>
      </w:r>
    </w:p>
    <w:tbl>
      <w:tblPr>
        <w:tblStyle w:val="Table"/>
        <w:tblW w:type="pct" w:w="5000"/>
        <w:tblLayout w:type="fixed"/>
        <w:tblLook w:firstRow="1" w:lastRow="0" w:firstColumn="0" w:lastColumn="0" w:noHBand="0" w:noVBand="0" w:val="0020"/>
      </w:tblPr>
      <w:tblGrid>
        <w:gridCol w:w="1563"/>
        <w:gridCol w:w="1511"/>
        <w:gridCol w:w="4845"/>
      </w:tblGrid>
      <w:tr>
        <w:trPr>
          <w:tblHeader w:val="on"/>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In vitro CL/recombinant enzyme</w:t>
            </w:r>
          </w:p>
        </w:tc>
        <w:tc>
          <w:tcPr/>
          <w:p>
            <w:pPr>
              <w:pStyle w:val="Compact"/>
              <w:jc w:val="left"/>
            </w:pPr>
            <w:r>
              <w:t xml:space="preserve">0.058 µl/min/pmol rec. enzyme</w:t>
            </w:r>
          </w:p>
        </w:tc>
        <w:tc>
          <w:tcPr/>
          <w:p>
            <w:pPr>
              <w:pStyle w:val="Compact"/>
            </w:pPr>
          </w:p>
        </w:tc>
      </w:tr>
      <w:tr>
        <w:tc>
          <w:tcPr/>
          <w:p>
            <w:pPr>
              <w:pStyle w:val="Compact"/>
              <w:jc w:val="left"/>
            </w:pPr>
            <w:r>
              <w:t xml:space="preserve">CLspec/[Enzyme]</w:t>
            </w:r>
          </w:p>
        </w:tc>
        <w:tc>
          <w:tcPr/>
          <w:p>
            <w:pPr>
              <w:pStyle w:val="Compact"/>
              <w:jc w:val="left"/>
            </w:pPr>
            <w:r>
              <w:t xml:space="preserve">0.0212088311 l/µmol/min</w:t>
            </w:r>
          </w:p>
        </w:tc>
        <w:tc>
          <w:tcPr/>
          <w:p>
            <w:pPr>
              <w:pStyle w:val="Compact"/>
              <w:jc w:val="left"/>
            </w:pPr>
            <w:r>
              <w:t xml:space="preserve">Parameter Identification-Parameter Identification-Value updated from</w:t>
            </w:r>
            <w:r>
              <w:t xml:space="preserve"> </w:t>
            </w:r>
            <w:r>
              <w:t xml:space="preserve">‘</w:t>
            </w:r>
            <w:r>
              <w:t xml:space="preserve">IV</w:t>
            </w:r>
            <w:r>
              <w:t xml:space="preserve">’</w:t>
            </w:r>
            <w:r>
              <w:t xml:space="preserve"> </w:t>
            </w:r>
            <w:r>
              <w:t xml:space="preserve">on 2025-08-21 17:37</w:t>
            </w:r>
          </w:p>
        </w:tc>
      </w:tr>
    </w:tbl>
    <w:bookmarkEnd w:id="38"/>
    <w:bookmarkEnd w:id="39"/>
    <w:bookmarkStart w:id="41" w:name="X2e9203172b80ba9cc93900ac8fbd39831012b94"/>
    <w:p>
      <w:pPr>
        <w:pStyle w:val="Heading5"/>
      </w:pPr>
      <w:r>
        <w:t xml:space="preserve">Systemic Process: Renal Clearances-Stass and Kabitza 1999</w:t>
      </w:r>
    </w:p>
    <w:p>
      <w:pPr>
        <w:pStyle w:val="FirstParagraph"/>
      </w:pPr>
      <w:r>
        <w:t xml:space="preserve">Species: Human</w:t>
      </w:r>
    </w:p>
    <w:bookmarkStart w:id="40" w:name="parameters-3"/>
    <w:p>
      <w:pPr>
        <w:pStyle w:val="Heading6"/>
      </w:pPr>
      <w:r>
        <w:t xml:space="preserve">Parameters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Name</w:t>
            </w:r>
          </w:p>
        </w:tc>
        <w:tc>
          <w:tcPr/>
          <w:p>
            <w:pPr>
              <w:pStyle w:val="Compact"/>
              <w:jc w:val="left"/>
            </w:pPr>
            <w:r>
              <w:t xml:space="preserve">Value</w:t>
            </w:r>
          </w:p>
        </w:tc>
        <w:tc>
          <w:tcPr/>
          <w:p>
            <w:pPr>
              <w:pStyle w:val="Compact"/>
              <w:jc w:val="right"/>
            </w:pPr>
            <w:r>
              <w:t xml:space="preserve">Value Origin</w:t>
            </w:r>
          </w:p>
        </w:tc>
      </w:tr>
      <w:tr>
        <w:tc>
          <w:tcPr/>
          <w:p>
            <w:pPr>
              <w:pStyle w:val="Compact"/>
              <w:jc w:val="left"/>
            </w:pPr>
            <w:r>
              <w:t xml:space="preserve">Fraction unbound (experiment)</w:t>
            </w:r>
          </w:p>
        </w:tc>
        <w:tc>
          <w:tcPr/>
          <w:p>
            <w:pPr>
              <w:pStyle w:val="Compact"/>
              <w:jc w:val="left"/>
            </w:pPr>
            <w:r>
              <w:t xml:space="preserve">0.55</w:t>
            </w:r>
          </w:p>
        </w:tc>
        <w:tc>
          <w:tcPr/>
          <w:p>
            <w:pPr>
              <w:pStyle w:val="Compact"/>
            </w:pPr>
          </w:p>
        </w:tc>
      </w:tr>
      <w:tr>
        <w:tc>
          <w:tcPr/>
          <w:p>
            <w:pPr>
              <w:pStyle w:val="Compact"/>
              <w:jc w:val="left"/>
            </w:pPr>
            <w:r>
              <w:t xml:space="preserve">Plasma clearance</w:t>
            </w:r>
          </w:p>
        </w:tc>
        <w:tc>
          <w:tcPr/>
          <w:p>
            <w:pPr>
              <w:pStyle w:val="Compact"/>
              <w:jc w:val="left"/>
            </w:pPr>
            <w:r>
              <w:t xml:space="preserve">0.031 l/h/kg</w:t>
            </w:r>
          </w:p>
        </w:tc>
        <w:tc>
          <w:tcPr/>
          <w:p>
            <w:pPr>
              <w:pStyle w:val="Compact"/>
            </w:pPr>
          </w:p>
        </w:tc>
      </w:tr>
    </w:tbl>
    <w:bookmarkEnd w:id="40"/>
    <w:bookmarkEnd w:id="41"/>
    <w:bookmarkStart w:id="43" w:name="X45a8f1cd2909e9af15138f24081328b2bb6702b"/>
    <w:p>
      <w:pPr>
        <w:pStyle w:val="Heading5"/>
      </w:pPr>
      <w:r>
        <w:t xml:space="preserve">Systemic Process: Biliary Clearance-Stass and Kabitza 1999</w:t>
      </w:r>
    </w:p>
    <w:p>
      <w:pPr>
        <w:pStyle w:val="FirstParagraph"/>
      </w:pPr>
      <w:r>
        <w:t xml:space="preserve">Species: Human</w:t>
      </w:r>
    </w:p>
    <w:bookmarkStart w:id="42" w:name="parameters-4"/>
    <w:p>
      <w:pPr>
        <w:pStyle w:val="Heading6"/>
      </w:pPr>
      <w:r>
        <w:t xml:space="preserve">Parameters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Name</w:t>
            </w:r>
          </w:p>
        </w:tc>
        <w:tc>
          <w:tcPr/>
          <w:p>
            <w:pPr>
              <w:pStyle w:val="Compact"/>
              <w:jc w:val="left"/>
            </w:pPr>
            <w:r>
              <w:t xml:space="preserve">Value</w:t>
            </w:r>
          </w:p>
        </w:tc>
        <w:tc>
          <w:tcPr/>
          <w:p>
            <w:pPr>
              <w:pStyle w:val="Compact"/>
              <w:jc w:val="right"/>
            </w:pPr>
            <w:r>
              <w:t xml:space="preserve">Value Origin</w:t>
            </w:r>
          </w:p>
        </w:tc>
      </w:tr>
      <w:tr>
        <w:tc>
          <w:tcPr/>
          <w:p>
            <w:pPr>
              <w:pStyle w:val="Compact"/>
              <w:jc w:val="left"/>
            </w:pPr>
            <w:r>
              <w:t xml:space="preserve">Fraction unbound (experiment)</w:t>
            </w:r>
          </w:p>
        </w:tc>
        <w:tc>
          <w:tcPr/>
          <w:p>
            <w:pPr>
              <w:pStyle w:val="Compact"/>
              <w:jc w:val="left"/>
            </w:pPr>
            <w:r>
              <w:t xml:space="preserve">0.55</w:t>
            </w:r>
          </w:p>
        </w:tc>
        <w:tc>
          <w:tcPr/>
          <w:p>
            <w:pPr>
              <w:pStyle w:val="Compact"/>
            </w:pPr>
          </w:p>
        </w:tc>
      </w:tr>
      <w:tr>
        <w:tc>
          <w:tcPr/>
          <w:p>
            <w:pPr>
              <w:pStyle w:val="Compact"/>
              <w:jc w:val="left"/>
            </w:pPr>
            <w:r>
              <w:t xml:space="preserve">Lipophilicity (experiment)</w:t>
            </w:r>
          </w:p>
        </w:tc>
        <w:tc>
          <w:tcPr/>
          <w:p>
            <w:pPr>
              <w:pStyle w:val="Compact"/>
              <w:jc w:val="left"/>
            </w:pPr>
            <w:r>
              <w:t xml:space="preserve">1.8 Log Units</w:t>
            </w:r>
          </w:p>
        </w:tc>
        <w:tc>
          <w:tcPr/>
          <w:p>
            <w:pPr>
              <w:pStyle w:val="Compact"/>
            </w:pPr>
          </w:p>
        </w:tc>
      </w:tr>
      <w:tr>
        <w:tc>
          <w:tcPr/>
          <w:p>
            <w:pPr>
              <w:pStyle w:val="Compact"/>
              <w:jc w:val="left"/>
            </w:pPr>
            <w:r>
              <w:t xml:space="preserve">Plasma clearance</w:t>
            </w:r>
          </w:p>
        </w:tc>
        <w:tc>
          <w:tcPr/>
          <w:p>
            <w:pPr>
              <w:pStyle w:val="Compact"/>
              <w:jc w:val="left"/>
            </w:pPr>
            <w:r>
              <w:t xml:space="preserve">0.034 l/h/kg</w:t>
            </w:r>
          </w:p>
        </w:tc>
        <w:tc>
          <w:tcPr/>
          <w:p>
            <w:pPr>
              <w:pStyle w:val="Compact"/>
            </w:pPr>
          </w:p>
        </w:tc>
      </w:tr>
    </w:tbl>
    <w:bookmarkEnd w:id="42"/>
    <w:bookmarkEnd w:id="43"/>
    <w:bookmarkEnd w:id="44"/>
    <w:bookmarkEnd w:id="45"/>
    <w:bookmarkStart w:id="47" w:name="formulation-tablet"/>
    <w:p>
      <w:pPr>
        <w:pStyle w:val="Heading3"/>
      </w:pPr>
      <w:r>
        <w:t xml:space="preserve">Formulation: Tablet</w:t>
      </w:r>
    </w:p>
    <w:p>
      <w:pPr>
        <w:pStyle w:val="FirstParagraph"/>
      </w:pPr>
      <w:r>
        <w:t xml:space="preserve">Type: Weibull</w:t>
      </w:r>
    </w:p>
    <w:bookmarkStart w:id="46" w:name="parameters-5"/>
    <w:p>
      <w:pPr>
        <w:pStyle w:val="Heading4"/>
      </w:pPr>
      <w:r>
        <w:t xml:space="preserve">Parameters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Dissolution time (50% dissolved)</w:t>
            </w:r>
          </w:p>
        </w:tc>
        <w:tc>
          <w:tcPr/>
          <w:p>
            <w:pPr>
              <w:pStyle w:val="Compact"/>
              <w:jc w:val="left"/>
            </w:pPr>
            <w:r>
              <w:t xml:space="preserve">1 h</w:t>
            </w:r>
          </w:p>
        </w:tc>
        <w:tc>
          <w:tcPr/>
          <w:p>
            <w:pPr>
              <w:pStyle w:val="Compact"/>
              <w:jc w:val="left"/>
            </w:pPr>
            <w:r>
              <w:t xml:space="preserve">Other-Assumption</w:t>
            </w:r>
          </w:p>
        </w:tc>
      </w:tr>
      <w:tr>
        <w:tc>
          <w:tcPr/>
          <w:p>
            <w:pPr>
              <w:pStyle w:val="Compact"/>
              <w:jc w:val="left"/>
            </w:pPr>
            <w:r>
              <w:t xml:space="preserve">Lag time</w:t>
            </w:r>
          </w:p>
        </w:tc>
        <w:tc>
          <w:tcPr/>
          <w:p>
            <w:pPr>
              <w:pStyle w:val="Compact"/>
              <w:jc w:val="left"/>
            </w:pPr>
            <w:r>
              <w:t xml:space="preserve">0 h</w:t>
            </w:r>
          </w:p>
        </w:tc>
        <w:tc>
          <w:tcPr/>
          <w:p>
            <w:pPr>
              <w:pStyle w:val="Compact"/>
            </w:pPr>
          </w:p>
        </w:tc>
      </w:tr>
      <w:tr>
        <w:tc>
          <w:tcPr/>
          <w:p>
            <w:pPr>
              <w:pStyle w:val="Compact"/>
              <w:jc w:val="left"/>
            </w:pPr>
            <w:r>
              <w:t xml:space="preserve">Dissolution shape</w:t>
            </w:r>
          </w:p>
        </w:tc>
        <w:tc>
          <w:tcPr/>
          <w:p>
            <w:pPr>
              <w:pStyle w:val="Compact"/>
              <w:jc w:val="left"/>
            </w:pPr>
            <w:r>
              <w:t xml:space="preserve">0.92</w:t>
            </w:r>
          </w:p>
        </w:tc>
        <w:tc>
          <w:tcPr/>
          <w:p>
            <w:pPr>
              <w:pStyle w:val="Compact"/>
            </w:pPr>
          </w:p>
        </w:tc>
      </w:tr>
      <w:tr>
        <w:tc>
          <w:tcPr/>
          <w:p>
            <w:pPr>
              <w:pStyle w:val="Compact"/>
              <w:jc w:val="left"/>
            </w:pPr>
            <w:r>
              <w:t xml:space="preserve">Use as suspension</w:t>
            </w:r>
          </w:p>
        </w:tc>
        <w:tc>
          <w:tcPr/>
          <w:p>
            <w:pPr>
              <w:pStyle w:val="Compact"/>
              <w:jc w:val="left"/>
            </w:pPr>
            <w:r>
              <w:t xml:space="preserve">Yes</w:t>
            </w:r>
          </w:p>
        </w:tc>
        <w:tc>
          <w:tcPr/>
          <w:p>
            <w:pPr>
              <w:pStyle w:val="Compact"/>
            </w:pPr>
          </w:p>
        </w:tc>
      </w:tr>
    </w:tbl>
    <w:bookmarkEnd w:id="46"/>
    <w:bookmarkEnd w:id="47"/>
    <w:bookmarkEnd w:id="48"/>
    <w:bookmarkStart w:id="55" w:name="diagnostics-plots"/>
    <w:p>
      <w:pPr>
        <w:pStyle w:val="Heading2"/>
      </w:pPr>
      <w:r>
        <w:t xml:space="preserve">Diagnostics Plots</w:t>
      </w:r>
      <w:bookmarkStart w:id="diagnostics-plots" w:name="diagnostics-plots"/>
      <w:bookmarkEnd w:id="diagnostics-plots"/>
    </w:p>
    <w:p>
      <w:pPr>
        <w:pStyle w:val="FirstParagraph"/>
      </w:pPr>
      <w:r>
        <w:t xml:space="preserve">Below you find the goodness-of-fit visual diagnostic plots for the PBPK model performance of all data used presented in</w:t>
      </w:r>
      <w:r>
        <w:t xml:space="preserve"> </w:t>
      </w:r>
      <w:hyperlink w:anchor="clinical-data">
        <w:r>
          <w:rPr>
            <w:rStyle w:val="Hyperlink"/>
          </w:rPr>
          <w:t xml:space="preserve">Section 2.2.2</w:t>
        </w:r>
      </w:hyperlink>
      <w:r>
        <w:t xml:space="preserve">.</w:t>
      </w:r>
    </w:p>
    <w:p>
      <w:pPr>
        <w:pStyle w:val="BodyText"/>
      </w:pPr>
      <w:r>
        <w:t xml:space="preserve">The first plot shows observed versus simulated plasma concentration, the second weighted residuals versus time.</w:t>
      </w:r>
    </w:p>
    <w:br w:type="page"/>
    <w:p>
      <w:pPr>
        <w:pStyle w:val="BodyText"/>
      </w:pPr>
      <w:bookmarkStart w:id="table-3-1" w:name="table-3-1"/>
      <w:bookmarkEnd w:id="table-3-1"/>
    </w:p>
    <w:p>
      <w:pPr>
        <w:pStyle w:val="BodyText"/>
      </w:pPr>
      <w:r>
        <w:rPr>
          <w:b/>
          <w:bCs/>
        </w:rPr>
        <w:t xml:space="preserve">Table 3-1: GMFE for Goodness of fit plot for concentration in plasma</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Group</w:t>
            </w:r>
          </w:p>
        </w:tc>
        <w:tc>
          <w:tcPr/>
          <w:p>
            <w:pPr>
              <w:pStyle w:val="Compact"/>
              <w:jc w:val="left"/>
            </w:pPr>
            <w:r>
              <w:t xml:space="preserve">GMFE</w:t>
            </w:r>
          </w:p>
        </w:tc>
      </w:tr>
      <w:tr>
        <w:tc>
          <w:tcPr/>
          <w:p>
            <w:pPr>
              <w:pStyle w:val="Compact"/>
              <w:jc w:val="left"/>
            </w:pPr>
            <w:r>
              <w:t xml:space="preserve">Model development</w:t>
            </w:r>
          </w:p>
        </w:tc>
        <w:tc>
          <w:tcPr/>
          <w:p>
            <w:pPr>
              <w:pStyle w:val="Compact"/>
              <w:jc w:val="left"/>
            </w:pPr>
            <w:r>
              <w:t xml:space="preserve">1.29</w:t>
            </w:r>
          </w:p>
        </w:tc>
      </w:tr>
      <w:tr>
        <w:tc>
          <w:tcPr/>
          <w:p>
            <w:pPr>
              <w:pStyle w:val="Compact"/>
              <w:jc w:val="left"/>
            </w:pPr>
            <w:r>
              <w:t xml:space="preserve">Model evaluation</w:t>
            </w:r>
          </w:p>
        </w:tc>
        <w:tc>
          <w:tcPr/>
          <w:p>
            <w:pPr>
              <w:pStyle w:val="Compact"/>
              <w:jc w:val="left"/>
            </w:pPr>
            <w:r>
              <w:t xml:space="preserve">1.67</w:t>
            </w:r>
          </w:p>
        </w:tc>
      </w:tr>
      <w:tr>
        <w:tc>
          <w:tcPr/>
          <w:p>
            <w:pPr>
              <w:pStyle w:val="Compact"/>
              <w:jc w:val="left"/>
            </w:pPr>
            <w:r>
              <w:t xml:space="preserve">All</w:t>
            </w:r>
          </w:p>
        </w:tc>
        <w:tc>
          <w:tcPr/>
          <w:p>
            <w:pPr>
              <w:pStyle w:val="Compact"/>
              <w:jc w:val="left"/>
            </w:pPr>
            <w:r>
              <w:t xml:space="preserve">1.50</w:t>
            </w:r>
          </w:p>
        </w:tc>
      </w:tr>
    </w:tbl>
    <w:p>
      <w:pPr>
        <w:pStyle w:val="BodyText"/>
      </w:pPr>
      <w:r>
        <w:t xml:space="preserve"> </w:t>
      </w:r>
    </w:p>
    <w:br w:type="page"/>
    <w:p>
      <w:pPr>
        <w:pStyle w:val="BodyText"/>
      </w:pPr>
      <w:bookmarkStart w:id="figure-3-1" w:name="figure-3-1"/>
      <w:bookmarkEnd w:id="figure-3-1"/>
    </w:p>
    <w:p>
      <w:pPr>
        <w:pStyle w:val="BodyText"/>
      </w:pPr>
      <w:r>
        <w:drawing>
          <wp:inline>
            <wp:extent cx="5969000" cy="6507536"/>
            <wp:effectExtent b="0" l="0" r="0" t="0"/>
            <wp:docPr descr="" title="" id="50" name="Picture"/>
            <a:graphic>
              <a:graphicData uri="http://schemas.openxmlformats.org/drawingml/2006/picture">
                <pic:pic>
                  <pic:nvPicPr>
                    <pic:cNvPr descr="images/006_section_results-and-discussion/008_section_diagnostics-plots/2_gof_plot_predictedVsObserved.png" id="51" name="Picture"/>
                    <pic:cNvPicPr>
                      <a:picLocks noChangeArrowheads="1" noChangeAspect="1"/>
                    </pic:cNvPicPr>
                  </pic:nvPicPr>
                  <pic:blipFill>
                    <a:blip r:embed="rId49"/>
                    <a:stretch>
                      <a:fillRect/>
                    </a:stretch>
                  </pic:blipFill>
                  <pic:spPr bwMode="auto">
                    <a:xfrm>
                      <a:off x="0" y="0"/>
                      <a:ext cx="5969000" cy="6507536"/>
                    </a:xfrm>
                    <a:prstGeom prst="rect">
                      <a:avLst/>
                    </a:prstGeom>
                    <a:noFill/>
                    <a:ln w="9525">
                      <a:noFill/>
                      <a:headEnd/>
                      <a:tailEnd/>
                    </a:ln>
                  </pic:spPr>
                </pic:pic>
              </a:graphicData>
            </a:graphic>
          </wp:inline>
        </w:drawing>
      </w:r>
    </w:p>
    <w:p>
      <w:pPr>
        <w:pStyle w:val="BodyText"/>
      </w:pPr>
      <w:r>
        <w:rPr>
          <w:b/>
          <w:bCs/>
        </w:rPr>
        <w:t xml:space="preserve">Figure 3-1: Goodness of fit plot for concentration in plasma</w:t>
      </w:r>
    </w:p>
    <w:p>
      <w:pPr>
        <w:pStyle w:val="BodyText"/>
      </w:pPr>
      <w:r>
        <w:t xml:space="preserve"> </w:t>
      </w:r>
    </w:p>
    <w:br w:type="page"/>
    <w:p>
      <w:pPr>
        <w:pStyle w:val="BodyText"/>
      </w:pPr>
      <w:bookmarkStart w:id="figure-3-2" w:name="figure-3-2"/>
      <w:bookmarkEnd w:id="figure-3-2"/>
    </w:p>
    <w:p>
      <w:pPr>
        <w:pStyle w:val="BodyText"/>
      </w:pPr>
      <w:r>
        <w:drawing>
          <wp:inline>
            <wp:extent cx="5969000" cy="4304842"/>
            <wp:effectExtent b="0" l="0" r="0" t="0"/>
            <wp:docPr descr="" title="" id="53" name="Picture"/>
            <a:graphic>
              <a:graphicData uri="http://schemas.openxmlformats.org/drawingml/2006/picture">
                <pic:pic>
                  <pic:nvPicPr>
                    <pic:cNvPr descr="images/006_section_results-and-discussion/008_section_diagnostics-plots/3_gof_plot_residualsOverTime.png" id="54" name="Picture"/>
                    <pic:cNvPicPr>
                      <a:picLocks noChangeArrowheads="1" noChangeAspect="1"/>
                    </pic:cNvPicPr>
                  </pic:nvPicPr>
                  <pic:blipFill>
                    <a:blip r:embed="rId52"/>
                    <a:stretch>
                      <a:fillRect/>
                    </a:stretch>
                  </pic:blipFill>
                  <pic:spPr bwMode="auto">
                    <a:xfrm>
                      <a:off x="0" y="0"/>
                      <a:ext cx="5969000" cy="4304842"/>
                    </a:xfrm>
                    <a:prstGeom prst="rect">
                      <a:avLst/>
                    </a:prstGeom>
                    <a:noFill/>
                    <a:ln w="9525">
                      <a:noFill/>
                      <a:headEnd/>
                      <a:tailEnd/>
                    </a:ln>
                  </pic:spPr>
                </pic:pic>
              </a:graphicData>
            </a:graphic>
          </wp:inline>
        </w:drawing>
      </w:r>
    </w:p>
    <w:p>
      <w:pPr>
        <w:pStyle w:val="BodyText"/>
      </w:pPr>
      <w:r>
        <w:rPr>
          <w:b/>
          <w:bCs/>
        </w:rPr>
        <w:t xml:space="preserve">Figure 3-2: Goodness of fit plot for concentration in plasma</w:t>
      </w:r>
    </w:p>
    <w:p>
      <w:pPr>
        <w:pStyle w:val="BodyText"/>
      </w:pPr>
      <w:r>
        <w:t xml:space="preserve"> </w:t>
      </w:r>
    </w:p>
    <w:bookmarkEnd w:id="55"/>
    <w:bookmarkStart w:id="98" w:name="concentration-time-profiles"/>
    <w:p>
      <w:pPr>
        <w:pStyle w:val="Heading2"/>
      </w:pPr>
      <w:r>
        <w:t xml:space="preserve">Concentration-Time Profiles</w:t>
      </w:r>
      <w:bookmarkStart w:id="ct-profiles" w:name="ct-profiles"/>
      <w:bookmarkEnd w:id="ct-profiles"/>
    </w:p>
    <w:p>
      <w:pPr>
        <w:pStyle w:val="FirstParagraph"/>
      </w:pPr>
      <w:r>
        <w:t xml:space="preserve">Simulated versus observed concentration-time profiles of all data listed in</w:t>
      </w:r>
      <w:r>
        <w:t xml:space="preserve"> </w:t>
      </w:r>
      <w:hyperlink w:anchor="clinical-data">
        <w:r>
          <w:rPr>
            <w:rStyle w:val="Hyperlink"/>
          </w:rPr>
          <w:t xml:space="preserve">Section 2.2.2</w:t>
        </w:r>
      </w:hyperlink>
      <w:r>
        <w:t xml:space="preserve"> </w:t>
      </w:r>
      <w:r>
        <w:t xml:space="preserve">are presented below.</w:t>
      </w:r>
    </w:p>
    <w:br w:type="page"/>
    <w:p>
      <w:pPr>
        <w:pStyle w:val="BodyText"/>
      </w:pPr>
      <w:bookmarkStart w:id="figure-3-3" w:name="figure-3-3"/>
      <w:bookmarkEnd w:id="figure-3-3"/>
    </w:p>
    <w:p>
      <w:pPr>
        <w:pStyle w:val="BodyText"/>
      </w:pPr>
      <w:r>
        <w:drawing>
          <wp:inline>
            <wp:extent cx="5969000" cy="4634331"/>
            <wp:effectExtent b="0" l="0" r="0" t="0"/>
            <wp:docPr descr="" title="" id="57" name="Picture"/>
            <a:graphic>
              <a:graphicData uri="http://schemas.openxmlformats.org/drawingml/2006/picture">
                <pic:pic>
                  <pic:nvPicPr>
                    <pic:cNvPr descr="images/006_section_results-and-discussion/009_section_ct-profiles/1_time_profile_plot_Moxifloxacin_Bayer_Avelox_3963471_IV_400_mg_qd.png" id="58" name="Picture"/>
                    <pic:cNvPicPr>
                      <a:picLocks noChangeArrowheads="1" noChangeAspect="1"/>
                    </pic:cNvPicPr>
                  </pic:nvPicPr>
                  <pic:blipFill>
                    <a:blip r:embed="rId56"/>
                    <a:stretch>
                      <a:fillRect/>
                    </a:stretch>
                  </pic:blipFill>
                  <pic:spPr bwMode="auto">
                    <a:xfrm>
                      <a:off x="0" y="0"/>
                      <a:ext cx="5969000" cy="4634331"/>
                    </a:xfrm>
                    <a:prstGeom prst="rect">
                      <a:avLst/>
                    </a:prstGeom>
                    <a:noFill/>
                    <a:ln w="9525">
                      <a:noFill/>
                      <a:headEnd/>
                      <a:tailEnd/>
                    </a:ln>
                  </pic:spPr>
                </pic:pic>
              </a:graphicData>
            </a:graphic>
          </wp:inline>
        </w:drawing>
      </w:r>
    </w:p>
    <w:p>
      <w:pPr>
        <w:pStyle w:val="BodyText"/>
      </w:pPr>
      <w:r>
        <w:rPr>
          <w:b/>
          <w:bCs/>
        </w:rPr>
        <w:t xml:space="preserve">Figure 3-3: Bayer Avelox 3963471_IV_400 mg qd</w:t>
      </w:r>
    </w:p>
    <w:p>
      <w:pPr>
        <w:pStyle w:val="BodyText"/>
      </w:pPr>
      <w:r>
        <w:t xml:space="preserve"> </w:t>
      </w:r>
    </w:p>
    <w:br w:type="page"/>
    <w:p>
      <w:pPr>
        <w:pStyle w:val="BodyText"/>
      </w:pPr>
      <w:bookmarkStart w:id="figure-3-4" w:name="figure-3-4"/>
      <w:bookmarkEnd w:id="figure-3-4"/>
    </w:p>
    <w:p>
      <w:pPr>
        <w:pStyle w:val="BodyText"/>
      </w:pPr>
      <w:r>
        <w:drawing>
          <wp:inline>
            <wp:extent cx="5969000" cy="4634331"/>
            <wp:effectExtent b="0" l="0" r="0" t="0"/>
            <wp:docPr descr="" title="" id="60" name="Picture"/>
            <a:graphic>
              <a:graphicData uri="http://schemas.openxmlformats.org/drawingml/2006/picture">
                <pic:pic>
                  <pic:nvPicPr>
                    <pic:cNvPr descr="images/006_section_results-and-discussion/009_section_ct-profiles/2_time_profile_plot_Moxifloxacin_Bayer_Avelox_3963471_PO_400_mg_qd.png" id="61" name="Picture"/>
                    <pic:cNvPicPr>
                      <a:picLocks noChangeArrowheads="1" noChangeAspect="1"/>
                    </pic:cNvPicPr>
                  </pic:nvPicPr>
                  <pic:blipFill>
                    <a:blip r:embed="rId59"/>
                    <a:stretch>
                      <a:fillRect/>
                    </a:stretch>
                  </pic:blipFill>
                  <pic:spPr bwMode="auto">
                    <a:xfrm>
                      <a:off x="0" y="0"/>
                      <a:ext cx="5969000" cy="4634331"/>
                    </a:xfrm>
                    <a:prstGeom prst="rect">
                      <a:avLst/>
                    </a:prstGeom>
                    <a:noFill/>
                    <a:ln w="9525">
                      <a:noFill/>
                      <a:headEnd/>
                      <a:tailEnd/>
                    </a:ln>
                  </pic:spPr>
                </pic:pic>
              </a:graphicData>
            </a:graphic>
          </wp:inline>
        </w:drawing>
      </w:r>
    </w:p>
    <w:p>
      <w:pPr>
        <w:pStyle w:val="BodyText"/>
      </w:pPr>
      <w:r>
        <w:rPr>
          <w:b/>
          <w:bCs/>
        </w:rPr>
        <w:t xml:space="preserve">Figure 3-4: Bayer Avelox 3963471_PO_400 mg qd</w:t>
      </w:r>
    </w:p>
    <w:p>
      <w:pPr>
        <w:pStyle w:val="BodyText"/>
      </w:pPr>
      <w:r>
        <w:t xml:space="preserve"> </w:t>
      </w:r>
    </w:p>
    <w:br w:type="page"/>
    <w:p>
      <w:pPr>
        <w:pStyle w:val="BodyText"/>
      </w:pPr>
      <w:bookmarkStart w:id="figure-3-5" w:name="figure-3-5"/>
      <w:bookmarkEnd w:id="figure-3-5"/>
    </w:p>
    <w:p>
      <w:pPr>
        <w:pStyle w:val="BodyText"/>
      </w:pPr>
      <w:r>
        <w:drawing>
          <wp:inline>
            <wp:extent cx="5969000" cy="6494271"/>
            <wp:effectExtent b="0" l="0" r="0" t="0"/>
            <wp:docPr descr="" title="" id="63" name="Picture"/>
            <a:graphic>
              <a:graphicData uri="http://schemas.openxmlformats.org/drawingml/2006/picture">
                <pic:pic>
                  <pic:nvPicPr>
                    <pic:cNvPr descr="images/006_section_results-and-discussion/009_section_ct-profiles/3_time_profile_plot_Moxifloxacin_Stass_1999_IV_400_mg.png" id="64" name="Picture"/>
                    <pic:cNvPicPr>
                      <a:picLocks noChangeArrowheads="1" noChangeAspect="1"/>
                    </pic:cNvPicPr>
                  </pic:nvPicPr>
                  <pic:blipFill>
                    <a:blip r:embed="rId62"/>
                    <a:stretch>
                      <a:fillRect/>
                    </a:stretch>
                  </pic:blipFill>
                  <pic:spPr bwMode="auto">
                    <a:xfrm>
                      <a:off x="0" y="0"/>
                      <a:ext cx="5969000" cy="6494271"/>
                    </a:xfrm>
                    <a:prstGeom prst="rect">
                      <a:avLst/>
                    </a:prstGeom>
                    <a:noFill/>
                    <a:ln w="9525">
                      <a:noFill/>
                      <a:headEnd/>
                      <a:tailEnd/>
                    </a:ln>
                  </pic:spPr>
                </pic:pic>
              </a:graphicData>
            </a:graphic>
          </wp:inline>
        </w:drawing>
      </w:r>
    </w:p>
    <w:p>
      <w:pPr>
        <w:pStyle w:val="BodyText"/>
      </w:pPr>
      <w:r>
        <w:rPr>
          <w:b/>
          <w:bCs/>
        </w:rPr>
        <w:t xml:space="preserve">Figure 3-5: Stass 1999_IV_400 mg</w:t>
      </w:r>
    </w:p>
    <w:p>
      <w:pPr>
        <w:pStyle w:val="BodyText"/>
      </w:pPr>
      <w:r>
        <w:t xml:space="preserve"> </w:t>
      </w:r>
    </w:p>
    <w:br w:type="page"/>
    <w:p>
      <w:pPr>
        <w:pStyle w:val="BodyText"/>
      </w:pPr>
      <w:bookmarkStart w:id="figure-3-6" w:name="figure-3-6"/>
      <w:bookmarkEnd w:id="figure-3-6"/>
    </w:p>
    <w:p>
      <w:pPr>
        <w:pStyle w:val="BodyText"/>
      </w:pPr>
      <w:r>
        <w:drawing>
          <wp:inline>
            <wp:extent cx="5969000" cy="6494271"/>
            <wp:effectExtent b="0" l="0" r="0" t="0"/>
            <wp:docPr descr="" title="" id="66" name="Picture"/>
            <a:graphic>
              <a:graphicData uri="http://schemas.openxmlformats.org/drawingml/2006/picture">
                <pic:pic>
                  <pic:nvPicPr>
                    <pic:cNvPr descr="images/006_section_results-and-discussion/009_section_ct-profiles/4_time_profile_plot_Moxifloxacin_Stass_1999_PO_400_mg.png" id="67" name="Picture"/>
                    <pic:cNvPicPr>
                      <a:picLocks noChangeArrowheads="1" noChangeAspect="1"/>
                    </pic:cNvPicPr>
                  </pic:nvPicPr>
                  <pic:blipFill>
                    <a:blip r:embed="rId65"/>
                    <a:stretch>
                      <a:fillRect/>
                    </a:stretch>
                  </pic:blipFill>
                  <pic:spPr bwMode="auto">
                    <a:xfrm>
                      <a:off x="0" y="0"/>
                      <a:ext cx="5969000" cy="6494271"/>
                    </a:xfrm>
                    <a:prstGeom prst="rect">
                      <a:avLst/>
                    </a:prstGeom>
                    <a:noFill/>
                    <a:ln w="9525">
                      <a:noFill/>
                      <a:headEnd/>
                      <a:tailEnd/>
                    </a:ln>
                  </pic:spPr>
                </pic:pic>
              </a:graphicData>
            </a:graphic>
          </wp:inline>
        </w:drawing>
      </w:r>
    </w:p>
    <w:p>
      <w:pPr>
        <w:pStyle w:val="BodyText"/>
      </w:pPr>
      <w:r>
        <w:rPr>
          <w:b/>
          <w:bCs/>
        </w:rPr>
        <w:t xml:space="preserve">Figure 3-6: Stass 1999_PO_400 mg</w:t>
      </w:r>
    </w:p>
    <w:p>
      <w:pPr>
        <w:pStyle w:val="BodyText"/>
      </w:pPr>
      <w:r>
        <w:t xml:space="preserve"> </w:t>
      </w:r>
    </w:p>
    <w:br w:type="page"/>
    <w:p>
      <w:pPr>
        <w:pStyle w:val="BodyText"/>
      </w:pPr>
      <w:bookmarkStart w:id="figure-3-7" w:name="figure-3-7"/>
      <w:bookmarkEnd w:id="figure-3-7"/>
    </w:p>
    <w:p>
      <w:pPr>
        <w:pStyle w:val="BodyText"/>
      </w:pPr>
      <w:r>
        <w:drawing>
          <wp:inline>
            <wp:extent cx="5969000" cy="4634331"/>
            <wp:effectExtent b="0" l="0" r="0" t="0"/>
            <wp:docPr descr="" title="" id="69" name="Picture"/>
            <a:graphic>
              <a:graphicData uri="http://schemas.openxmlformats.org/drawingml/2006/picture">
                <pic:pic>
                  <pic:nvPicPr>
                    <pic:cNvPr descr="images/006_section_results-and-discussion/009_section_ct-profiles/5_time_profile_plot_Moxifloxacin_Sullivan_1999_PO_400_mg_qd.png" id="70" name="Picture"/>
                    <pic:cNvPicPr>
                      <a:picLocks noChangeArrowheads="1" noChangeAspect="1"/>
                    </pic:cNvPicPr>
                  </pic:nvPicPr>
                  <pic:blipFill>
                    <a:blip r:embed="rId68"/>
                    <a:stretch>
                      <a:fillRect/>
                    </a:stretch>
                  </pic:blipFill>
                  <pic:spPr bwMode="auto">
                    <a:xfrm>
                      <a:off x="0" y="0"/>
                      <a:ext cx="5969000" cy="4634331"/>
                    </a:xfrm>
                    <a:prstGeom prst="rect">
                      <a:avLst/>
                    </a:prstGeom>
                    <a:noFill/>
                    <a:ln w="9525">
                      <a:noFill/>
                      <a:headEnd/>
                      <a:tailEnd/>
                    </a:ln>
                  </pic:spPr>
                </pic:pic>
              </a:graphicData>
            </a:graphic>
          </wp:inline>
        </w:drawing>
      </w:r>
    </w:p>
    <w:p>
      <w:pPr>
        <w:pStyle w:val="BodyText"/>
      </w:pPr>
      <w:r>
        <w:rPr>
          <w:b/>
          <w:bCs/>
        </w:rPr>
        <w:t xml:space="preserve">Figure 3-7: Sullivan 1999_PO_400 mg qd</w:t>
      </w:r>
    </w:p>
    <w:p>
      <w:pPr>
        <w:pStyle w:val="BodyText"/>
      </w:pPr>
      <w:r>
        <w:t xml:space="preserve"> </w:t>
      </w:r>
    </w:p>
    <w:br w:type="page"/>
    <w:p>
      <w:pPr>
        <w:pStyle w:val="BodyText"/>
      </w:pPr>
      <w:bookmarkStart w:id="figure-3-8" w:name="figure-3-8"/>
      <w:bookmarkEnd w:id="figure-3-8"/>
    </w:p>
    <w:p>
      <w:pPr>
        <w:pStyle w:val="BodyText"/>
      </w:pPr>
      <w:r>
        <w:drawing>
          <wp:inline>
            <wp:extent cx="5969000" cy="4634331"/>
            <wp:effectExtent b="0" l="0" r="0" t="0"/>
            <wp:docPr descr="" title="" id="72" name="Picture"/>
            <a:graphic>
              <a:graphicData uri="http://schemas.openxmlformats.org/drawingml/2006/picture">
                <pic:pic>
                  <pic:nvPicPr>
                    <pic:cNvPr descr="images/006_section_results-and-discussion/009_section_ct-profiles/6_time_profile_plot_Moxifloxacin_PH_26024_0101_PO_100_mg.png" id="73" name="Picture"/>
                    <pic:cNvPicPr>
                      <a:picLocks noChangeArrowheads="1" noChangeAspect="1"/>
                    </pic:cNvPicPr>
                  </pic:nvPicPr>
                  <pic:blipFill>
                    <a:blip r:embed="rId71"/>
                    <a:stretch>
                      <a:fillRect/>
                    </a:stretch>
                  </pic:blipFill>
                  <pic:spPr bwMode="auto">
                    <a:xfrm>
                      <a:off x="0" y="0"/>
                      <a:ext cx="5969000" cy="4634331"/>
                    </a:xfrm>
                    <a:prstGeom prst="rect">
                      <a:avLst/>
                    </a:prstGeom>
                    <a:noFill/>
                    <a:ln w="9525">
                      <a:noFill/>
                      <a:headEnd/>
                      <a:tailEnd/>
                    </a:ln>
                  </pic:spPr>
                </pic:pic>
              </a:graphicData>
            </a:graphic>
          </wp:inline>
        </w:drawing>
      </w:r>
    </w:p>
    <w:p>
      <w:pPr>
        <w:pStyle w:val="BodyText"/>
      </w:pPr>
      <w:r>
        <w:rPr>
          <w:b/>
          <w:bCs/>
        </w:rPr>
        <w:t xml:space="preserve">Figure 3-8: PH 26024/0101_PO_100 mg</w:t>
      </w:r>
    </w:p>
    <w:p>
      <w:pPr>
        <w:pStyle w:val="BodyText"/>
      </w:pPr>
      <w:r>
        <w:t xml:space="preserve"> </w:t>
      </w:r>
    </w:p>
    <w:br w:type="page"/>
    <w:p>
      <w:pPr>
        <w:pStyle w:val="BodyText"/>
      </w:pPr>
      <w:bookmarkStart w:id="figure-3-9" w:name="figure-3-9"/>
      <w:bookmarkEnd w:id="figure-3-9"/>
    </w:p>
    <w:p>
      <w:pPr>
        <w:pStyle w:val="BodyText"/>
      </w:pPr>
      <w:r>
        <w:drawing>
          <wp:inline>
            <wp:extent cx="5969000" cy="4634331"/>
            <wp:effectExtent b="0" l="0" r="0" t="0"/>
            <wp:docPr descr="" title="" id="75" name="Picture"/>
            <a:graphic>
              <a:graphicData uri="http://schemas.openxmlformats.org/drawingml/2006/picture">
                <pic:pic>
                  <pic:nvPicPr>
                    <pic:cNvPr descr="images/006_section_results-and-discussion/009_section_ct-profiles/7_time_profile_plot_Moxifloxacin_PH_26024_0101_PO_200_mg.png" id="76" name="Picture"/>
                    <pic:cNvPicPr>
                      <a:picLocks noChangeArrowheads="1" noChangeAspect="1"/>
                    </pic:cNvPicPr>
                  </pic:nvPicPr>
                  <pic:blipFill>
                    <a:blip r:embed="rId74"/>
                    <a:stretch>
                      <a:fillRect/>
                    </a:stretch>
                  </pic:blipFill>
                  <pic:spPr bwMode="auto">
                    <a:xfrm>
                      <a:off x="0" y="0"/>
                      <a:ext cx="5969000" cy="4634331"/>
                    </a:xfrm>
                    <a:prstGeom prst="rect">
                      <a:avLst/>
                    </a:prstGeom>
                    <a:noFill/>
                    <a:ln w="9525">
                      <a:noFill/>
                      <a:headEnd/>
                      <a:tailEnd/>
                    </a:ln>
                  </pic:spPr>
                </pic:pic>
              </a:graphicData>
            </a:graphic>
          </wp:inline>
        </w:drawing>
      </w:r>
    </w:p>
    <w:p>
      <w:pPr>
        <w:pStyle w:val="BodyText"/>
      </w:pPr>
      <w:r>
        <w:rPr>
          <w:b/>
          <w:bCs/>
        </w:rPr>
        <w:t xml:space="preserve">Figure 3-9: PH 26024/0101_PO_200 mg</w:t>
      </w:r>
    </w:p>
    <w:p>
      <w:pPr>
        <w:pStyle w:val="BodyText"/>
      </w:pPr>
      <w:r>
        <w:t xml:space="preserve"> </w:t>
      </w:r>
    </w:p>
    <w:br w:type="page"/>
    <w:p>
      <w:pPr>
        <w:pStyle w:val="BodyText"/>
      </w:pPr>
      <w:bookmarkStart w:id="figure-3-10" w:name="figure-3-10"/>
      <w:bookmarkEnd w:id="figure-3-10"/>
    </w:p>
    <w:p>
      <w:pPr>
        <w:pStyle w:val="BodyText"/>
      </w:pPr>
      <w:r>
        <w:drawing>
          <wp:inline>
            <wp:extent cx="5969000" cy="4634331"/>
            <wp:effectExtent b="0" l="0" r="0" t="0"/>
            <wp:docPr descr="" title="" id="78" name="Picture"/>
            <a:graphic>
              <a:graphicData uri="http://schemas.openxmlformats.org/drawingml/2006/picture">
                <pic:pic>
                  <pic:nvPicPr>
                    <pic:cNvPr descr="images/006_section_results-and-discussion/009_section_ct-profiles/8_time_profile_plot_Moxifloxacin_PH_26024_0101_PO_400_mg.png" id="79" name="Picture"/>
                    <pic:cNvPicPr>
                      <a:picLocks noChangeArrowheads="1" noChangeAspect="1"/>
                    </pic:cNvPicPr>
                  </pic:nvPicPr>
                  <pic:blipFill>
                    <a:blip r:embed="rId77"/>
                    <a:stretch>
                      <a:fillRect/>
                    </a:stretch>
                  </pic:blipFill>
                  <pic:spPr bwMode="auto">
                    <a:xfrm>
                      <a:off x="0" y="0"/>
                      <a:ext cx="5969000" cy="4634331"/>
                    </a:xfrm>
                    <a:prstGeom prst="rect">
                      <a:avLst/>
                    </a:prstGeom>
                    <a:noFill/>
                    <a:ln w="9525">
                      <a:noFill/>
                      <a:headEnd/>
                      <a:tailEnd/>
                    </a:ln>
                  </pic:spPr>
                </pic:pic>
              </a:graphicData>
            </a:graphic>
          </wp:inline>
        </w:drawing>
      </w:r>
    </w:p>
    <w:p>
      <w:pPr>
        <w:pStyle w:val="BodyText"/>
      </w:pPr>
      <w:r>
        <w:rPr>
          <w:b/>
          <w:bCs/>
        </w:rPr>
        <w:t xml:space="preserve">Figure 3-10: PH 26024/0101_PO_400 mg</w:t>
      </w:r>
    </w:p>
    <w:p>
      <w:pPr>
        <w:pStyle w:val="BodyText"/>
      </w:pPr>
      <w:r>
        <w:t xml:space="preserve"> </w:t>
      </w:r>
    </w:p>
    <w:br w:type="page"/>
    <w:p>
      <w:pPr>
        <w:pStyle w:val="BodyText"/>
      </w:pPr>
      <w:bookmarkStart w:id="figure-3-11" w:name="figure-3-11"/>
      <w:bookmarkEnd w:id="figure-3-11"/>
    </w:p>
    <w:p>
      <w:pPr>
        <w:pStyle w:val="BodyText"/>
      </w:pPr>
      <w:r>
        <w:drawing>
          <wp:inline>
            <wp:extent cx="5969000" cy="4634331"/>
            <wp:effectExtent b="0" l="0" r="0" t="0"/>
            <wp:docPr descr="" title="" id="81" name="Picture"/>
            <a:graphic>
              <a:graphicData uri="http://schemas.openxmlformats.org/drawingml/2006/picture">
                <pic:pic>
                  <pic:nvPicPr>
                    <pic:cNvPr descr="images/006_section_results-and-discussion/009_section_ct-profiles/9_time_profile_plot_Moxifloxacin_PH_26024_0101_PO_60_mg.png" id="82" name="Picture"/>
                    <pic:cNvPicPr>
                      <a:picLocks noChangeArrowheads="1" noChangeAspect="1"/>
                    </pic:cNvPicPr>
                  </pic:nvPicPr>
                  <pic:blipFill>
                    <a:blip r:embed="rId80"/>
                    <a:stretch>
                      <a:fillRect/>
                    </a:stretch>
                  </pic:blipFill>
                  <pic:spPr bwMode="auto">
                    <a:xfrm>
                      <a:off x="0" y="0"/>
                      <a:ext cx="5969000" cy="4634331"/>
                    </a:xfrm>
                    <a:prstGeom prst="rect">
                      <a:avLst/>
                    </a:prstGeom>
                    <a:noFill/>
                    <a:ln w="9525">
                      <a:noFill/>
                      <a:headEnd/>
                      <a:tailEnd/>
                    </a:ln>
                  </pic:spPr>
                </pic:pic>
              </a:graphicData>
            </a:graphic>
          </wp:inline>
        </w:drawing>
      </w:r>
    </w:p>
    <w:p>
      <w:pPr>
        <w:pStyle w:val="BodyText"/>
      </w:pPr>
      <w:r>
        <w:rPr>
          <w:b/>
          <w:bCs/>
        </w:rPr>
        <w:t xml:space="preserve">Figure 3-11: PH 26024/0101_PO_60 mg</w:t>
      </w:r>
    </w:p>
    <w:p>
      <w:pPr>
        <w:pStyle w:val="BodyText"/>
      </w:pPr>
      <w:r>
        <w:t xml:space="preserve"> </w:t>
      </w:r>
    </w:p>
    <w:br w:type="page"/>
    <w:p>
      <w:pPr>
        <w:pStyle w:val="BodyText"/>
      </w:pPr>
      <w:bookmarkStart w:id="figure-3-12" w:name="figure-3-12"/>
      <w:bookmarkEnd w:id="figure-3-12"/>
    </w:p>
    <w:p>
      <w:pPr>
        <w:pStyle w:val="BodyText"/>
      </w:pPr>
      <w:r>
        <w:drawing>
          <wp:inline>
            <wp:extent cx="5969000" cy="4634331"/>
            <wp:effectExtent b="0" l="0" r="0" t="0"/>
            <wp:docPr descr="" title="" id="84" name="Picture"/>
            <a:graphic>
              <a:graphicData uri="http://schemas.openxmlformats.org/drawingml/2006/picture">
                <pic:pic>
                  <pic:nvPicPr>
                    <pic:cNvPr descr="images/006_section_results-and-discussion/009_section_ct-profiles/10_time_profile_plot_Moxifloxacin_PH_26024_0101_PO_600_mg.png" id="85" name="Picture"/>
                    <pic:cNvPicPr>
                      <a:picLocks noChangeArrowheads="1" noChangeAspect="1"/>
                    </pic:cNvPicPr>
                  </pic:nvPicPr>
                  <pic:blipFill>
                    <a:blip r:embed="rId83"/>
                    <a:stretch>
                      <a:fillRect/>
                    </a:stretch>
                  </pic:blipFill>
                  <pic:spPr bwMode="auto">
                    <a:xfrm>
                      <a:off x="0" y="0"/>
                      <a:ext cx="5969000" cy="4634331"/>
                    </a:xfrm>
                    <a:prstGeom prst="rect">
                      <a:avLst/>
                    </a:prstGeom>
                    <a:noFill/>
                    <a:ln w="9525">
                      <a:noFill/>
                      <a:headEnd/>
                      <a:tailEnd/>
                    </a:ln>
                  </pic:spPr>
                </pic:pic>
              </a:graphicData>
            </a:graphic>
          </wp:inline>
        </w:drawing>
      </w:r>
    </w:p>
    <w:p>
      <w:pPr>
        <w:pStyle w:val="BodyText"/>
      </w:pPr>
      <w:r>
        <w:rPr>
          <w:b/>
          <w:bCs/>
        </w:rPr>
        <w:t xml:space="preserve">Figure 3-12: PH 26024/0101_PO_600 mg</w:t>
      </w:r>
    </w:p>
    <w:p>
      <w:pPr>
        <w:pStyle w:val="BodyText"/>
      </w:pPr>
      <w:r>
        <w:t xml:space="preserve"> </w:t>
      </w:r>
    </w:p>
    <w:br w:type="page"/>
    <w:p>
      <w:pPr>
        <w:pStyle w:val="BodyText"/>
      </w:pPr>
      <w:bookmarkStart w:id="figure-3-13" w:name="figure-3-13"/>
      <w:bookmarkEnd w:id="figure-3-13"/>
    </w:p>
    <w:p>
      <w:pPr>
        <w:pStyle w:val="BodyText"/>
      </w:pPr>
      <w:r>
        <w:drawing>
          <wp:inline>
            <wp:extent cx="5969000" cy="4634331"/>
            <wp:effectExtent b="0" l="0" r="0" t="0"/>
            <wp:docPr descr="" title="" id="87" name="Picture"/>
            <a:graphic>
              <a:graphicData uri="http://schemas.openxmlformats.org/drawingml/2006/picture">
                <pic:pic>
                  <pic:nvPicPr>
                    <pic:cNvPr descr="images/006_section_results-and-discussion/009_section_ct-profiles/11_time_profile_plot_Moxifloxacin_PH_27517_0139_IV_400_mg.png" id="88" name="Picture"/>
                    <pic:cNvPicPr>
                      <a:picLocks noChangeArrowheads="1" noChangeAspect="1"/>
                    </pic:cNvPicPr>
                  </pic:nvPicPr>
                  <pic:blipFill>
                    <a:blip r:embed="rId86"/>
                    <a:stretch>
                      <a:fillRect/>
                    </a:stretch>
                  </pic:blipFill>
                  <pic:spPr bwMode="auto">
                    <a:xfrm>
                      <a:off x="0" y="0"/>
                      <a:ext cx="5969000" cy="4634331"/>
                    </a:xfrm>
                    <a:prstGeom prst="rect">
                      <a:avLst/>
                    </a:prstGeom>
                    <a:noFill/>
                    <a:ln w="9525">
                      <a:noFill/>
                      <a:headEnd/>
                      <a:tailEnd/>
                    </a:ln>
                  </pic:spPr>
                </pic:pic>
              </a:graphicData>
            </a:graphic>
          </wp:inline>
        </w:drawing>
      </w:r>
    </w:p>
    <w:p>
      <w:pPr>
        <w:pStyle w:val="BodyText"/>
      </w:pPr>
      <w:r>
        <w:rPr>
          <w:b/>
          <w:bCs/>
        </w:rPr>
        <w:t xml:space="preserve">Figure 3-13: PH 27517/0139_IV_400 mg</w:t>
      </w:r>
    </w:p>
    <w:p>
      <w:pPr>
        <w:pStyle w:val="BodyText"/>
      </w:pPr>
      <w:r>
        <w:t xml:space="preserve"> </w:t>
      </w:r>
    </w:p>
    <w:br w:type="page"/>
    <w:p>
      <w:pPr>
        <w:pStyle w:val="BodyText"/>
      </w:pPr>
      <w:bookmarkStart w:id="figure-3-14" w:name="figure-3-14"/>
      <w:bookmarkEnd w:id="figure-3-14"/>
    </w:p>
    <w:p>
      <w:pPr>
        <w:pStyle w:val="BodyText"/>
      </w:pPr>
      <w:r>
        <w:drawing>
          <wp:inline>
            <wp:extent cx="5969000" cy="4634331"/>
            <wp:effectExtent b="0" l="0" r="0" t="0"/>
            <wp:docPr descr="" title="" id="90" name="Picture"/>
            <a:graphic>
              <a:graphicData uri="http://schemas.openxmlformats.org/drawingml/2006/picture">
                <pic:pic>
                  <pic:nvPicPr>
                    <pic:cNvPr descr="images/006_section_results-and-discussion/009_section_ct-profiles/12_time_profile_plot_Moxifloxacin_PH_27517_0139_PO_400_mg.png" id="91" name="Picture"/>
                    <pic:cNvPicPr>
                      <a:picLocks noChangeArrowheads="1" noChangeAspect="1"/>
                    </pic:cNvPicPr>
                  </pic:nvPicPr>
                  <pic:blipFill>
                    <a:blip r:embed="rId89"/>
                    <a:stretch>
                      <a:fillRect/>
                    </a:stretch>
                  </pic:blipFill>
                  <pic:spPr bwMode="auto">
                    <a:xfrm>
                      <a:off x="0" y="0"/>
                      <a:ext cx="5969000" cy="4634331"/>
                    </a:xfrm>
                    <a:prstGeom prst="rect">
                      <a:avLst/>
                    </a:prstGeom>
                    <a:noFill/>
                    <a:ln w="9525">
                      <a:noFill/>
                      <a:headEnd/>
                      <a:tailEnd/>
                    </a:ln>
                  </pic:spPr>
                </pic:pic>
              </a:graphicData>
            </a:graphic>
          </wp:inline>
        </w:drawing>
      </w:r>
    </w:p>
    <w:p>
      <w:pPr>
        <w:pStyle w:val="BodyText"/>
      </w:pPr>
      <w:r>
        <w:rPr>
          <w:b/>
          <w:bCs/>
        </w:rPr>
        <w:t xml:space="preserve">Figure 3-14: PH 27517/0139_PO_400 mg</w:t>
      </w:r>
    </w:p>
    <w:p>
      <w:pPr>
        <w:pStyle w:val="BodyText"/>
      </w:pPr>
      <w:r>
        <w:t xml:space="preserve"> </w:t>
      </w:r>
    </w:p>
    <w:br w:type="page"/>
    <w:p>
      <w:pPr>
        <w:pStyle w:val="BodyText"/>
      </w:pPr>
      <w:bookmarkStart w:id="figure-3-15" w:name="figure-3-15"/>
      <w:bookmarkEnd w:id="figure-3-15"/>
    </w:p>
    <w:p>
      <w:pPr>
        <w:pStyle w:val="BodyText"/>
      </w:pPr>
      <w:r>
        <w:drawing>
          <wp:inline>
            <wp:extent cx="5969000" cy="4634331"/>
            <wp:effectExtent b="0" l="0" r="0" t="0"/>
            <wp:docPr descr="" title="" id="93" name="Picture"/>
            <a:graphic>
              <a:graphicData uri="http://schemas.openxmlformats.org/drawingml/2006/picture">
                <pic:pic>
                  <pic:nvPicPr>
                    <pic:cNvPr descr="images/006_section_results-and-discussion/009_section_ct-profiles/13_time_profile_plot_Moxifloxacin_Siefert_1999_IV_100_mg.png" id="94" name="Picture"/>
                    <pic:cNvPicPr>
                      <a:picLocks noChangeArrowheads="1" noChangeAspect="1"/>
                    </pic:cNvPicPr>
                  </pic:nvPicPr>
                  <pic:blipFill>
                    <a:blip r:embed="rId92"/>
                    <a:stretch>
                      <a:fillRect/>
                    </a:stretch>
                  </pic:blipFill>
                  <pic:spPr bwMode="auto">
                    <a:xfrm>
                      <a:off x="0" y="0"/>
                      <a:ext cx="5969000" cy="4634331"/>
                    </a:xfrm>
                    <a:prstGeom prst="rect">
                      <a:avLst/>
                    </a:prstGeom>
                    <a:noFill/>
                    <a:ln w="9525">
                      <a:noFill/>
                      <a:headEnd/>
                      <a:tailEnd/>
                    </a:ln>
                  </pic:spPr>
                </pic:pic>
              </a:graphicData>
            </a:graphic>
          </wp:inline>
        </w:drawing>
      </w:r>
    </w:p>
    <w:p>
      <w:pPr>
        <w:pStyle w:val="BodyText"/>
      </w:pPr>
      <w:r>
        <w:rPr>
          <w:b/>
          <w:bCs/>
        </w:rPr>
        <w:t xml:space="preserve">Figure 3-15: Siefert 1999_IV_100 mg</w:t>
      </w:r>
    </w:p>
    <w:p>
      <w:pPr>
        <w:pStyle w:val="BodyText"/>
      </w:pPr>
      <w:r>
        <w:t xml:space="preserve"> </w:t>
      </w:r>
    </w:p>
    <w:br w:type="page"/>
    <w:p>
      <w:pPr>
        <w:pStyle w:val="BodyText"/>
      </w:pPr>
      <w:bookmarkStart w:id="figure-3-16" w:name="figure-3-16"/>
      <w:bookmarkEnd w:id="figure-3-16"/>
    </w:p>
    <w:p>
      <w:pPr>
        <w:pStyle w:val="BodyText"/>
      </w:pPr>
      <w:r>
        <w:drawing>
          <wp:inline>
            <wp:extent cx="5969000" cy="4634331"/>
            <wp:effectExtent b="0" l="0" r="0" t="0"/>
            <wp:docPr descr="" title="" id="96" name="Picture"/>
            <a:graphic>
              <a:graphicData uri="http://schemas.openxmlformats.org/drawingml/2006/picture">
                <pic:pic>
                  <pic:nvPicPr>
                    <pic:cNvPr descr="images/006_section_results-and-discussion/009_section_ct-profiles/14_time_profile_plot_Moxifloxacin_Siefert_1999_PO_100_mg.png" id="97" name="Picture"/>
                    <pic:cNvPicPr>
                      <a:picLocks noChangeArrowheads="1" noChangeAspect="1"/>
                    </pic:cNvPicPr>
                  </pic:nvPicPr>
                  <pic:blipFill>
                    <a:blip r:embed="rId95"/>
                    <a:stretch>
                      <a:fillRect/>
                    </a:stretch>
                  </pic:blipFill>
                  <pic:spPr bwMode="auto">
                    <a:xfrm>
                      <a:off x="0" y="0"/>
                      <a:ext cx="5969000" cy="4634331"/>
                    </a:xfrm>
                    <a:prstGeom prst="rect">
                      <a:avLst/>
                    </a:prstGeom>
                    <a:noFill/>
                    <a:ln w="9525">
                      <a:noFill/>
                      <a:headEnd/>
                      <a:tailEnd/>
                    </a:ln>
                  </pic:spPr>
                </pic:pic>
              </a:graphicData>
            </a:graphic>
          </wp:inline>
        </w:drawing>
      </w:r>
    </w:p>
    <w:p>
      <w:pPr>
        <w:pStyle w:val="BodyText"/>
      </w:pPr>
      <w:r>
        <w:rPr>
          <w:b/>
          <w:bCs/>
        </w:rPr>
        <w:t xml:space="preserve">Figure 3-16: Siefert 1999_PO_100 mg</w:t>
      </w:r>
    </w:p>
    <w:p>
      <w:pPr>
        <w:pStyle w:val="BodyText"/>
      </w:pPr>
      <w:r>
        <w:t xml:space="preserve"> </w:t>
      </w:r>
    </w:p>
    <w:bookmarkEnd w:id="98"/>
    <w:bookmarkEnd w:id="99"/>
    <w:bookmarkStart w:id="100" w:name="conclusion"/>
    <w:p>
      <w:pPr>
        <w:pStyle w:val="Heading1"/>
      </w:pPr>
      <w:r>
        <w:t xml:space="preserve">Conclusion</w:t>
      </w:r>
      <w:bookmarkStart w:id="conclusion" w:name="conclusion"/>
      <w:bookmarkEnd w:id="conclusion"/>
    </w:p>
    <w:p>
      <w:pPr>
        <w:pStyle w:val="FirstParagraph"/>
      </w:pPr>
      <w:r>
        <w:t xml:space="preserve">The herein presented PBPK model adequately describes the pharmacokinetics of moxifloxacin in adults.</w:t>
      </w:r>
    </w:p>
    <w:p>
      <w:pPr>
        <w:pStyle w:val="BodyText"/>
      </w:pPr>
      <w:r>
        <w:t xml:space="preserve">In particular, it applies quantitative metabolism via glucuronidation and sulfate conjugation, and elimination via renal and biliary clearance. Thus, the model is fit for purpose to be applied for simulation of intravenous and oral administration of moxifloxacin in adults.</w:t>
      </w:r>
    </w:p>
    <w:bookmarkEnd w:id="100"/>
    <w:bookmarkStart w:id="105" w:name="references"/>
    <w:p>
      <w:pPr>
        <w:pStyle w:val="Heading1"/>
      </w:pPr>
      <w:r>
        <w:t xml:space="preserve">References</w:t>
      </w:r>
      <w:bookmarkStart w:id="main-references" w:name="main-references"/>
      <w:bookmarkEnd w:id="main-references"/>
    </w:p>
    <w:p>
      <w:pPr>
        <w:pStyle w:val="FirstParagraph"/>
      </w:pPr>
      <w:r>
        <w:rPr>
          <w:b/>
          <w:bCs/>
        </w:rPr>
        <w:t xml:space="preserve">Edginton 2009</w:t>
      </w:r>
      <w:r>
        <w:t xml:space="preserve"> </w:t>
      </w:r>
      <w:r>
        <w:t xml:space="preserve">Edginton AN, Ahr G, Willmann S, Stass H. Defining the role of macrophages in local moxifloxacin tissue concentrations using biopsy data and whole-body physiologically based pharmacokinetic modelling. Clin Pharmacokinet. 2009;48(3):181-7. doi: 10.2165/00003088-200948030-00004.</w:t>
      </w:r>
    </w:p>
    <w:p>
      <w:pPr>
        <w:pStyle w:val="BodyText"/>
      </w:pPr>
      <w:r>
        <w:rPr>
          <w:b/>
          <w:bCs/>
        </w:rPr>
        <w:t xml:space="preserve">Kuepfer 2016</w:t>
      </w:r>
      <w:r>
        <w:t xml:space="preserve"> </w:t>
      </w:r>
      <w:r>
        <w:t xml:space="preserve">Kuepfer L, Niederalt C, Wendl T, Schlender JF, Willmann S, Lippert J, Block M, Eissing T, Teutonico D. Applied Concepts in PBPK Modeling: How to Build a PBPK/PD Model.CPT Pharmacometrics Syst Pharmacol. 2016 Oct;5(10):516-531. doi: 10.1002/psp4.12134. Epub 2016 Oct 19.</w:t>
      </w:r>
    </w:p>
    <w:p>
      <w:pPr>
        <w:pStyle w:val="BodyText"/>
      </w:pPr>
      <w:r>
        <w:rPr>
          <w:b/>
          <w:bCs/>
        </w:rPr>
        <w:t xml:space="preserve">Langlois 2005</w:t>
      </w:r>
      <w:r>
        <w:t xml:space="preserve"> </w:t>
      </w:r>
      <w:r>
        <w:t xml:space="preserve">Langlois MH, Montagut M, Dubost JP, Grellet J, Saux MC. Protonation equilibrium and lipophilicity of moxifloxacin. J Pharm Biomed Anal. 2005 Feb 23;37(2):389-93. doi: 10.1016/j.jpba.2004.10.022.</w:t>
      </w:r>
    </w:p>
    <w:p>
      <w:pPr>
        <w:pStyle w:val="BodyText"/>
      </w:pPr>
      <w:r>
        <w:rPr>
          <w:b/>
          <w:bCs/>
        </w:rPr>
        <w:t xml:space="preserve">Litjens 2022</w:t>
      </w:r>
      <w:r>
        <w:t xml:space="preserve"> </w:t>
      </w:r>
      <w:r>
        <w:t xml:space="preserve">Litjens CHC, Verscheijden LFM, Bolwerk C, Greupink R, Koenderink JB, van den Broek PHH, van den Heuvel JJMW, Svensson EM, Boeree MJ, Magis-Escurra C, Hoefsloot W, van Crevel R, van Laarhoven A, van Ingen J, Kuipers S, Ruslami R, Burger DM, Russel FGM, Aarnoutse RE, Te Brake LHM. Prediction of Moxifloxacin Concentrations in Tuberculosis Patient Populations by Physiologically Based Pharmacokinetic Modeling. J Clin Pharmacol. 2022 Mar;62(3):385-396. doi: 10.1002/jcph.1972.</w:t>
      </w:r>
    </w:p>
    <w:p>
      <w:pPr>
        <w:pStyle w:val="BodyText"/>
      </w:pPr>
      <w:r>
        <w:rPr>
          <w:b/>
          <w:bCs/>
        </w:rPr>
        <w:t xml:space="preserve">PK-Sim Ontogeny Database Version 7.3</w:t>
      </w:r>
      <w:r>
        <w:t xml:space="preserve"> </w:t>
      </w:r>
      <w:r>
        <w:t xml:space="preserve">(</w:t>
      </w:r>
      <w:hyperlink r:id="rId101">
        <w:r>
          <w:rPr>
            <w:rStyle w:val="Hyperlink"/>
          </w:rPr>
          <w:t xml:space="preserve">https://github.com/Open-Systems-Pharmacology/OSPSuite.Documentation/blob/38cf71b384cfc25cfa0ce4d2f3addfd32757e13b/PK-Sim%20Ontogeny%20Database%20Version%207.3.pdf</w:t>
        </w:r>
      </w:hyperlink>
      <w:r>
        <w:t xml:space="preserve">)</w:t>
      </w:r>
    </w:p>
    <w:p>
      <w:pPr>
        <w:pStyle w:val="BodyText"/>
      </w:pPr>
      <w:r>
        <w:rPr>
          <w:b/>
          <w:bCs/>
        </w:rPr>
        <w:t xml:space="preserve">Schlender 2016</w:t>
      </w:r>
      <w:r>
        <w:t xml:space="preserve"> </w:t>
      </w:r>
      <w:r>
        <w:t xml:space="preserve">Schlender JF, Meyer M, Thelen K, Krauss M, Willmann S, Eissing T, Jaehde U. Development of a Whole-Body Physiologically Based Pharmacokinetic Approach to Assess the Pharmacokinetics of Drugs in Elderly Individuals. Clin Pharmacokinet. 2016 Dec;55(12):1573-1589.</w:t>
      </w:r>
    </w:p>
    <w:p>
      <w:pPr>
        <w:pStyle w:val="BodyText"/>
      </w:pPr>
      <w:r>
        <w:rPr>
          <w:b/>
          <w:bCs/>
        </w:rPr>
        <w:t xml:space="preserve">Siefert 1999</w:t>
      </w:r>
      <w:r>
        <w:t xml:space="preserve"> </w:t>
      </w:r>
      <w:r>
        <w:t xml:space="preserve">Siefert HM, Domdey-Bette A, Henninger K, Hucke F, Kohlsdorfer C, Stass HH. Pharmacokinetics of the 8-methoxyquinolone, moxifloxacin: a comparison in humans and other mammalian species. J Antimicrob Chemother. 1999 May;43 Suppl B:69-76. doi: 10.1093/jac/43.suppl_2.69. PMID: 10382878.</w:t>
      </w:r>
    </w:p>
    <w:p>
      <w:pPr>
        <w:pStyle w:val="BodyText"/>
      </w:pPr>
      <w:r>
        <w:rPr>
          <w:b/>
          <w:bCs/>
        </w:rPr>
        <w:t xml:space="preserve">Stass and Kabitza 1999</w:t>
      </w:r>
      <w:r>
        <w:t xml:space="preserve"> </w:t>
      </w:r>
      <w:r>
        <w:t xml:space="preserve">Stass H, Kubitza D. Pharmacokinetics and elimination of moxifloxacin after oral and intravenous administration in man. J Antimicrob Chemother. 1999 May;43 Suppl B:83-90. doi: 10.1093/jac/43.suppl_2.83.</w:t>
      </w:r>
    </w:p>
    <w:p>
      <w:pPr>
        <w:pStyle w:val="BodyText"/>
      </w:pPr>
      <w:r>
        <w:rPr>
          <w:b/>
          <w:bCs/>
        </w:rPr>
        <w:t xml:space="preserve">Sullivan 1999</w:t>
      </w:r>
      <w:r>
        <w:t xml:space="preserve"> </w:t>
      </w:r>
      <w:r>
        <w:t xml:space="preserve">Sullivan JT, Woodruff M, Lettieri J, Agarwal V, Krol GJ, Leese PT, Watson S, Heller AH. Pharmacokinetics of a once-daily oral dose of moxifloxacin (Bay 12-8039), a new enantiomerically pure 8-methoxy quinolone. Antimicrob Agents Chemother. 1999 Nov;43(11):2793-7. doi: 10.1128/AAC.43.11.2793.</w:t>
      </w:r>
    </w:p>
    <w:p>
      <w:pPr>
        <w:pStyle w:val="BodyText"/>
      </w:pPr>
      <w:r>
        <w:rPr>
          <w:b/>
          <w:bCs/>
        </w:rPr>
        <w:t xml:space="preserve">U.S. Food and Drug Administration 2000 U.S</w:t>
      </w:r>
      <w:r>
        <w:t xml:space="preserve">. Food and Drug Administration. Avelox (moxifloxacin) [biopharmaceutics review]. 2000. Available at:</w:t>
      </w:r>
      <w:r>
        <w:t xml:space="preserve"> </w:t>
      </w:r>
      <w:hyperlink r:id="rId102">
        <w:r>
          <w:rPr>
            <w:rStyle w:val="Hyperlink"/>
          </w:rPr>
          <w:t xml:space="preserve">https://www.accessdata.fda.gov/drugsatfda_docs/nda/99/21-085_Avelox_biopharmr.pdf</w:t>
        </w:r>
      </w:hyperlink>
    </w:p>
    <w:p>
      <w:pPr>
        <w:pStyle w:val="BodyText"/>
      </w:pPr>
      <w:r>
        <w:rPr>
          <w:b/>
          <w:bCs/>
        </w:rPr>
        <w:t xml:space="preserve">U.S. Food and Drug Administration 2016</w:t>
      </w:r>
      <w:r>
        <w:t xml:space="preserve"> </w:t>
      </w:r>
      <w:r>
        <w:t xml:space="preserve">U.S. Food and Drug Administration. Moxifloxacin hydrochloride [package insert]. 2016. Available at:</w:t>
      </w:r>
      <w:r>
        <w:t xml:space="preserve"> </w:t>
      </w:r>
      <w:hyperlink r:id="rId103">
        <w:r>
          <w:rPr>
            <w:rStyle w:val="Hyperlink"/>
          </w:rPr>
          <w:t xml:space="preserve">https://www.accessdata.fda.gov/drugsatfda_docs/label/2016/021085s063lbl.pdf</w:t>
        </w:r>
      </w:hyperlink>
    </w:p>
    <w:p>
      <w:pPr>
        <w:pStyle w:val="BodyText"/>
      </w:pPr>
      <w:r>
        <w:rPr>
          <w:b/>
          <w:bCs/>
        </w:rPr>
        <w:t xml:space="preserve">U.S. Pharmacist 2023</w:t>
      </w:r>
      <w:r>
        <w:t xml:space="preserve"> </w:t>
      </w:r>
      <w:r>
        <w:t xml:space="preserve">U.S. Pharmacist. Moxifloxacin 20 mg/mL Oral Suspension. 2023. Available at:</w:t>
      </w:r>
      <w:r>
        <w:t xml:space="preserve"> </w:t>
      </w:r>
      <w:hyperlink r:id="rId104">
        <w:r>
          <w:rPr>
            <w:rStyle w:val="Hyperlink"/>
          </w:rPr>
          <w:t xml:space="preserve">https://www.uspharmacist.com/article/moxifloxacin-20-mg-ml-oral-suspension</w:t>
        </w:r>
      </w:hyperlink>
    </w:p>
    <w:p>
      <w:pPr>
        <w:pStyle w:val="BodyText"/>
      </w:pPr>
      <w:r>
        <w:rPr>
          <w:b/>
          <w:bCs/>
        </w:rPr>
        <w:t xml:space="preserve">Willmann 2019</w:t>
      </w:r>
      <w:r>
        <w:t xml:space="preserve"> </w:t>
      </w:r>
      <w:r>
        <w:t xml:space="preserve">Willmann S, Frei M, Sutter G, Coboeken K, Wendl T, Eissing T, Lippert J, Stass H. Application of Physiologically-Based and Population Pharmacokinetic Modeling for Dose Finding and Confirmation During the Pediatric Development of Moxifloxacin. CPT Pharmacometrics Syst Pharmacol. 2019 Sep;8(9):654-663. doi: 10.1002/psp4.12446.</w:t>
      </w:r>
    </w:p>
    <w:bookmarkEnd w:id="105"/>
    <w:sectPr w:rsidR="00B470D9">
      <w:headerReference r:id="rId9" w:type="default"/>
      <w:footerReference r:id="rId10" w:type="default"/>
      <w:pgSz w:h="15840" w:w="12240"/>
      <w:pgMar w:bottom="1134"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720" w:rsidRDefault="00237720">
    <w:pPr>
      <w:pStyle w:val="Footer"/>
      <w:jc w:val="center"/>
    </w:pPr>
  </w:p>
  <w:p w:rsidR="00237720" w:rsidRDefault="0023772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620381891"/>
      <w:docPartObj>
        <w:docPartGallery w:val="Page Numbers (Top of Page)"/>
        <w:docPartUnique/>
      </w:docPartObj>
    </w:sdtPr>
    <w:sdtEndPr/>
    <w:sdtContent>
      <w:p w:rsidR="000F07F1" w:rsidRPr="007E2361" w:rsidRDefault="000F07F1" w:rsidP="000F07F1">
        <w:pPr>
          <w:pStyle w:val="Header"/>
          <w:jc w:val="right"/>
          <w:rPr>
            <w:rFonts w:ascii="Times New Roman" w:hAnsi="Times New Roman" w:cs="Times New Roman"/>
          </w:rPr>
        </w:pPr>
        <w:r w:rsidRPr="007E2361">
          <w:rPr>
            <w:rFonts w:ascii="Times New Roman" w:hAnsi="Times New Roman" w:cs="Times New Roman"/>
            <w:lang w:val="de-DE"/>
          </w:rPr>
          <w:t xml:space="preserve">Page </w:t>
        </w:r>
        <w:r w:rsidRPr="007E2361">
          <w:rPr>
            <w:rFonts w:ascii="Times New Roman" w:hAnsi="Times New Roman" w:cs="Times New Roman"/>
          </w:rPr>
          <w:fldChar w:fldCharType="begin"/>
        </w:r>
        <w:r w:rsidRPr="007E2361">
          <w:rPr>
            <w:rFonts w:ascii="Times New Roman" w:hAnsi="Times New Roman" w:cs="Times New Roman"/>
          </w:rPr>
          <w:instrText>PAGE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rPr>
          <w:fldChar w:fldCharType="end"/>
        </w:r>
        <w:r w:rsidRPr="007E2361">
          <w:rPr>
            <w:rFonts w:ascii="Times New Roman" w:hAnsi="Times New Roman" w:cs="Times New Roman"/>
            <w:lang w:val="de-DE"/>
          </w:rPr>
          <w:t xml:space="preserve"> of </w:t>
        </w:r>
        <w:r w:rsidRPr="007E2361">
          <w:rPr>
            <w:rFonts w:ascii="Times New Roman" w:hAnsi="Times New Roman" w:cs="Times New Roman"/>
          </w:rPr>
          <w:fldChar w:fldCharType="begin"/>
        </w:r>
        <w:r w:rsidRPr="007E2361">
          <w:rPr>
            <w:rFonts w:ascii="Times New Roman" w:hAnsi="Times New Roman" w:cs="Times New Roman"/>
          </w:rPr>
          <w:instrText>NUMPAGES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lang w:val="de-DE"/>
          </w:rPr>
          <w:fldChar w:fldCharType="end"/>
        </w:r>
      </w:p>
    </w:sdtContent>
  </w:sdt>
  <w:p w:rsidR="000F07F1" w:rsidRDefault="000F07F1">
    <w:pPr>
      <w:pStyle w:val="Header"/>
    </w:pPr>
  </w:p>
</w:hdr>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52D2BCA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AD6823F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FD149514"/>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EB28122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966F83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9746C57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51D6116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6DCFC3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8EB43C6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3B06E4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E7ACBA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E6E7027"/>
    <w:multiLevelType w:val="multilevel"/>
    <w:tmpl w:val="CFB603AE"/>
    <w:styleLink w:val="REVersuch2"/>
    <w:lvl w:ilvl="0">
      <w:start w:val="1"/>
      <w:numFmt w:val="decimal"/>
      <w:lvlText w:val="%1"/>
      <w:lvlJc w:val="left"/>
      <w:pPr>
        <w:ind w:hanging="360" w:left="360"/>
      </w:pPr>
      <w:rPr>
        <w:rFonts w:hint="default"/>
      </w:rPr>
    </w:lvl>
    <w:lvl w:ilvl="1">
      <w:start w:val="1"/>
      <w:numFmt w:val="decimal"/>
      <w:lvlText w:val="%1.%2"/>
      <w:lvlJc w:val="left"/>
      <w:pPr>
        <w:ind w:hanging="360" w:left="720"/>
      </w:pPr>
      <w:rPr>
        <w:rFonts w:hint="default"/>
      </w:rPr>
    </w:lvl>
    <w:lvl w:ilvl="2">
      <w:start w:val="1"/>
      <w:numFmt w:val="decimal"/>
      <w:lvlText w:val="%1.%2.%3"/>
      <w:lvlJc w:val="left"/>
      <w:pPr>
        <w:ind w:hanging="360" w:left="1080"/>
      </w:pPr>
      <w:rPr>
        <w:rFonts w:hint="default"/>
      </w:rPr>
    </w:lvl>
    <w:lvl w:ilvl="3">
      <w:start w:val="1"/>
      <w:numFmt w:val="decimal"/>
      <w:lvlText w:val="%1.%2.%3.%4"/>
      <w:lvlJc w:val="left"/>
      <w:pPr>
        <w:ind w:hanging="360" w:left="1440"/>
      </w:pPr>
      <w:rPr>
        <w:rFonts w:hint="default"/>
      </w:rPr>
    </w:lvl>
    <w:lvl w:ilvl="4">
      <w:start w:val="1"/>
      <w:numFmt w:val="decimal"/>
      <w:lvlText w:val="%1.%2.%3.%4.%5"/>
      <w:lvlJc w:val="left"/>
      <w:pPr>
        <w:ind w:hanging="360" w:left="1800"/>
      </w:pPr>
      <w:rPr>
        <w:rFonts w:hint="default"/>
      </w:rPr>
    </w:lvl>
    <w:lvl w:ilvl="5">
      <w:start w:val="1"/>
      <w:numFmt w:val="decimal"/>
      <w:lvlText w:val="%1.%2.%3.%4.%5.%6"/>
      <w:lvlJc w:val="left"/>
      <w:pPr>
        <w:ind w:hanging="360" w:left="2160"/>
      </w:pPr>
      <w:rPr>
        <w:rFonts w:hint="default"/>
      </w:rPr>
    </w:lvl>
    <w:lvl w:ilvl="6">
      <w:start w:val="1"/>
      <w:numFmt w:val="decimal"/>
      <w:lvlText w:val="%1.%2.%3.%4.%5.%6.%7"/>
      <w:lvlJc w:val="left"/>
      <w:pPr>
        <w:ind w:hanging="360" w:left="2520"/>
      </w:pPr>
      <w:rPr>
        <w:rFonts w:hint="default"/>
      </w:rPr>
    </w:lvl>
    <w:lvl w:ilvl="7">
      <w:start w:val="1"/>
      <w:numFmt w:val="decimal"/>
      <w:lvlText w:val="%1.%2.%3.%4.%5.%6.%7.%8"/>
      <w:lvlJc w:val="left"/>
      <w:pPr>
        <w:ind w:hanging="360" w:left="2880"/>
      </w:pPr>
      <w:rPr>
        <w:rFonts w:hint="default"/>
      </w:rPr>
    </w:lvl>
    <w:lvl w:ilvl="8">
      <w:start w:val="1"/>
      <w:numFmt w:val="decimal"/>
      <w:lvlText w:val="%1.%2.%3.%4.%5.%6.%7.%8.%9"/>
      <w:lvlJc w:val="left"/>
      <w:pPr>
        <w:ind w:hanging="360" w:left="3240"/>
      </w:pPr>
      <w:rPr>
        <w:rFonts w:hint="default"/>
      </w:rPr>
    </w:lvl>
  </w:abstractNum>
  <w:abstractNum w15:restartNumberingAfterBreak="0" w:abstractNumId="12">
    <w:nsid w:val="2F4367A2"/>
    <w:multiLevelType w:val="hybridMultilevel"/>
    <w:tmpl w:val="0E94A3F2"/>
    <w:lvl w:ilvl="0" w:tplc="6FFEDB94">
      <w:start w:val="1"/>
      <w:numFmt w:val="decimal"/>
      <w:lvlText w:val="Figure %1: "/>
      <w:lvlJc w:val="left"/>
      <w:pPr>
        <w:ind w:hanging="360" w:left="720"/>
      </w:pPr>
      <w:rPr>
        <w:rFonts w:hint="default"/>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3">
    <w:nsid w:val="439D272C"/>
    <w:multiLevelType w:val="multilevel"/>
    <w:tmpl w:val="5E8A4980"/>
    <w:lvl w:ilvl="0">
      <w:start w:val="1"/>
      <w:numFmt w:val="decimal"/>
      <w:pStyle w:val="Heading1"/>
      <w:lvlText w:val="%1"/>
      <w:lvlJc w:val="left"/>
      <w:pPr>
        <w:ind w:hanging="1134" w:left="1134"/>
      </w:pPr>
      <w:rPr>
        <w:rFonts w:hint="default"/>
      </w:rPr>
    </w:lvl>
    <w:lvl w:ilvl="1">
      <w:start w:val="1"/>
      <w:numFmt w:val="decimal"/>
      <w:pStyle w:val="Heading2"/>
      <w:lvlText w:val="%1.%2"/>
      <w:lvlJc w:val="left"/>
      <w:pPr>
        <w:ind w:hanging="1134" w:left="1134"/>
      </w:pPr>
      <w:rPr>
        <w:rFonts w:hint="default"/>
      </w:rPr>
    </w:lvl>
    <w:lvl w:ilvl="2">
      <w:start w:val="1"/>
      <w:numFmt w:val="decimal"/>
      <w:pStyle w:val="Heading3"/>
      <w:lvlText w:val="%1.%2.%3"/>
      <w:lvlJc w:val="left"/>
      <w:pPr>
        <w:ind w:hanging="1134" w:left="1134"/>
      </w:pPr>
      <w:rPr>
        <w:rFonts w:hint="default"/>
      </w:rPr>
    </w:lvl>
    <w:lvl w:ilvl="3">
      <w:start w:val="1"/>
      <w:numFmt w:val="decimal"/>
      <w:pStyle w:val="Heading4"/>
      <w:lvlText w:val="%1.%2.%3.%4"/>
      <w:lvlJc w:val="left"/>
      <w:pPr>
        <w:ind w:hanging="1134" w:left="1134"/>
      </w:pPr>
      <w:rPr>
        <w:rFonts w:hint="default"/>
      </w:rPr>
    </w:lvl>
    <w:lvl w:ilvl="4">
      <w:start w:val="1"/>
      <w:numFmt w:val="decimal"/>
      <w:pStyle w:val="Heading5"/>
      <w:lvlText w:val="%1.%2.%3.%4.%5"/>
      <w:lvlJc w:val="left"/>
      <w:pPr>
        <w:ind w:hanging="1134" w:left="1134"/>
      </w:pPr>
      <w:rPr>
        <w:rFonts w:hint="default"/>
      </w:rPr>
    </w:lvl>
    <w:lvl w:ilvl="5">
      <w:start w:val="1"/>
      <w:numFmt w:val="decimal"/>
      <w:pStyle w:val="Heading6"/>
      <w:lvlText w:val="%1.%2.%3.%4.%5.%6"/>
      <w:lvlJc w:val="left"/>
      <w:pPr>
        <w:ind w:hanging="1134" w:left="1134"/>
      </w:pPr>
      <w:rPr>
        <w:rFonts w:hint="default"/>
      </w:rPr>
    </w:lvl>
    <w:lvl w:ilvl="6">
      <w:start w:val="1"/>
      <w:numFmt w:val="decimal"/>
      <w:pStyle w:val="Heading7"/>
      <w:lvlText w:val="%1.%2.%3.%4.%5.%6.%7"/>
      <w:lvlJc w:val="left"/>
      <w:pPr>
        <w:ind w:hanging="1134" w:left="1134"/>
      </w:pPr>
      <w:rPr>
        <w:rFonts w:hint="default"/>
      </w:rPr>
    </w:lvl>
    <w:lvl w:ilvl="7">
      <w:start w:val="1"/>
      <w:numFmt w:val="decimal"/>
      <w:pStyle w:val="Heading8"/>
      <w:lvlText w:val="%1.%2.%3.%4.%5.%6.%7.%8"/>
      <w:lvlJc w:val="left"/>
      <w:pPr>
        <w:ind w:hanging="1134" w:left="1134"/>
      </w:pPr>
      <w:rPr>
        <w:rFonts w:hint="default"/>
      </w:rPr>
    </w:lvl>
    <w:lvl w:ilvl="8">
      <w:start w:val="1"/>
      <w:numFmt w:val="decimal"/>
      <w:pStyle w:val="Heading9"/>
      <w:lvlText w:val="%1.%2.%3.%4.%5.%6.%7.%8.%9"/>
      <w:lvlJc w:val="left"/>
      <w:pPr>
        <w:ind w:hanging="1134" w:left="1134"/>
      </w:pPr>
      <w:rPr>
        <w:rFonts w:hint="default"/>
      </w:rPr>
    </w:lvl>
  </w:abstractNum>
  <w:abstractNum w15:restartNumberingAfterBreak="0" w:abstractNumId="14">
    <w:nsid w:val="4E027060"/>
    <w:multiLevelType w:val="hybridMultilevel"/>
    <w:tmpl w:val="BDE6AA42"/>
    <w:lvl w:ilvl="0" w:tplc="9976DFBA">
      <w:start w:val="1"/>
      <w:numFmt w:val="decimal"/>
      <w:lvlText w:val="Table %1: "/>
      <w:lvlJc w:val="left"/>
      <w:pPr>
        <w:ind w:hanging="360" w:left="720"/>
      </w:pPr>
      <w:rPr>
        <w:rFonts w:hint="default"/>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5">
    <w:nsid w:val="57675838"/>
    <w:multiLevelType w:val="multilevel"/>
    <w:tmpl w:val="CFB603AE"/>
    <w:numStyleLink w:val="REVersuch2"/>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5"/>
  </w:num>
  <w:num w:numId="14">
    <w:abstractNumId w:val="13"/>
  </w:num>
  <w:num w:numId="15">
    <w:abstractNumId w:val="12"/>
  </w:num>
  <w:num w:numId="16">
    <w:abstractNumId w:val="14"/>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hdrShapeDefaults>
    <o:shapedefaults spidmax="2049" v:ext="edit"/>
  </w:hdrShapeDefaults>
  <w:compat>
    <w:compatSetting w:name="compatibilityMode" w:uri="http://schemas.microsoft.com/office/word" w:val="12"/>
  </w:compat>
  <w:rsids>
    <w:rsidRoot w:val="00590D07"/>
    <w:rsid w:val="00011C8B"/>
    <w:rsid w:val="000734FB"/>
    <w:rsid w:val="000E1B2F"/>
    <w:rsid w:val="000F07F1"/>
    <w:rsid w:val="000F5DB1"/>
    <w:rsid w:val="00146921"/>
    <w:rsid w:val="00162E8B"/>
    <w:rsid w:val="001F2816"/>
    <w:rsid w:val="00234469"/>
    <w:rsid w:val="00237720"/>
    <w:rsid w:val="0029603E"/>
    <w:rsid w:val="002C4A59"/>
    <w:rsid w:val="002F4CD4"/>
    <w:rsid w:val="00343728"/>
    <w:rsid w:val="00346B4C"/>
    <w:rsid w:val="003E4DE9"/>
    <w:rsid w:val="004116D0"/>
    <w:rsid w:val="00434B30"/>
    <w:rsid w:val="00445902"/>
    <w:rsid w:val="00450F55"/>
    <w:rsid w:val="00477FD0"/>
    <w:rsid w:val="0048332C"/>
    <w:rsid w:val="004937DA"/>
    <w:rsid w:val="004C4345"/>
    <w:rsid w:val="004D3FE5"/>
    <w:rsid w:val="004E29B3"/>
    <w:rsid w:val="00506EDB"/>
    <w:rsid w:val="00550145"/>
    <w:rsid w:val="005815A9"/>
    <w:rsid w:val="00590D07"/>
    <w:rsid w:val="005A718E"/>
    <w:rsid w:val="00633BB9"/>
    <w:rsid w:val="006E57FF"/>
    <w:rsid w:val="00784D58"/>
    <w:rsid w:val="007A26BD"/>
    <w:rsid w:val="007E2361"/>
    <w:rsid w:val="007E34D1"/>
    <w:rsid w:val="00830389"/>
    <w:rsid w:val="008D31A4"/>
    <w:rsid w:val="008D6863"/>
    <w:rsid w:val="008F3A26"/>
    <w:rsid w:val="00943973"/>
    <w:rsid w:val="00943A19"/>
    <w:rsid w:val="00947885"/>
    <w:rsid w:val="009B4337"/>
    <w:rsid w:val="00A80011"/>
    <w:rsid w:val="00B034F3"/>
    <w:rsid w:val="00B118F8"/>
    <w:rsid w:val="00B470D9"/>
    <w:rsid w:val="00B719B4"/>
    <w:rsid w:val="00B86B75"/>
    <w:rsid w:val="00B9454F"/>
    <w:rsid w:val="00BC48D5"/>
    <w:rsid w:val="00C36279"/>
    <w:rsid w:val="00CB3290"/>
    <w:rsid w:val="00CB69FF"/>
    <w:rsid w:val="00CE3AD6"/>
    <w:rsid w:val="00D056E5"/>
    <w:rsid w:val="00D500C1"/>
    <w:rsid w:val="00DD2908"/>
    <w:rsid w:val="00DF4C3C"/>
    <w:rsid w:val="00E208A1"/>
    <w:rsid w:val="00E315A3"/>
    <w:rsid w:val="00F45D3A"/>
    <w:rsid w:val="00F5435A"/>
    <w:rsid w:val="00F74C03"/>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49"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style>
  <w:style w:styleId="Heading1" w:type="paragraph">
    <w:name w:val="heading 1"/>
    <w:basedOn w:val="Normal"/>
    <w:next w:val="BodyText"/>
    <w:uiPriority w:val="9"/>
    <w:qFormat/>
    <w:rsid w:val="00DF4C3C"/>
    <w:pPr>
      <w:keepNext/>
      <w:keepLines/>
      <w:pageBreakBefore/>
      <w:numPr>
        <w:numId w:val="14"/>
      </w:numPr>
      <w:spacing w:after="0" w:before="480"/>
      <w:outlineLvl w:val="0"/>
    </w:pPr>
    <w:rPr>
      <w:rFonts w:ascii="Times New Roman" w:cstheme="majorBidi" w:eastAsiaTheme="majorEastAsia" w:hAnsi="Times New Roman"/>
      <w:b/>
      <w:bCs/>
      <w:sz w:val="28"/>
      <w:szCs w:val="32"/>
    </w:rPr>
  </w:style>
  <w:style w:styleId="Heading2" w:type="paragraph">
    <w:name w:val="heading 2"/>
    <w:basedOn w:val="Normal"/>
    <w:next w:val="BodyText"/>
    <w:uiPriority w:val="9"/>
    <w:unhideWhenUsed/>
    <w:qFormat/>
    <w:rsid w:val="00D500C1"/>
    <w:pPr>
      <w:keepNext/>
      <w:keepLines/>
      <w:numPr>
        <w:ilvl w:val="1"/>
        <w:numId w:val="14"/>
      </w:numPr>
      <w:spacing w:after="0" w:before="200"/>
      <w:outlineLvl w:val="1"/>
    </w:pPr>
    <w:rPr>
      <w:rFonts w:ascii="Times New Roman" w:cstheme="majorBidi" w:eastAsiaTheme="majorEastAsia" w:hAnsi="Times New Roman"/>
      <w:b/>
      <w:bCs/>
      <w:sz w:val="26"/>
      <w:szCs w:val="28"/>
    </w:rPr>
  </w:style>
  <w:style w:styleId="Heading3" w:type="paragraph">
    <w:name w:val="heading 3"/>
    <w:basedOn w:val="Normal"/>
    <w:next w:val="BodyText"/>
    <w:uiPriority w:val="9"/>
    <w:unhideWhenUsed/>
    <w:qFormat/>
    <w:rsid w:val="00D500C1"/>
    <w:pPr>
      <w:keepNext/>
      <w:keepLines/>
      <w:numPr>
        <w:ilvl w:val="2"/>
        <w:numId w:val="14"/>
      </w:numPr>
      <w:spacing w:after="0" w:before="200"/>
      <w:outlineLvl w:val="2"/>
    </w:pPr>
    <w:rPr>
      <w:rFonts w:ascii="Times New Roman" w:cstheme="majorBidi" w:eastAsiaTheme="majorEastAsia" w:hAnsi="Times New Roman"/>
      <w:b/>
      <w:bCs/>
      <w:sz w:val="26"/>
    </w:rPr>
  </w:style>
  <w:style w:styleId="Heading4" w:type="paragraph">
    <w:name w:val="heading 4"/>
    <w:basedOn w:val="Normal"/>
    <w:next w:val="BodyText"/>
    <w:uiPriority w:val="9"/>
    <w:unhideWhenUsed/>
    <w:qFormat/>
    <w:rsid w:val="00D500C1"/>
    <w:pPr>
      <w:keepNext/>
      <w:keepLines/>
      <w:numPr>
        <w:ilvl w:val="3"/>
        <w:numId w:val="14"/>
      </w:numPr>
      <w:spacing w:after="0" w:before="200"/>
      <w:outlineLvl w:val="3"/>
    </w:pPr>
    <w:rPr>
      <w:rFonts w:ascii="Times New Roman" w:cstheme="majorBidi" w:eastAsiaTheme="majorEastAsia" w:hAnsi="Times New Roman"/>
      <w:b/>
      <w:bCs/>
      <w:sz w:val="26"/>
    </w:rPr>
  </w:style>
  <w:style w:styleId="Heading5" w:type="paragraph">
    <w:name w:val="heading 5"/>
    <w:basedOn w:val="Normal"/>
    <w:next w:val="BodyText"/>
    <w:uiPriority w:val="9"/>
    <w:unhideWhenUsed/>
    <w:qFormat/>
    <w:rsid w:val="00D500C1"/>
    <w:pPr>
      <w:keepNext/>
      <w:keepLines/>
      <w:numPr>
        <w:ilvl w:val="4"/>
        <w:numId w:val="14"/>
      </w:numPr>
      <w:spacing w:after="0" w:before="200"/>
      <w:outlineLvl w:val="4"/>
    </w:pPr>
    <w:rPr>
      <w:rFonts w:ascii="Times New Roman" w:cstheme="majorBidi" w:eastAsiaTheme="majorEastAsia" w:hAnsi="Times New Roman"/>
      <w:b/>
      <w:iCs/>
      <w:sz w:val="26"/>
    </w:rPr>
  </w:style>
  <w:style w:styleId="Heading6" w:type="paragraph">
    <w:name w:val="heading 6"/>
    <w:basedOn w:val="Normal"/>
    <w:next w:val="BodyText"/>
    <w:uiPriority w:val="9"/>
    <w:unhideWhenUsed/>
    <w:qFormat/>
    <w:rsid w:val="00D500C1"/>
    <w:pPr>
      <w:keepNext/>
      <w:keepLines/>
      <w:numPr>
        <w:ilvl w:val="5"/>
        <w:numId w:val="14"/>
      </w:numPr>
      <w:spacing w:after="0" w:before="200"/>
      <w:outlineLvl w:val="5"/>
    </w:pPr>
    <w:rPr>
      <w:rFonts w:ascii="Times New Roman" w:cstheme="majorBidi" w:eastAsiaTheme="majorEastAsia" w:hAnsi="Times New Roman"/>
      <w:b/>
      <w:sz w:val="26"/>
    </w:rPr>
  </w:style>
  <w:style w:styleId="Heading7" w:type="paragraph">
    <w:name w:val="heading 7"/>
    <w:basedOn w:val="Normal"/>
    <w:next w:val="BodyText"/>
    <w:uiPriority w:val="9"/>
    <w:unhideWhenUsed/>
    <w:qFormat/>
    <w:rsid w:val="00D500C1"/>
    <w:pPr>
      <w:keepNext/>
      <w:keepLines/>
      <w:numPr>
        <w:ilvl w:val="6"/>
        <w:numId w:val="14"/>
      </w:numPr>
      <w:spacing w:after="0" w:before="200"/>
      <w:outlineLvl w:val="6"/>
    </w:pPr>
    <w:rPr>
      <w:rFonts w:ascii="Times New Roman" w:cstheme="majorBidi" w:eastAsiaTheme="majorEastAsia" w:hAnsi="Times New Roman"/>
      <w:b/>
      <w:sz w:val="26"/>
    </w:rPr>
  </w:style>
  <w:style w:styleId="Heading8" w:type="paragraph">
    <w:name w:val="heading 8"/>
    <w:basedOn w:val="Normal"/>
    <w:next w:val="BodyText"/>
    <w:uiPriority w:val="9"/>
    <w:unhideWhenUsed/>
    <w:qFormat/>
    <w:rsid w:val="00D500C1"/>
    <w:pPr>
      <w:keepNext/>
      <w:keepLines/>
      <w:numPr>
        <w:ilvl w:val="7"/>
        <w:numId w:val="14"/>
      </w:numPr>
      <w:spacing w:after="0" w:before="200"/>
      <w:outlineLvl w:val="7"/>
    </w:pPr>
    <w:rPr>
      <w:rFonts w:ascii="Times New Roman" w:cstheme="majorBidi" w:eastAsiaTheme="majorEastAsia" w:hAnsi="Times New Roman"/>
      <w:b/>
      <w:sz w:val="26"/>
    </w:rPr>
  </w:style>
  <w:style w:styleId="Heading9" w:type="paragraph">
    <w:name w:val="heading 9"/>
    <w:basedOn w:val="Normal"/>
    <w:next w:val="BodyText"/>
    <w:uiPriority w:val="9"/>
    <w:unhideWhenUsed/>
    <w:qFormat/>
    <w:rsid w:val="00D500C1"/>
    <w:pPr>
      <w:keepNext/>
      <w:keepLines/>
      <w:numPr>
        <w:ilvl w:val="8"/>
        <w:numId w:val="14"/>
      </w:numPr>
      <w:spacing w:after="0" w:before="200"/>
      <w:outlineLvl w:val="8"/>
    </w:pPr>
    <w:rPr>
      <w:rFonts w:ascii="Times New Roman" w:cstheme="majorBidi" w:eastAsiaTheme="majorEastAsia" w:hAnsi="Times New Roman"/>
      <w:b/>
      <w:sz w:val="26"/>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B034F3"/>
    <w:pPr>
      <w:spacing w:after="180" w:before="180" w:line="360" w:lineRule="auto"/>
    </w:pPr>
    <w:rPr>
      <w:rFonts w:ascii="Arial" w:hAnsi="Arial"/>
      <w:sz w:val="20"/>
    </w:rPr>
  </w:style>
  <w:style w:customStyle="1" w:styleId="FirstParagraph" w:type="paragraph">
    <w:name w:val="First Paragraph"/>
    <w:basedOn w:val="BodyText"/>
    <w:next w:val="BodyText"/>
    <w:autoRedefine/>
    <w:qFormat/>
    <w:rsid w:val="008D31A4"/>
  </w:style>
  <w:style w:customStyle="1" w:styleId="Compact" w:type="paragraph">
    <w:name w:val="Compact"/>
    <w:basedOn w:val="BodyText"/>
    <w:autoRedefine/>
    <w:qFormat/>
    <w:rsid w:val="008D31A4"/>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8D31A4"/>
    <w:pPr>
      <w:keepNext/>
      <w:keepLines/>
      <w:jc w:val="center"/>
    </w:pPr>
    <w:rPr>
      <w:rFonts w:ascii="Arial" w:hAnsi="Arial"/>
    </w:rPr>
  </w:style>
  <w:style w:styleId="Date" w:type="paragraph">
    <w:name w:val="Date"/>
    <w:next w:val="BodyText"/>
    <w:autoRedefine/>
    <w:qFormat/>
    <w:rsid w:val="008D31A4"/>
    <w:pPr>
      <w:keepNext/>
      <w:keepLines/>
      <w:jc w:val="center"/>
    </w:pPr>
    <w:rPr>
      <w:rFonts w:ascii="Arial" w:hAnsi="Arial"/>
    </w:rPr>
  </w:style>
  <w:style w:customStyle="1" w:styleId="Abstract" w:type="paragraph">
    <w:name w:val="Abstract"/>
    <w:basedOn w:val="Normal"/>
    <w:next w:val="BodyText"/>
    <w:autoRedefine/>
    <w:qFormat/>
    <w:rsid w:val="008D31A4"/>
    <w:pPr>
      <w:keepNext/>
      <w:keepLines/>
      <w:spacing w:after="300" w:before="300"/>
      <w:jc w:val="both"/>
    </w:pPr>
    <w:rPr>
      <w:rFonts w:ascii="Arial" w:hAnsi="Arial"/>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basedOn w:val="GridTable1Light"/>
    <w:semiHidden/>
    <w:unhideWhenUsed/>
    <w:qFormat/>
    <w:rsid w:val="008F3A26"/>
    <w:rPr>
      <w:rFonts w:ascii="Arial" w:hAnsi="Arial"/>
      <w:sz w:val="20"/>
      <w:szCs w:val="20"/>
      <w:lang w:eastAsia="en-CA" w:val="en-CA"/>
    </w:rPr>
    <w:tblPr/>
    <w:tcPr>
      <w:vAlign w:val="center"/>
    </w:tcPr>
    <w:tblStylePr w:type="firstRow">
      <w:rPr>
        <w:b/>
        <w:bCs/>
      </w:rPr>
      <w:tblPr/>
      <w:tcPr>
        <w:tcBorders>
          <w:bottom w:color="666666" w:space="0" w:sz="12" w:themeColor="text1" w:themeTint="99" w:val="single"/>
        </w:tcBorders>
      </w:tcPr>
    </w:tblStylePr>
    <w:tblStylePr w:type="lastRow">
      <w:rPr>
        <w:b w:val="0"/>
        <w:bCs/>
      </w:rPr>
      <w:tblPr/>
      <w:tcPr>
        <w:tcBorders>
          <w:top w:color="BFBFBF" w:space="0" w:sz="4" w:themeColor="background1" w:themeShade="BF" w:val="single"/>
        </w:tcBorders>
      </w:tcPr>
    </w:tblStylePr>
    <w:tblStylePr w:type="firstCol">
      <w:rPr>
        <w:b/>
        <w:bCs/>
      </w:rPr>
    </w:tblStylePr>
    <w:tblStylePr w:type="lastCol">
      <w:rPr>
        <w:b w:val="0"/>
        <w:bCs/>
      </w:rPr>
    </w:tblStylePr>
    <w:tblStylePr w:type="swCell">
      <w:rPr>
        <w:b/>
      </w:r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CB69FF"/>
    <w:pPr>
      <w:keepNext/>
      <w:spacing w:before="120"/>
    </w:pPr>
    <w:rPr>
      <w:rFonts w:ascii="Arial" w:hAnsi="Arial"/>
      <w:b/>
      <w:i w:val="0"/>
      <w:sz w:val="20"/>
    </w:rPr>
  </w:style>
  <w:style w:customStyle="1" w:styleId="ImageCaption" w:type="paragraph">
    <w:name w:val="Image Caption"/>
    <w:basedOn w:val="Caption"/>
    <w:rsid w:val="00CB69FF"/>
    <w:rPr>
      <w:rFonts w:ascii="Arial" w:hAnsi="Arial"/>
      <w:b/>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styleId="FootnoteReference" w:type="character">
    <w:name w:val="footnote reference"/>
    <w:basedOn w:val="CaptionChar"/>
    <w:rPr>
      <w:vertAlign w:val="superscript"/>
    </w:rPr>
  </w:style>
  <w:style w:styleId="Hyperlink" w:type="character">
    <w:name w:val="Hyperlink"/>
    <w:uiPriority w:val="99"/>
    <w:rsid w:val="007E2361"/>
    <w:rPr>
      <w:color w:val="0000FF"/>
    </w:rPr>
  </w:style>
  <w:style w:styleId="TOCHeading" w:type="paragraph">
    <w:name w:val="TOC Heading"/>
    <w:aliases w:val="RE_TableOfContent"/>
    <w:next w:val="BodyText"/>
    <w:uiPriority w:val="39"/>
    <w:unhideWhenUsed/>
    <w:qFormat/>
    <w:rsid w:val="00D500C1"/>
    <w:pPr>
      <w:spacing w:before="240" w:line="259" w:lineRule="auto"/>
    </w:pPr>
    <w:rPr>
      <w:rFonts w:ascii="Times New Roman" w:cstheme="majorBidi" w:eastAsiaTheme="majorEastAsia" w:hAnsi="Times New Roman"/>
      <w:b/>
      <w:szCs w:val="32"/>
    </w:rPr>
  </w:style>
  <w:style w:styleId="Header" w:type="paragraph">
    <w:name w:val="header"/>
    <w:basedOn w:val="Normal"/>
    <w:link w:val="HeaderChar"/>
    <w:unhideWhenUsed/>
    <w:rsid w:val="00237720"/>
    <w:pPr>
      <w:tabs>
        <w:tab w:pos="4536" w:val="center"/>
        <w:tab w:pos="9072" w:val="right"/>
      </w:tabs>
      <w:spacing w:after="0"/>
    </w:pPr>
  </w:style>
  <w:style w:customStyle="1" w:styleId="HeaderChar" w:type="character">
    <w:name w:val="Header Char"/>
    <w:basedOn w:val="DefaultParagraphFont"/>
    <w:link w:val="Header"/>
    <w:rsid w:val="00237720"/>
  </w:style>
  <w:style w:styleId="Footer" w:type="paragraph">
    <w:name w:val="footer"/>
    <w:basedOn w:val="Normal"/>
    <w:link w:val="FooterChar"/>
    <w:uiPriority w:val="99"/>
    <w:unhideWhenUsed/>
    <w:rsid w:val="00237720"/>
    <w:pPr>
      <w:tabs>
        <w:tab w:pos="4536" w:val="center"/>
        <w:tab w:pos="9072" w:val="right"/>
      </w:tabs>
      <w:spacing w:after="0"/>
    </w:pPr>
  </w:style>
  <w:style w:customStyle="1" w:styleId="FooterChar" w:type="character">
    <w:name w:val="Footer Char"/>
    <w:basedOn w:val="DefaultParagraphFont"/>
    <w:link w:val="Footer"/>
    <w:uiPriority w:val="99"/>
    <w:rsid w:val="00237720"/>
  </w:style>
  <w:style w:customStyle="1" w:styleId="REVersuch2" w:type="numbering">
    <w:name w:val="RE_Versuch_2"/>
    <w:uiPriority w:val="99"/>
    <w:rsid w:val="00F5435A"/>
    <w:pPr>
      <w:numPr>
        <w:numId w:val="12"/>
      </w:numPr>
    </w:pPr>
  </w:style>
  <w:style w:customStyle="1" w:styleId="BodyTextChar" w:type="character">
    <w:name w:val="Body Text Char"/>
    <w:basedOn w:val="DefaultParagraphFont"/>
    <w:link w:val="BodyText"/>
    <w:rsid w:val="00B034F3"/>
    <w:rPr>
      <w:rFonts w:ascii="Arial" w:hAnsi="Arial"/>
      <w:sz w:val="20"/>
    </w:rPr>
  </w:style>
  <w:style w:styleId="TOC2" w:type="paragraph">
    <w:name w:val="toc 2"/>
    <w:basedOn w:val="Normal"/>
    <w:next w:val="Normal"/>
    <w:autoRedefine/>
    <w:uiPriority w:val="39"/>
    <w:unhideWhenUsed/>
    <w:rsid w:val="00F45D3A"/>
    <w:pPr>
      <w:tabs>
        <w:tab w:pos="880" w:val="left"/>
        <w:tab w:leader="dot" w:pos="9396" w:val="right"/>
      </w:tabs>
      <w:spacing w:after="0"/>
      <w:ind w:hanging="624" w:left="624" w:right="284"/>
    </w:pPr>
    <w:rPr>
      <w:rFonts w:ascii="Times New Roman" w:hAnsi="Times New Roman"/>
      <w:color w:val="0000FF"/>
    </w:rPr>
  </w:style>
  <w:style w:styleId="TOC1" w:type="paragraph">
    <w:name w:val="toc 1"/>
    <w:basedOn w:val="Normal"/>
    <w:next w:val="Normal"/>
    <w:autoRedefine/>
    <w:uiPriority w:val="39"/>
    <w:unhideWhenUsed/>
    <w:rsid w:val="00F45D3A"/>
    <w:pPr>
      <w:spacing w:after="0" w:before="120"/>
      <w:ind w:hanging="425" w:left="425" w:right="284"/>
    </w:pPr>
    <w:rPr>
      <w:rFonts w:ascii="Times New Roman" w:hAnsi="Times New Roman"/>
      <w:b/>
      <w:color w:val="0000FF"/>
    </w:rPr>
  </w:style>
  <w:style w:styleId="TOC3" w:type="paragraph">
    <w:name w:val="toc 3"/>
    <w:basedOn w:val="Normal"/>
    <w:next w:val="Normal"/>
    <w:autoRedefine/>
    <w:uiPriority w:val="39"/>
    <w:unhideWhenUsed/>
    <w:rsid w:val="00F45D3A"/>
    <w:pPr>
      <w:tabs>
        <w:tab w:pos="1320" w:val="left"/>
        <w:tab w:leader="dot" w:pos="9396" w:val="right"/>
      </w:tabs>
      <w:spacing w:after="0"/>
      <w:ind w:hanging="822" w:left="822" w:right="284"/>
    </w:pPr>
    <w:rPr>
      <w:rFonts w:ascii="Times New Roman" w:hAnsi="Times New Roman"/>
      <w:color w:val="0000FF"/>
    </w:rPr>
  </w:style>
  <w:style w:styleId="TOC4" w:type="paragraph">
    <w:name w:val="toc 4"/>
    <w:basedOn w:val="Normal"/>
    <w:next w:val="Normal"/>
    <w:autoRedefine/>
    <w:uiPriority w:val="39"/>
    <w:unhideWhenUsed/>
    <w:rsid w:val="00F45D3A"/>
    <w:pPr>
      <w:tabs>
        <w:tab w:pos="1540" w:val="left"/>
        <w:tab w:leader="dot" w:pos="9396" w:val="right"/>
      </w:tabs>
      <w:spacing w:after="0"/>
      <w:ind w:hanging="1021" w:left="1021" w:right="284"/>
    </w:pPr>
    <w:rPr>
      <w:rFonts w:ascii="Times New Roman" w:hAnsi="Times New Roman"/>
      <w:color w:val="0000FF"/>
    </w:rPr>
  </w:style>
  <w:style w:styleId="TOC5" w:type="paragraph">
    <w:name w:val="toc 5"/>
    <w:basedOn w:val="Normal"/>
    <w:next w:val="Normal"/>
    <w:autoRedefine/>
    <w:uiPriority w:val="39"/>
    <w:unhideWhenUsed/>
    <w:rsid w:val="00F45D3A"/>
    <w:pPr>
      <w:tabs>
        <w:tab w:pos="1880" w:val="left"/>
        <w:tab w:leader="dot" w:pos="9396" w:val="right"/>
      </w:tabs>
      <w:spacing w:after="0"/>
      <w:ind w:hanging="1219" w:left="1219" w:right="284"/>
    </w:pPr>
    <w:rPr>
      <w:rFonts w:ascii="Times New Roman" w:hAnsi="Times New Roman"/>
      <w:color w:val="0000FF"/>
    </w:rPr>
  </w:style>
  <w:style w:styleId="Index1" w:type="paragraph">
    <w:name w:val="index 1"/>
    <w:basedOn w:val="Normal"/>
    <w:next w:val="Normal"/>
    <w:autoRedefine/>
    <w:rsid w:val="00830389"/>
    <w:pPr>
      <w:spacing w:after="0"/>
      <w:ind w:hanging="240" w:left="240"/>
    </w:pPr>
  </w:style>
  <w:style w:styleId="TableofFigures" w:type="paragraph">
    <w:name w:val="table of figures"/>
    <w:basedOn w:val="Normal"/>
    <w:next w:val="Normal"/>
    <w:uiPriority w:val="99"/>
    <w:unhideWhenUsed/>
    <w:rsid w:val="00162E8B"/>
    <w:pPr>
      <w:spacing w:after="0"/>
    </w:pPr>
    <w:rPr>
      <w:rFonts w:ascii="Times New Roman" w:hAnsi="Times New Roman"/>
      <w:color w:val="0000FF"/>
    </w:rPr>
  </w:style>
  <w:style w:styleId="GridTable1Light" w:type="table">
    <w:name w:val="Grid Table 1 Light"/>
    <w:basedOn w:val="TableNormal"/>
    <w:rsid w:val="008D31A4"/>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s://github.com/Open-Systems-Pharmacology/Moxifloxacin-Model" TargetMode="External" /><Relationship Type="http://schemas.openxmlformats.org/officeDocument/2006/relationships/hyperlink" Id="rId101" Target="https://github.com/Open-Systems-Pharmacology/OSPSuite.Documentation/blob/38cf71b384cfc25cfa0ce4d2f3addfd32757e13b/PK-Sim%20Ontogeny%20Database%20Version%207.3.pdf" TargetMode="External" /><Relationship Type="http://schemas.openxmlformats.org/officeDocument/2006/relationships/hyperlink" Id="rId103" Target="https://www.accessdata.fda.gov/drugsatfda_docs/label/2016/021085s063lbl.pdf" TargetMode="External" /><Relationship Type="http://schemas.openxmlformats.org/officeDocument/2006/relationships/hyperlink" Id="rId102" Target="https://www.accessdata.fda.gov/drugsatfda_docs/nda/99/21-085_Avelox_biopharmr.pdf" TargetMode="External" /><Relationship Type="http://schemas.openxmlformats.org/officeDocument/2006/relationships/hyperlink" Id="rId104" Target="https://www.uspharmacist.com/article/moxifloxacin-20-mg-ml-oral-suspension"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Open-Systems-Pharmacology/Moxifloxacin-Model" TargetMode="External" /><Relationship Type="http://schemas.openxmlformats.org/officeDocument/2006/relationships/hyperlink" Id="rId101" Target="https://github.com/Open-Systems-Pharmacology/OSPSuite.Documentation/blob/38cf71b384cfc25cfa0ce4d2f3addfd32757e13b/PK-Sim%20Ontogeny%20Database%20Version%207.3.pdf" TargetMode="External" /><Relationship Type="http://schemas.openxmlformats.org/officeDocument/2006/relationships/hyperlink" Id="rId103" Target="https://www.accessdata.fda.gov/drugsatfda_docs/label/2016/021085s063lbl.pdf" TargetMode="External" /><Relationship Type="http://schemas.openxmlformats.org/officeDocument/2006/relationships/hyperlink" Id="rId102" Target="https://www.accessdata.fda.gov/drugsatfda_docs/nda/99/21-085_Avelox_biopharmr.pdf" TargetMode="External" /><Relationship Type="http://schemas.openxmlformats.org/officeDocument/2006/relationships/hyperlink" Id="rId104" Target="https://www.uspharmacist.com/article/moxifloxacin-20-mg-ml-oral-suspens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2</Pages>
  <Words>118</Words>
  <Characters>679</Characters>
  <Application>Microsoft Office Word</Application>
  <DocSecurity>0</DocSecurity>
  <Lines>5</Lines>
  <Paragraphs>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vt:lpstr>
      <vt:lpstr>Title</vt:lpstr>
    </vt:vector>
  </TitlesOfParts>
  <Company/>
  <LinksUpToDate>false</LinksUpToDate>
  <CharactersWithSpaces>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and evaluation of a PBPK model for COMPOUND in healthy adults</dc:title>
  <dc:creator/>
  <cp:keywords/>
  <dcterms:created xsi:type="dcterms:W3CDTF">2025-09-02T14:19:14Z</dcterms:created>
  <dcterms:modified xsi:type="dcterms:W3CDTF">2025-09-02T14:19:14Z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Versionx.x-OSPy.ybased on Model Snapshot and Evaluation Planhttps://github.com/Open-Systems-Pharmacology/COMPOUND-Model/releases/tag/vx.xOSP Versiony.yQualification Framework Versionz.zThis evaluation report and the corresponding PK-Sim project file are filed at:https://github.com/Open-Systems-Pharmacology/OSP-PBPK-Model-Library/</vt:lpwstr>
  </property>
  <property fmtid="{D5CDD505-2E9C-101B-9397-08002B2CF9AE}" pid="3" name="subtitle">
    <vt:lpwstr/>
  </property>
</Properties>
</file>