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8C86" w14:textId="77777777" w:rsidR="001B43FA" w:rsidRPr="00DC7417" w:rsidRDefault="001B43FA" w:rsidP="001B43FA">
      <w:pPr>
        <w:spacing w:after="0"/>
        <w:rPr>
          <w:rFonts w:ascii="Times New Roman" w:eastAsia="Times New Roman" w:hAnsi="Times New Roman" w:cs="Times New Roman"/>
          <w:sz w:val="24"/>
          <w:szCs w:val="24"/>
          <w:lang w:eastAsia="en-GB"/>
        </w:rPr>
      </w:pPr>
      <w:bookmarkStart w:id="0" w:name="_Hlk130630840"/>
      <w:proofErr w:type="spellStart"/>
      <w:r w:rsidRPr="00DC7417">
        <w:rPr>
          <w:rFonts w:ascii="Times New Roman" w:eastAsia="Times New Roman" w:hAnsi="Times New Roman" w:cs="Times New Roman"/>
          <w:sz w:val="24"/>
          <w:szCs w:val="24"/>
          <w:lang w:eastAsia="en-GB"/>
        </w:rPr>
        <w:t>Student</w:t>
      </w:r>
      <w:proofErr w:type="spellEnd"/>
      <w:r w:rsidRPr="00DC7417">
        <w:rPr>
          <w:rFonts w:ascii="Times New Roman" w:eastAsia="Times New Roman" w:hAnsi="Times New Roman" w:cs="Times New Roman"/>
          <w:sz w:val="24"/>
          <w:szCs w:val="24"/>
          <w:lang w:eastAsia="en-GB"/>
        </w:rPr>
        <w:t xml:space="preserve"> </w:t>
      </w:r>
      <w:proofErr w:type="spellStart"/>
      <w:r w:rsidRPr="00DC7417">
        <w:rPr>
          <w:rFonts w:ascii="Times New Roman" w:eastAsia="Times New Roman" w:hAnsi="Times New Roman" w:cs="Times New Roman"/>
          <w:sz w:val="24"/>
          <w:szCs w:val="24"/>
          <w:lang w:eastAsia="en-GB"/>
        </w:rPr>
        <w:t>Number</w:t>
      </w:r>
      <w:proofErr w:type="spellEnd"/>
      <w:r w:rsidRPr="00DC7417">
        <w:rPr>
          <w:rFonts w:ascii="Times New Roman" w:eastAsia="Times New Roman" w:hAnsi="Times New Roman" w:cs="Times New Roman"/>
          <w:sz w:val="24"/>
          <w:szCs w:val="24"/>
          <w:lang w:eastAsia="en-GB"/>
        </w:rPr>
        <w:t>:  200015399</w:t>
      </w:r>
    </w:p>
    <w:p w14:paraId="1061BD69" w14:textId="77777777" w:rsidR="001B43FA" w:rsidRDefault="001B43FA" w:rsidP="001B43FA">
      <w:pPr>
        <w:spacing w:after="0"/>
        <w:rPr>
          <w:rFonts w:eastAsia="Times New Roman" w:cs="Calibri"/>
          <w:lang w:eastAsia="en-GB"/>
        </w:rPr>
      </w:pPr>
    </w:p>
    <w:p w14:paraId="10AC18A0" w14:textId="77777777" w:rsidR="001B43FA" w:rsidRPr="00D26046" w:rsidRDefault="001B43FA" w:rsidP="001B43FA">
      <w:pPr>
        <w:spacing w:after="0"/>
        <w:jc w:val="center"/>
        <w:rPr>
          <w:rFonts w:eastAsia="Times New Roman" w:cs="Calibri"/>
          <w:lang w:eastAsia="en-GB"/>
        </w:rPr>
      </w:pPr>
    </w:p>
    <w:p w14:paraId="35395D6F" w14:textId="77777777" w:rsidR="001B43FA" w:rsidRPr="00D26046" w:rsidRDefault="001B43FA" w:rsidP="001B43FA">
      <w:pPr>
        <w:spacing w:after="0"/>
        <w:jc w:val="center"/>
        <w:rPr>
          <w:rFonts w:eastAsia="Times New Roman" w:cs="Calibri"/>
          <w:b/>
          <w:bCs/>
          <w:lang w:eastAsia="en-GB"/>
        </w:rPr>
      </w:pPr>
    </w:p>
    <w:p w14:paraId="74C244B6" w14:textId="77777777" w:rsidR="001B43FA" w:rsidRDefault="001B43FA" w:rsidP="001B43FA">
      <w:pPr>
        <w:spacing w:after="0"/>
        <w:jc w:val="center"/>
        <w:rPr>
          <w:rFonts w:eastAsia="Times New Roman" w:cs="Calibri"/>
          <w:b/>
          <w:bCs/>
          <w:sz w:val="56"/>
          <w:szCs w:val="72"/>
          <w:lang w:eastAsia="en-GB"/>
        </w:rPr>
      </w:pPr>
    </w:p>
    <w:p w14:paraId="5BD2EEB4" w14:textId="77777777" w:rsidR="001B43FA" w:rsidRDefault="001B43FA" w:rsidP="001B43FA">
      <w:pPr>
        <w:spacing w:after="0"/>
        <w:jc w:val="center"/>
        <w:rPr>
          <w:rFonts w:eastAsia="Times New Roman" w:cs="Calibri"/>
          <w:b/>
          <w:bCs/>
          <w:sz w:val="56"/>
          <w:szCs w:val="72"/>
          <w:lang w:eastAsia="en-GB"/>
        </w:rPr>
      </w:pPr>
    </w:p>
    <w:p w14:paraId="461C6182" w14:textId="77777777" w:rsidR="001B43FA" w:rsidRPr="00DC7417" w:rsidRDefault="001B43FA" w:rsidP="001B43FA">
      <w:pPr>
        <w:spacing w:after="0"/>
        <w:jc w:val="center"/>
        <w:rPr>
          <w:rFonts w:ascii="Times New Roman" w:eastAsia="Times New Roman" w:hAnsi="Times New Roman" w:cs="Times New Roman"/>
          <w:b/>
          <w:bCs/>
          <w:sz w:val="48"/>
          <w:szCs w:val="48"/>
          <w:lang w:eastAsia="en-GB"/>
        </w:rPr>
      </w:pPr>
      <w:r w:rsidRPr="00DC7417">
        <w:rPr>
          <w:rFonts w:ascii="Times New Roman" w:eastAsia="Times New Roman" w:hAnsi="Times New Roman" w:cs="Times New Roman"/>
          <w:b/>
          <w:bCs/>
          <w:sz w:val="48"/>
          <w:szCs w:val="48"/>
          <w:lang w:eastAsia="en-GB"/>
        </w:rPr>
        <w:t>SCHOOL OF GEOGRAPHY AND SUSTAINABLE DEVELOPMENT</w:t>
      </w:r>
    </w:p>
    <w:p w14:paraId="49D58434" w14:textId="77777777" w:rsidR="001B43FA" w:rsidRPr="00D26046" w:rsidRDefault="00000000" w:rsidP="001B43FA">
      <w:pPr>
        <w:spacing w:after="0"/>
        <w:jc w:val="center"/>
        <w:rPr>
          <w:rFonts w:eastAsia="Times New Roman" w:cs="Calibri"/>
          <w:sz w:val="16"/>
          <w:szCs w:val="16"/>
          <w:lang w:eastAsia="en-GB"/>
        </w:rPr>
      </w:pPr>
      <w:r>
        <w:rPr>
          <w:rFonts w:eastAsia="Times New Roman" w:cs="Calibri"/>
          <w:noProof/>
          <w:sz w:val="36"/>
          <w:szCs w:val="36"/>
          <w:lang w:eastAsia="en-GB"/>
        </w:rPr>
        <w:object w:dxaOrig="1440" w:dyaOrig="1440" w14:anchorId="714FC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06.7pt;margin-top:16.45pt;width:33.4pt;height:41.95pt;z-index:251658240;visibility:visible;mso-wrap-edited:f" o:allowincell="f">
            <v:imagedata r:id="rId6" o:title=""/>
            <w10:wrap type="topAndBottom"/>
          </v:shape>
          <o:OLEObject Type="Embed" ProgID="Word.Picture.8" ShapeID="_x0000_s1027" DrawAspect="Content" ObjectID="_1741863600" r:id="rId7"/>
        </w:object>
      </w:r>
    </w:p>
    <w:p w14:paraId="1F3D9FC6" w14:textId="77777777" w:rsidR="001B43FA" w:rsidRPr="00D26046" w:rsidRDefault="001B43FA" w:rsidP="001B43FA">
      <w:pPr>
        <w:spacing w:after="0"/>
        <w:jc w:val="center"/>
        <w:rPr>
          <w:rFonts w:eastAsia="Times New Roman" w:cs="Calibri"/>
          <w:sz w:val="20"/>
          <w:szCs w:val="20"/>
          <w:lang w:eastAsia="en-GB"/>
        </w:rPr>
      </w:pPr>
    </w:p>
    <w:p w14:paraId="1A274374" w14:textId="77777777" w:rsidR="001B43FA" w:rsidRDefault="001B43FA" w:rsidP="001B43FA">
      <w:pPr>
        <w:spacing w:after="0"/>
        <w:rPr>
          <w:rFonts w:eastAsia="Times New Roman" w:cs="Calibri"/>
          <w:sz w:val="40"/>
          <w:szCs w:val="40"/>
          <w:lang w:eastAsia="en-GB"/>
        </w:rPr>
      </w:pPr>
    </w:p>
    <w:p w14:paraId="6F53686B" w14:textId="77777777" w:rsidR="001B43FA" w:rsidRDefault="001B43FA" w:rsidP="001B43FA">
      <w:pPr>
        <w:spacing w:after="0"/>
        <w:rPr>
          <w:rFonts w:eastAsia="Times New Roman" w:cs="Calibri"/>
          <w:sz w:val="40"/>
          <w:szCs w:val="40"/>
          <w:lang w:eastAsia="en-GB"/>
        </w:rPr>
      </w:pPr>
    </w:p>
    <w:p w14:paraId="6DD9C24F" w14:textId="77777777" w:rsidR="001B43FA" w:rsidRDefault="001B43FA" w:rsidP="001B43FA">
      <w:pPr>
        <w:spacing w:after="0"/>
        <w:rPr>
          <w:rFonts w:eastAsia="Times New Roman" w:cs="Calibri"/>
          <w:sz w:val="40"/>
          <w:szCs w:val="40"/>
          <w:lang w:eastAsia="en-GB"/>
        </w:rPr>
      </w:pPr>
    </w:p>
    <w:p w14:paraId="56005133" w14:textId="77777777" w:rsidR="001B43FA" w:rsidRDefault="001B43FA" w:rsidP="001B43FA">
      <w:pPr>
        <w:spacing w:after="0"/>
        <w:rPr>
          <w:rFonts w:eastAsia="Times New Roman" w:cs="Calibri"/>
          <w:sz w:val="40"/>
          <w:szCs w:val="40"/>
          <w:lang w:eastAsia="en-GB"/>
        </w:rPr>
      </w:pPr>
    </w:p>
    <w:p w14:paraId="6537FF25" w14:textId="77777777" w:rsidR="001B43FA" w:rsidRDefault="001B43FA" w:rsidP="001B43FA">
      <w:pPr>
        <w:spacing w:after="0"/>
        <w:rPr>
          <w:rFonts w:eastAsia="Times New Roman" w:cs="Calibri"/>
          <w:sz w:val="40"/>
          <w:szCs w:val="40"/>
          <w:lang w:eastAsia="en-GB"/>
        </w:rPr>
      </w:pPr>
    </w:p>
    <w:p w14:paraId="304424AE" w14:textId="77777777" w:rsidR="001B43FA" w:rsidRDefault="001B43FA" w:rsidP="001B43FA">
      <w:pPr>
        <w:spacing w:after="0"/>
        <w:rPr>
          <w:rFonts w:eastAsia="Times New Roman" w:cs="Calibri"/>
          <w:sz w:val="40"/>
          <w:szCs w:val="40"/>
          <w:lang w:eastAsia="en-GB"/>
        </w:rPr>
      </w:pPr>
    </w:p>
    <w:p w14:paraId="413FF2D0" w14:textId="77777777" w:rsidR="001B43FA" w:rsidRDefault="001B43FA" w:rsidP="001B43FA">
      <w:pPr>
        <w:spacing w:after="0"/>
        <w:rPr>
          <w:rFonts w:eastAsia="Times New Roman" w:cs="Calibri"/>
          <w:sz w:val="40"/>
          <w:szCs w:val="40"/>
          <w:lang w:eastAsia="en-GB"/>
        </w:rPr>
      </w:pPr>
    </w:p>
    <w:p w14:paraId="4D52F9F7" w14:textId="77777777" w:rsidR="001B43FA" w:rsidRDefault="001B43FA" w:rsidP="001B43FA">
      <w:pPr>
        <w:spacing w:after="0"/>
        <w:rPr>
          <w:rFonts w:eastAsia="Times New Roman" w:cs="Calibri"/>
          <w:sz w:val="40"/>
          <w:szCs w:val="40"/>
          <w:lang w:eastAsia="en-GB"/>
        </w:rPr>
      </w:pPr>
    </w:p>
    <w:p w14:paraId="034C61DC" w14:textId="77777777" w:rsidR="001B43FA" w:rsidRDefault="001B43FA" w:rsidP="001B43FA">
      <w:pPr>
        <w:spacing w:after="0"/>
        <w:rPr>
          <w:rFonts w:eastAsia="Times New Roman" w:cs="Calibri"/>
          <w:sz w:val="40"/>
          <w:szCs w:val="40"/>
          <w:lang w:eastAsia="en-GB"/>
        </w:rPr>
      </w:pPr>
    </w:p>
    <w:p w14:paraId="2452E255" w14:textId="77777777" w:rsidR="001B43FA" w:rsidRDefault="001B43FA" w:rsidP="001B43FA">
      <w:pPr>
        <w:spacing w:after="0"/>
        <w:rPr>
          <w:rFonts w:eastAsia="Times New Roman" w:cs="Calibri"/>
          <w:sz w:val="40"/>
          <w:szCs w:val="40"/>
          <w:lang w:eastAsia="en-GB"/>
        </w:rPr>
      </w:pPr>
    </w:p>
    <w:p w14:paraId="1AC18D35" w14:textId="1300BCB0" w:rsidR="001B43FA" w:rsidRPr="00DC7417" w:rsidRDefault="001B43FA" w:rsidP="001B43FA">
      <w:pPr>
        <w:spacing w:after="0" w:line="360" w:lineRule="auto"/>
        <w:rPr>
          <w:rFonts w:ascii="Times New Roman" w:eastAsia="Times New Roman" w:hAnsi="Times New Roman" w:cs="Times New Roman"/>
          <w:sz w:val="24"/>
          <w:szCs w:val="24"/>
          <w:lang w:eastAsia="en-GB"/>
        </w:rPr>
      </w:pPr>
      <w:r w:rsidRPr="00DC7417">
        <w:rPr>
          <w:rFonts w:ascii="Times New Roman" w:eastAsia="Times New Roman" w:hAnsi="Times New Roman" w:cs="Times New Roman"/>
          <w:sz w:val="24"/>
          <w:szCs w:val="24"/>
          <w:lang w:eastAsia="en-GB"/>
        </w:rPr>
        <w:t xml:space="preserve">Module Title: </w:t>
      </w:r>
      <w:proofErr w:type="spellStart"/>
      <w:r w:rsidR="00156559">
        <w:rPr>
          <w:rFonts w:ascii="Times New Roman" w:eastAsia="Times New Roman" w:hAnsi="Times New Roman" w:cs="Times New Roman"/>
          <w:sz w:val="24"/>
          <w:szCs w:val="24"/>
          <w:lang w:eastAsia="en-GB"/>
        </w:rPr>
        <w:t>Spatial</w:t>
      </w:r>
      <w:proofErr w:type="spellEnd"/>
      <w:r w:rsidR="00156559">
        <w:rPr>
          <w:rFonts w:ascii="Times New Roman" w:eastAsia="Times New Roman" w:hAnsi="Times New Roman" w:cs="Times New Roman"/>
          <w:sz w:val="24"/>
          <w:szCs w:val="24"/>
          <w:lang w:eastAsia="en-GB"/>
        </w:rPr>
        <w:t xml:space="preserve"> </w:t>
      </w:r>
      <w:proofErr w:type="spellStart"/>
      <w:r w:rsidR="00156559">
        <w:rPr>
          <w:rFonts w:ascii="Times New Roman" w:eastAsia="Times New Roman" w:hAnsi="Times New Roman" w:cs="Times New Roman"/>
          <w:sz w:val="24"/>
          <w:szCs w:val="24"/>
          <w:lang w:eastAsia="en-GB"/>
        </w:rPr>
        <w:t>Analysis</w:t>
      </w:r>
      <w:proofErr w:type="spellEnd"/>
      <w:r w:rsidR="00156559">
        <w:rPr>
          <w:rFonts w:ascii="Times New Roman" w:eastAsia="Times New Roman" w:hAnsi="Times New Roman" w:cs="Times New Roman"/>
          <w:sz w:val="24"/>
          <w:szCs w:val="24"/>
          <w:lang w:eastAsia="en-GB"/>
        </w:rPr>
        <w:t xml:space="preserve"> </w:t>
      </w:r>
      <w:proofErr w:type="spellStart"/>
      <w:r w:rsidR="00156559">
        <w:rPr>
          <w:rFonts w:ascii="Times New Roman" w:eastAsia="Times New Roman" w:hAnsi="Times New Roman" w:cs="Times New Roman"/>
          <w:sz w:val="24"/>
          <w:szCs w:val="24"/>
          <w:lang w:eastAsia="en-GB"/>
        </w:rPr>
        <w:t>with</w:t>
      </w:r>
      <w:proofErr w:type="spellEnd"/>
      <w:r w:rsidR="00156559">
        <w:rPr>
          <w:rFonts w:ascii="Times New Roman" w:eastAsia="Times New Roman" w:hAnsi="Times New Roman" w:cs="Times New Roman"/>
          <w:sz w:val="24"/>
          <w:szCs w:val="24"/>
          <w:lang w:eastAsia="en-GB"/>
        </w:rPr>
        <w:t xml:space="preserve"> GIS</w:t>
      </w:r>
    </w:p>
    <w:p w14:paraId="0E52E8D3" w14:textId="7BC9889C" w:rsidR="001B43FA" w:rsidRPr="00DC7417" w:rsidRDefault="001B43FA" w:rsidP="001B43FA">
      <w:pPr>
        <w:spacing w:after="0" w:line="360" w:lineRule="auto"/>
        <w:rPr>
          <w:rFonts w:ascii="Times New Roman" w:eastAsia="Times New Roman" w:hAnsi="Times New Roman" w:cs="Times New Roman"/>
          <w:sz w:val="24"/>
          <w:szCs w:val="24"/>
          <w:lang w:eastAsia="en-GB"/>
        </w:rPr>
      </w:pPr>
      <w:proofErr w:type="spellStart"/>
      <w:r w:rsidRPr="00DC7417">
        <w:rPr>
          <w:rFonts w:ascii="Times New Roman" w:eastAsia="Times New Roman" w:hAnsi="Times New Roman" w:cs="Times New Roman"/>
          <w:sz w:val="24"/>
          <w:szCs w:val="24"/>
          <w:lang w:eastAsia="en-GB"/>
        </w:rPr>
        <w:t>Deadline</w:t>
      </w:r>
      <w:proofErr w:type="spellEnd"/>
      <w:r w:rsidRPr="00DC7417">
        <w:rPr>
          <w:rFonts w:ascii="Times New Roman" w:eastAsia="Times New Roman" w:hAnsi="Times New Roman" w:cs="Times New Roman"/>
          <w:sz w:val="24"/>
          <w:szCs w:val="24"/>
          <w:lang w:eastAsia="en-GB"/>
        </w:rPr>
        <w:t xml:space="preserve"> </w:t>
      </w:r>
      <w:proofErr w:type="spellStart"/>
      <w:r w:rsidRPr="00DC7417">
        <w:rPr>
          <w:rFonts w:ascii="Times New Roman" w:eastAsia="Times New Roman" w:hAnsi="Times New Roman" w:cs="Times New Roman"/>
          <w:sz w:val="24"/>
          <w:szCs w:val="24"/>
          <w:lang w:eastAsia="en-GB"/>
        </w:rPr>
        <w:t>Date</w:t>
      </w:r>
      <w:proofErr w:type="spellEnd"/>
      <w:r w:rsidRPr="00DC7417">
        <w:rPr>
          <w:rFonts w:ascii="Times New Roman" w:eastAsia="Times New Roman" w:hAnsi="Times New Roman" w:cs="Times New Roman"/>
          <w:sz w:val="24"/>
          <w:szCs w:val="24"/>
          <w:lang w:eastAsia="en-GB"/>
        </w:rPr>
        <w:t xml:space="preserve">: </w:t>
      </w:r>
      <w:r w:rsidR="00B87D0C">
        <w:rPr>
          <w:rFonts w:ascii="Times New Roman" w:eastAsia="Times New Roman" w:hAnsi="Times New Roman" w:cs="Times New Roman"/>
          <w:sz w:val="24"/>
          <w:szCs w:val="24"/>
          <w:lang w:eastAsia="en-GB"/>
        </w:rPr>
        <w:t>3rd</w:t>
      </w:r>
      <w:r>
        <w:rPr>
          <w:rFonts w:ascii="Times New Roman" w:eastAsia="Times New Roman" w:hAnsi="Times New Roman" w:cs="Times New Roman"/>
          <w:sz w:val="24"/>
          <w:szCs w:val="24"/>
          <w:lang w:eastAsia="en-GB"/>
        </w:rPr>
        <w:t xml:space="preserve"> </w:t>
      </w:r>
      <w:proofErr w:type="spellStart"/>
      <w:r w:rsidR="00351622">
        <w:rPr>
          <w:rFonts w:ascii="Times New Roman" w:eastAsia="Times New Roman" w:hAnsi="Times New Roman" w:cs="Times New Roman"/>
          <w:sz w:val="24"/>
          <w:szCs w:val="24"/>
          <w:lang w:eastAsia="en-GB"/>
        </w:rPr>
        <w:t>April</w:t>
      </w:r>
      <w:proofErr w:type="spellEnd"/>
      <w:r>
        <w:rPr>
          <w:rFonts w:ascii="Times New Roman" w:eastAsia="Times New Roman" w:hAnsi="Times New Roman" w:cs="Times New Roman"/>
          <w:sz w:val="24"/>
          <w:szCs w:val="24"/>
          <w:lang w:eastAsia="en-GB"/>
        </w:rPr>
        <w:t xml:space="preserve"> </w:t>
      </w:r>
      <w:r w:rsidRPr="00DC7417">
        <w:rPr>
          <w:rFonts w:ascii="Times New Roman" w:eastAsia="Times New Roman" w:hAnsi="Times New Roman" w:cs="Times New Roman"/>
          <w:sz w:val="24"/>
          <w:szCs w:val="24"/>
          <w:lang w:eastAsia="en-GB"/>
        </w:rPr>
        <w:t>2023</w:t>
      </w:r>
    </w:p>
    <w:p w14:paraId="1DBA8D78" w14:textId="77777777" w:rsidR="001B43FA" w:rsidRPr="00DC7417" w:rsidRDefault="001B43FA" w:rsidP="001B43FA">
      <w:pPr>
        <w:spacing w:after="0"/>
        <w:rPr>
          <w:rFonts w:ascii="Times New Roman" w:eastAsia="Times New Roman" w:hAnsi="Times New Roman" w:cs="Times New Roman"/>
          <w:sz w:val="24"/>
          <w:szCs w:val="24"/>
          <w:lang w:eastAsia="en-GB"/>
        </w:rPr>
      </w:pPr>
    </w:p>
    <w:p w14:paraId="18D1EB85" w14:textId="77777777" w:rsidR="001B43FA" w:rsidRPr="00DC7417" w:rsidRDefault="001B43FA" w:rsidP="001B43FA">
      <w:pPr>
        <w:spacing w:after="0"/>
        <w:rPr>
          <w:rFonts w:ascii="Times New Roman" w:eastAsia="Times New Roman" w:hAnsi="Times New Roman" w:cs="Times New Roman"/>
          <w:sz w:val="24"/>
          <w:szCs w:val="24"/>
          <w:lang w:eastAsia="en-GB"/>
        </w:rPr>
      </w:pPr>
    </w:p>
    <w:p w14:paraId="48450643" w14:textId="77777777" w:rsidR="001B43FA" w:rsidRPr="00DC7417" w:rsidRDefault="001B43FA" w:rsidP="001B43FA">
      <w:pPr>
        <w:spacing w:after="0"/>
        <w:rPr>
          <w:rFonts w:ascii="Times New Roman" w:eastAsia="Times New Roman" w:hAnsi="Times New Roman" w:cs="Times New Roman"/>
          <w:sz w:val="24"/>
          <w:szCs w:val="24"/>
          <w:lang w:eastAsia="en-GB"/>
        </w:rPr>
      </w:pPr>
      <w:r w:rsidRPr="00DC7417">
        <w:rPr>
          <w:rFonts w:ascii="Times New Roman" w:eastAsia="Times New Roman" w:hAnsi="Times New Roman" w:cs="Times New Roman"/>
          <w:sz w:val="24"/>
          <w:szCs w:val="24"/>
          <w:lang w:eastAsia="en-GB"/>
        </w:rPr>
        <w:t xml:space="preserve">In </w:t>
      </w:r>
      <w:proofErr w:type="spellStart"/>
      <w:r w:rsidRPr="00DC7417">
        <w:rPr>
          <w:rFonts w:ascii="Times New Roman" w:eastAsia="Times New Roman" w:hAnsi="Times New Roman" w:cs="Times New Roman"/>
          <w:sz w:val="24"/>
          <w:szCs w:val="24"/>
          <w:lang w:eastAsia="en-GB"/>
        </w:rPr>
        <w:t>submitting</w:t>
      </w:r>
      <w:proofErr w:type="spellEnd"/>
      <w:r w:rsidRPr="00DC7417">
        <w:rPr>
          <w:rFonts w:ascii="Times New Roman" w:eastAsia="Times New Roman" w:hAnsi="Times New Roman" w:cs="Times New Roman"/>
          <w:sz w:val="24"/>
          <w:szCs w:val="24"/>
          <w:lang w:eastAsia="en-GB"/>
        </w:rPr>
        <w:t xml:space="preserve"> </w:t>
      </w:r>
      <w:proofErr w:type="spellStart"/>
      <w:r w:rsidRPr="00DC7417">
        <w:rPr>
          <w:rFonts w:ascii="Times New Roman" w:eastAsia="Times New Roman" w:hAnsi="Times New Roman" w:cs="Times New Roman"/>
          <w:sz w:val="24"/>
          <w:szCs w:val="24"/>
          <w:lang w:eastAsia="en-GB"/>
        </w:rPr>
        <w:t>this</w:t>
      </w:r>
      <w:proofErr w:type="spellEnd"/>
      <w:r w:rsidRPr="00DC7417">
        <w:rPr>
          <w:rFonts w:ascii="Times New Roman" w:eastAsia="Times New Roman" w:hAnsi="Times New Roman" w:cs="Times New Roman"/>
          <w:sz w:val="24"/>
          <w:szCs w:val="24"/>
          <w:lang w:eastAsia="en-GB"/>
        </w:rPr>
        <w:t xml:space="preserve"> </w:t>
      </w:r>
      <w:proofErr w:type="spellStart"/>
      <w:r w:rsidRPr="00DC7417">
        <w:rPr>
          <w:rFonts w:ascii="Times New Roman" w:eastAsia="Times New Roman" w:hAnsi="Times New Roman" w:cs="Times New Roman"/>
          <w:sz w:val="24"/>
          <w:szCs w:val="24"/>
          <w:lang w:eastAsia="en-GB"/>
        </w:rPr>
        <w:t>assignment</w:t>
      </w:r>
      <w:proofErr w:type="spellEnd"/>
      <w:r w:rsidRPr="00DC7417">
        <w:rPr>
          <w:rFonts w:ascii="Times New Roman" w:eastAsia="Times New Roman" w:hAnsi="Times New Roman" w:cs="Times New Roman"/>
          <w:sz w:val="24"/>
          <w:szCs w:val="24"/>
          <w:lang w:eastAsia="en-GB"/>
        </w:rPr>
        <w:t xml:space="preserve">, I </w:t>
      </w:r>
      <w:proofErr w:type="spellStart"/>
      <w:r w:rsidRPr="00DC7417">
        <w:rPr>
          <w:rFonts w:ascii="Times New Roman" w:eastAsia="Times New Roman" w:hAnsi="Times New Roman" w:cs="Times New Roman"/>
          <w:sz w:val="24"/>
          <w:szCs w:val="24"/>
          <w:lang w:eastAsia="en-GB"/>
        </w:rPr>
        <w:t>hereby</w:t>
      </w:r>
      <w:proofErr w:type="spellEnd"/>
      <w:r w:rsidRPr="00DC7417">
        <w:rPr>
          <w:rFonts w:ascii="Times New Roman" w:eastAsia="Times New Roman" w:hAnsi="Times New Roman" w:cs="Times New Roman"/>
          <w:sz w:val="24"/>
          <w:szCs w:val="24"/>
          <w:lang w:eastAsia="en-GB"/>
        </w:rPr>
        <w:t xml:space="preserve"> </w:t>
      </w:r>
      <w:proofErr w:type="spellStart"/>
      <w:r w:rsidRPr="00DC7417">
        <w:rPr>
          <w:rFonts w:ascii="Times New Roman" w:eastAsia="Times New Roman" w:hAnsi="Times New Roman" w:cs="Times New Roman"/>
          <w:sz w:val="24"/>
          <w:szCs w:val="24"/>
          <w:lang w:eastAsia="en-GB"/>
        </w:rPr>
        <w:t>confirm</w:t>
      </w:r>
      <w:proofErr w:type="spellEnd"/>
      <w:r w:rsidRPr="00DC7417">
        <w:rPr>
          <w:rFonts w:ascii="Times New Roman" w:eastAsia="Times New Roman" w:hAnsi="Times New Roman" w:cs="Times New Roman"/>
          <w:sz w:val="24"/>
          <w:szCs w:val="24"/>
          <w:lang w:eastAsia="en-GB"/>
        </w:rPr>
        <w:t xml:space="preserve"> </w:t>
      </w:r>
      <w:proofErr w:type="spellStart"/>
      <w:r w:rsidRPr="00DC7417">
        <w:rPr>
          <w:rFonts w:ascii="Times New Roman" w:eastAsia="Times New Roman" w:hAnsi="Times New Roman" w:cs="Times New Roman"/>
          <w:sz w:val="24"/>
          <w:szCs w:val="24"/>
          <w:lang w:eastAsia="en-GB"/>
        </w:rPr>
        <w:t>that</w:t>
      </w:r>
      <w:proofErr w:type="spellEnd"/>
      <w:r w:rsidRPr="00DC7417">
        <w:rPr>
          <w:rFonts w:ascii="Times New Roman" w:eastAsia="Times New Roman" w:hAnsi="Times New Roman" w:cs="Times New Roman"/>
          <w:sz w:val="24"/>
          <w:szCs w:val="24"/>
          <w:lang w:eastAsia="en-GB"/>
        </w:rPr>
        <w:t>:</w:t>
      </w:r>
    </w:p>
    <w:p w14:paraId="1B0E13FB" w14:textId="77777777" w:rsidR="001B43FA" w:rsidRPr="00DC7417" w:rsidRDefault="001B43FA" w:rsidP="001B43FA">
      <w:pPr>
        <w:spacing w:after="0"/>
        <w:rPr>
          <w:rFonts w:ascii="Times New Roman" w:eastAsia="Times New Roman" w:hAnsi="Times New Roman" w:cs="Times New Roman"/>
          <w:sz w:val="24"/>
          <w:szCs w:val="24"/>
          <w:lang w:eastAsia="en-GB"/>
        </w:rPr>
      </w:pPr>
    </w:p>
    <w:p w14:paraId="06213D48" w14:textId="1E5367CF" w:rsidR="001B43FA" w:rsidRDefault="001B43FA" w:rsidP="001B43FA">
      <w:pPr>
        <w:rPr>
          <w:rFonts w:ascii="Cambria" w:hAnsi="Cambria" w:cs="Aldhabi"/>
          <w:sz w:val="24"/>
          <w:szCs w:val="24"/>
        </w:rPr>
      </w:pPr>
      <w:r w:rsidRPr="00DC7417">
        <w:rPr>
          <w:rFonts w:ascii="Times New Roman" w:hAnsi="Times New Roman" w:cs="Times New Roman"/>
          <w:sz w:val="24"/>
          <w:szCs w:val="24"/>
        </w:rPr>
        <w:t xml:space="preserve">I </w:t>
      </w:r>
      <w:proofErr w:type="spellStart"/>
      <w:r w:rsidRPr="00DC7417">
        <w:rPr>
          <w:rFonts w:ascii="Times New Roman" w:hAnsi="Times New Roman" w:cs="Times New Roman"/>
          <w:sz w:val="24"/>
          <w:szCs w:val="24"/>
        </w:rPr>
        <w:t>have</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read</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the</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University's</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statement</w:t>
      </w:r>
      <w:proofErr w:type="spellEnd"/>
      <w:r w:rsidRPr="00DC7417">
        <w:rPr>
          <w:rFonts w:ascii="Times New Roman" w:hAnsi="Times New Roman" w:cs="Times New Roman"/>
          <w:sz w:val="24"/>
          <w:szCs w:val="24"/>
        </w:rPr>
        <w:t xml:space="preserve"> on </w:t>
      </w:r>
      <w:proofErr w:type="spellStart"/>
      <w:r w:rsidRPr="00DC7417">
        <w:rPr>
          <w:rFonts w:ascii="Times New Roman" w:hAnsi="Times New Roman" w:cs="Times New Roman"/>
          <w:sz w:val="24"/>
          <w:szCs w:val="24"/>
        </w:rPr>
        <w:t>Good</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Academic</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Practice</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that</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the</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following</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work</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is</w:t>
      </w:r>
      <w:proofErr w:type="spellEnd"/>
      <w:r w:rsidRPr="00DC7417">
        <w:rPr>
          <w:rFonts w:ascii="Times New Roman" w:hAnsi="Times New Roman" w:cs="Times New Roman"/>
          <w:sz w:val="24"/>
          <w:szCs w:val="24"/>
        </w:rPr>
        <w:t xml:space="preserve"> my </w:t>
      </w:r>
      <w:proofErr w:type="spellStart"/>
      <w:r w:rsidRPr="00DC7417">
        <w:rPr>
          <w:rFonts w:ascii="Times New Roman" w:hAnsi="Times New Roman" w:cs="Times New Roman"/>
          <w:sz w:val="24"/>
          <w:szCs w:val="24"/>
        </w:rPr>
        <w:t>own</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work</w:t>
      </w:r>
      <w:proofErr w:type="spellEnd"/>
      <w:r w:rsidRPr="00DC7417">
        <w:rPr>
          <w:rFonts w:ascii="Times New Roman" w:hAnsi="Times New Roman" w:cs="Times New Roman"/>
          <w:sz w:val="24"/>
          <w:szCs w:val="24"/>
        </w:rPr>
        <w:t xml:space="preserve">; and </w:t>
      </w:r>
      <w:proofErr w:type="spellStart"/>
      <w:r w:rsidRPr="00DC7417">
        <w:rPr>
          <w:rFonts w:ascii="Times New Roman" w:hAnsi="Times New Roman" w:cs="Times New Roman"/>
          <w:sz w:val="24"/>
          <w:szCs w:val="24"/>
        </w:rPr>
        <w:t>that</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significant</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academic</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debts</w:t>
      </w:r>
      <w:proofErr w:type="spellEnd"/>
      <w:r w:rsidRPr="00DC7417">
        <w:rPr>
          <w:rFonts w:ascii="Times New Roman" w:hAnsi="Times New Roman" w:cs="Times New Roman"/>
          <w:sz w:val="24"/>
          <w:szCs w:val="24"/>
        </w:rPr>
        <w:t xml:space="preserve"> and </w:t>
      </w:r>
      <w:proofErr w:type="spellStart"/>
      <w:r w:rsidRPr="00DC7417">
        <w:rPr>
          <w:rFonts w:ascii="Times New Roman" w:hAnsi="Times New Roman" w:cs="Times New Roman"/>
          <w:sz w:val="24"/>
          <w:szCs w:val="24"/>
        </w:rPr>
        <w:t>borrowings</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have</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been</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properly</w:t>
      </w:r>
      <w:proofErr w:type="spellEnd"/>
      <w:r w:rsidRPr="00DC7417">
        <w:rPr>
          <w:rFonts w:ascii="Times New Roman" w:hAnsi="Times New Roman" w:cs="Times New Roman"/>
          <w:sz w:val="24"/>
          <w:szCs w:val="24"/>
        </w:rPr>
        <w:t xml:space="preserve"> </w:t>
      </w:r>
      <w:proofErr w:type="spellStart"/>
      <w:r w:rsidRPr="00DC7417">
        <w:rPr>
          <w:rFonts w:ascii="Times New Roman" w:hAnsi="Times New Roman" w:cs="Times New Roman"/>
          <w:sz w:val="24"/>
          <w:szCs w:val="24"/>
        </w:rPr>
        <w:t>acknowledged</w:t>
      </w:r>
      <w:proofErr w:type="spellEnd"/>
      <w:r w:rsidRPr="00DC7417">
        <w:rPr>
          <w:rFonts w:ascii="Times New Roman" w:hAnsi="Times New Roman" w:cs="Times New Roman"/>
          <w:sz w:val="24"/>
          <w:szCs w:val="24"/>
        </w:rPr>
        <w:t xml:space="preserve"> and </w:t>
      </w:r>
      <w:proofErr w:type="spellStart"/>
      <w:r w:rsidRPr="00DC7417">
        <w:rPr>
          <w:rFonts w:ascii="Times New Roman" w:hAnsi="Times New Roman" w:cs="Times New Roman"/>
          <w:sz w:val="24"/>
          <w:szCs w:val="24"/>
        </w:rPr>
        <w:t>referenced</w:t>
      </w:r>
      <w:proofErr w:type="spellEnd"/>
      <w:r w:rsidRPr="00896538">
        <w:rPr>
          <w:rFonts w:ascii="Cambria" w:hAnsi="Cambria" w:cs="Aldhabi"/>
          <w:sz w:val="24"/>
          <w:szCs w:val="24"/>
        </w:rPr>
        <w:t>.</w:t>
      </w:r>
    </w:p>
    <w:p w14:paraId="00C228B3" w14:textId="515505AD" w:rsidR="00156559" w:rsidRDefault="00156559" w:rsidP="001B43FA">
      <w:pPr>
        <w:rPr>
          <w:rFonts w:ascii="Cambria" w:hAnsi="Cambria" w:cs="Aldhabi"/>
          <w:sz w:val="24"/>
          <w:szCs w:val="24"/>
        </w:rPr>
      </w:pPr>
    </w:p>
    <w:p w14:paraId="59B347B4" w14:textId="52F4EABE" w:rsidR="003747A5" w:rsidRPr="00AD656D" w:rsidRDefault="00AD656D" w:rsidP="003747A5">
      <w:pPr>
        <w:jc w:val="center"/>
        <w:rPr>
          <w:rFonts w:ascii="Times New Roman" w:hAnsi="Times New Roman" w:cs="Times New Roman"/>
          <w:sz w:val="28"/>
          <w:szCs w:val="28"/>
          <w:lang w:val="en-GB"/>
        </w:rPr>
      </w:pPr>
      <w:r>
        <w:rPr>
          <w:rFonts w:ascii="Times New Roman" w:hAnsi="Times New Roman" w:cs="Times New Roman"/>
          <w:sz w:val="28"/>
          <w:szCs w:val="28"/>
          <w:lang w:val="en-GB"/>
        </w:rPr>
        <w:lastRenderedPageBreak/>
        <w:t>Regional Inequality within the EU and COVID-19</w:t>
      </w:r>
    </w:p>
    <w:p w14:paraId="2415AEB8" w14:textId="77777777" w:rsidR="003747A5" w:rsidRDefault="003747A5" w:rsidP="001B43FA">
      <w:pPr>
        <w:rPr>
          <w:rFonts w:ascii="Times New Roman" w:hAnsi="Times New Roman" w:cs="Times New Roman"/>
          <w:b/>
          <w:bCs/>
          <w:lang w:val="en-GB"/>
        </w:rPr>
      </w:pPr>
    </w:p>
    <w:p w14:paraId="45C7ADA4" w14:textId="4DD29E74" w:rsidR="00156559" w:rsidRPr="00214758" w:rsidRDefault="00156559" w:rsidP="001B43FA">
      <w:pPr>
        <w:rPr>
          <w:rFonts w:ascii="Times New Roman" w:hAnsi="Times New Roman" w:cs="Times New Roman"/>
          <w:b/>
          <w:bCs/>
          <w:lang w:val="en-GB"/>
        </w:rPr>
      </w:pPr>
      <w:r w:rsidRPr="00214758">
        <w:rPr>
          <w:rFonts w:ascii="Times New Roman" w:hAnsi="Times New Roman" w:cs="Times New Roman"/>
          <w:b/>
          <w:bCs/>
          <w:lang w:val="en-GB"/>
        </w:rPr>
        <w:t>1 Introduction</w:t>
      </w:r>
    </w:p>
    <w:p w14:paraId="554A8E86" w14:textId="3614198D" w:rsidR="00076B06" w:rsidRPr="0077590E" w:rsidRDefault="00076B06" w:rsidP="00076B06">
      <w:pPr>
        <w:jc w:val="both"/>
        <w:rPr>
          <w:rFonts w:ascii="Times New Roman" w:hAnsi="Times New Roman" w:cs="Times New Roman"/>
          <w:lang w:val="en-GB"/>
        </w:rPr>
      </w:pPr>
      <w:r>
        <w:rPr>
          <w:rFonts w:ascii="Times New Roman" w:hAnsi="Times New Roman" w:cs="Times New Roman"/>
          <w:lang w:val="en-GB"/>
        </w:rPr>
        <w:t xml:space="preserve">Economic shocks are usually associated with increasing inequality, as well as poverty. The COVID-19 pandemic is a recent example of a recent such major shock. </w:t>
      </w:r>
      <w:r w:rsidR="00214758">
        <w:rPr>
          <w:rFonts w:ascii="Times New Roman" w:hAnsi="Times New Roman" w:cs="Times New Roman"/>
          <w:lang w:val="en-GB"/>
        </w:rPr>
        <w:t xml:space="preserve">The public health crises spilled over to most segments of the economy adversely affecting both the supply and demand side. Economic downturns </w:t>
      </w:r>
      <w:r w:rsidR="00214758">
        <w:rPr>
          <w:rFonts w:ascii="Times New Roman" w:hAnsi="Times New Roman" w:cs="Times New Roman"/>
          <w:lang w:val="en-GB"/>
        </w:rPr>
        <w:t>tend to disproportionally affect</w:t>
      </w:r>
      <w:r w:rsidR="00214758">
        <w:rPr>
          <w:rFonts w:ascii="Times New Roman" w:hAnsi="Times New Roman" w:cs="Times New Roman"/>
          <w:lang w:val="en-GB"/>
        </w:rPr>
        <w:t xml:space="preserve"> </w:t>
      </w:r>
      <w:r>
        <w:rPr>
          <w:rFonts w:ascii="Times New Roman" w:hAnsi="Times New Roman" w:cs="Times New Roman"/>
          <w:lang w:val="en-GB"/>
        </w:rPr>
        <w:t>the more vulnerable segments of society</w:t>
      </w:r>
      <w:r w:rsidR="00214758">
        <w:rPr>
          <w:rFonts w:ascii="Times New Roman" w:hAnsi="Times New Roman" w:cs="Times New Roman"/>
          <w:lang w:val="en-GB"/>
        </w:rPr>
        <w:t xml:space="preserve"> through more adverse losses of income and employment</w:t>
      </w:r>
      <w:r>
        <w:rPr>
          <w:rFonts w:ascii="Times New Roman" w:hAnsi="Times New Roman" w:cs="Times New Roman"/>
          <w:lang w:val="en-GB"/>
        </w:rPr>
        <w:t xml:space="preserve">. </w:t>
      </w:r>
      <w:r w:rsidR="00214758">
        <w:rPr>
          <w:rFonts w:ascii="Times New Roman" w:hAnsi="Times New Roman" w:cs="Times New Roman"/>
          <w:lang w:val="en-GB"/>
        </w:rPr>
        <w:t xml:space="preserve">Additionally, the more impoverished areas are likely to be affected by a greater disease burden due to more challenging implementation of precautionary measures. All the above suggests that the </w:t>
      </w:r>
      <w:r>
        <w:rPr>
          <w:rFonts w:ascii="Times New Roman" w:hAnsi="Times New Roman" w:cs="Times New Roman"/>
          <w:lang w:val="en-GB"/>
        </w:rPr>
        <w:t xml:space="preserve">COVID-19 pandemic </w:t>
      </w:r>
      <w:r w:rsidR="00214758">
        <w:rPr>
          <w:rFonts w:ascii="Times New Roman" w:hAnsi="Times New Roman" w:cs="Times New Roman"/>
          <w:lang w:val="en-GB"/>
        </w:rPr>
        <w:t xml:space="preserve">could have significantly contributed to an </w:t>
      </w:r>
      <w:r>
        <w:rPr>
          <w:rFonts w:ascii="Times New Roman" w:hAnsi="Times New Roman" w:cs="Times New Roman"/>
          <w:lang w:val="en-GB"/>
        </w:rPr>
        <w:t xml:space="preserve">increase in </w:t>
      </w:r>
      <w:r w:rsidR="00214758">
        <w:rPr>
          <w:rFonts w:ascii="Times New Roman" w:hAnsi="Times New Roman" w:cs="Times New Roman"/>
          <w:lang w:val="en-GB"/>
        </w:rPr>
        <w:t xml:space="preserve">income </w:t>
      </w:r>
      <w:r>
        <w:rPr>
          <w:rFonts w:ascii="Times New Roman" w:hAnsi="Times New Roman" w:cs="Times New Roman"/>
          <w:lang w:val="en-GB"/>
        </w:rPr>
        <w:t>inequality.</w:t>
      </w:r>
      <w:r w:rsidR="00351AC7">
        <w:rPr>
          <w:rFonts w:ascii="Times New Roman" w:hAnsi="Times New Roman" w:cs="Times New Roman"/>
          <w:lang w:val="en-GB"/>
        </w:rPr>
        <w:t xml:space="preserve"> On the other hand, however, the developed countries experienced higher death which would imply an equalizing effect</w:t>
      </w:r>
      <w:r w:rsidR="00887367">
        <w:rPr>
          <w:rFonts w:ascii="Times New Roman" w:hAnsi="Times New Roman" w:cs="Times New Roman"/>
          <w:lang w:val="en-GB"/>
        </w:rPr>
        <w:t xml:space="preserve"> on the global income distribution. We</w:t>
      </w:r>
      <w:r w:rsidR="00351AC7">
        <w:rPr>
          <w:rFonts w:ascii="Times New Roman" w:hAnsi="Times New Roman" w:cs="Times New Roman"/>
          <w:lang w:val="en-GB"/>
        </w:rPr>
        <w:t xml:space="preserve"> investigate the </w:t>
      </w:r>
      <w:r w:rsidR="00887367">
        <w:rPr>
          <w:rFonts w:ascii="Times New Roman" w:hAnsi="Times New Roman" w:cs="Times New Roman"/>
          <w:lang w:val="en-GB"/>
        </w:rPr>
        <w:t>evolution</w:t>
      </w:r>
      <w:r w:rsidR="00351AC7">
        <w:rPr>
          <w:rFonts w:ascii="Times New Roman" w:hAnsi="Times New Roman" w:cs="Times New Roman"/>
          <w:lang w:val="en-GB"/>
        </w:rPr>
        <w:t xml:space="preserve"> </w:t>
      </w:r>
      <w:r w:rsidR="00887367">
        <w:rPr>
          <w:rFonts w:ascii="Times New Roman" w:hAnsi="Times New Roman" w:cs="Times New Roman"/>
          <w:lang w:val="en-GB"/>
        </w:rPr>
        <w:t>of</w:t>
      </w:r>
      <w:r w:rsidR="00351AC7">
        <w:rPr>
          <w:rFonts w:ascii="Times New Roman" w:hAnsi="Times New Roman" w:cs="Times New Roman"/>
          <w:lang w:val="en-GB"/>
        </w:rPr>
        <w:t xml:space="preserve"> regional inequality within the EU over the past few years </w:t>
      </w:r>
      <w:r w:rsidR="00887367">
        <w:rPr>
          <w:rFonts w:ascii="Times New Roman" w:hAnsi="Times New Roman" w:cs="Times New Roman"/>
          <w:lang w:val="en-GB"/>
        </w:rPr>
        <w:t>with a reference to the recent pandemic using the most common measure of income inequality, the Gini index.</w:t>
      </w:r>
    </w:p>
    <w:p w14:paraId="42B08AEA" w14:textId="77777777" w:rsidR="0055504B" w:rsidRPr="0077590E" w:rsidRDefault="0055504B" w:rsidP="001B43FA">
      <w:pPr>
        <w:rPr>
          <w:rFonts w:ascii="Times New Roman" w:hAnsi="Times New Roman" w:cs="Times New Roman"/>
          <w:lang w:val="en-GB"/>
        </w:rPr>
      </w:pPr>
    </w:p>
    <w:p w14:paraId="5E874980" w14:textId="11FF3270" w:rsidR="00156559" w:rsidRPr="00202D50" w:rsidRDefault="00156559" w:rsidP="001B43FA">
      <w:pPr>
        <w:rPr>
          <w:rFonts w:ascii="Times New Roman" w:hAnsi="Times New Roman" w:cs="Times New Roman"/>
          <w:b/>
          <w:bCs/>
          <w:lang w:val="en-GB"/>
        </w:rPr>
      </w:pPr>
      <w:r w:rsidRPr="00202D50">
        <w:rPr>
          <w:rFonts w:ascii="Times New Roman" w:hAnsi="Times New Roman" w:cs="Times New Roman"/>
          <w:b/>
          <w:bCs/>
          <w:lang w:val="en-GB"/>
        </w:rPr>
        <w:t>2 Methods</w:t>
      </w:r>
    </w:p>
    <w:p w14:paraId="063EB1DB" w14:textId="27D3CE3C" w:rsidR="00156559" w:rsidRPr="00202D50" w:rsidRDefault="00156559" w:rsidP="001B43FA">
      <w:pPr>
        <w:rPr>
          <w:rFonts w:ascii="Times New Roman" w:hAnsi="Times New Roman" w:cs="Times New Roman"/>
          <w:i/>
          <w:iCs/>
          <w:lang w:val="en-GB"/>
        </w:rPr>
      </w:pPr>
      <w:r w:rsidRPr="00202D50">
        <w:rPr>
          <w:rFonts w:ascii="Times New Roman" w:hAnsi="Times New Roman" w:cs="Times New Roman"/>
          <w:i/>
          <w:iCs/>
          <w:lang w:val="en-GB"/>
        </w:rPr>
        <w:t>2.1 Data</w:t>
      </w:r>
    </w:p>
    <w:p w14:paraId="039B8DA5" w14:textId="455817EF" w:rsidR="0077590E" w:rsidRDefault="008F7B6E" w:rsidP="00050A9A">
      <w:pPr>
        <w:jc w:val="both"/>
        <w:rPr>
          <w:rFonts w:ascii="Times New Roman" w:hAnsi="Times New Roman" w:cs="Times New Roman"/>
          <w:lang w:val="en-GB"/>
        </w:rPr>
      </w:pPr>
      <w:r>
        <w:rPr>
          <w:rFonts w:ascii="Times New Roman" w:hAnsi="Times New Roman" w:cs="Times New Roman"/>
          <w:lang w:val="en-GB"/>
        </w:rPr>
        <w:t xml:space="preserve">To analyse the changes of </w:t>
      </w:r>
      <w:r w:rsidR="009B3232">
        <w:rPr>
          <w:rFonts w:ascii="Times New Roman" w:hAnsi="Times New Roman" w:cs="Times New Roman"/>
          <w:lang w:val="en-GB"/>
        </w:rPr>
        <w:t xml:space="preserve">regional </w:t>
      </w:r>
      <w:r>
        <w:rPr>
          <w:rFonts w:ascii="Times New Roman" w:hAnsi="Times New Roman" w:cs="Times New Roman"/>
          <w:lang w:val="en-GB"/>
        </w:rPr>
        <w:t>income inequality in the EU, we use datasets available at Eurostat on the territorial level NUTS-2 of the European regional classification system. The NUTS system represents a 4-level hierarchical classification of regions of the EU, where the first level (NUTS 1) represents the highest</w:t>
      </w:r>
      <w:r w:rsidR="00050A9A">
        <w:rPr>
          <w:rFonts w:ascii="Times New Roman" w:hAnsi="Times New Roman" w:cs="Times New Roman"/>
          <w:lang w:val="en-GB"/>
        </w:rPr>
        <w:t>-</w:t>
      </w:r>
      <w:r>
        <w:rPr>
          <w:rFonts w:ascii="Times New Roman" w:hAnsi="Times New Roman" w:cs="Times New Roman"/>
          <w:lang w:val="en-GB"/>
        </w:rPr>
        <w:t>level regional division which is then subdivided into smaller and smaller administrative units</w:t>
      </w:r>
      <w:r w:rsidR="00050A9A">
        <w:rPr>
          <w:rFonts w:ascii="Times New Roman" w:hAnsi="Times New Roman" w:cs="Times New Roman"/>
          <w:lang w:val="en-GB"/>
        </w:rPr>
        <w:t xml:space="preserve"> (</w:t>
      </w:r>
      <w:r w:rsidR="00050A9A">
        <w:rPr>
          <w:rFonts w:ascii="Times New Roman" w:hAnsi="Times New Roman" w:cs="Times New Roman"/>
          <w:lang w:val="en-GB"/>
        </w:rPr>
        <w:t>Dunford, 2009</w:t>
      </w:r>
      <w:r w:rsidR="00050A9A">
        <w:rPr>
          <w:rFonts w:ascii="Times New Roman" w:hAnsi="Times New Roman" w:cs="Times New Roman"/>
          <w:lang w:val="en-GB"/>
        </w:rPr>
        <w:t>)</w:t>
      </w:r>
      <w:r>
        <w:rPr>
          <w:rFonts w:ascii="Times New Roman" w:hAnsi="Times New Roman" w:cs="Times New Roman"/>
          <w:lang w:val="en-GB"/>
        </w:rPr>
        <w:t xml:space="preserve">. </w:t>
      </w:r>
      <w:r w:rsidR="009B3232">
        <w:rPr>
          <w:rFonts w:ascii="Times New Roman" w:hAnsi="Times New Roman" w:cs="Times New Roman"/>
          <w:lang w:val="en-GB"/>
        </w:rPr>
        <w:t xml:space="preserve">We consider territorial units on the level of </w:t>
      </w:r>
      <w:r w:rsidR="00050A9A">
        <w:rPr>
          <w:rFonts w:ascii="Times New Roman" w:hAnsi="Times New Roman" w:cs="Times New Roman"/>
          <w:lang w:val="en-GB"/>
        </w:rPr>
        <w:t>NUTS-2</w:t>
      </w:r>
      <w:r w:rsidR="009B3232">
        <w:rPr>
          <w:rFonts w:ascii="Times New Roman" w:hAnsi="Times New Roman" w:cs="Times New Roman"/>
          <w:lang w:val="en-GB"/>
        </w:rPr>
        <w:t xml:space="preserve"> areas which</w:t>
      </w:r>
      <w:r w:rsidR="00050A9A">
        <w:rPr>
          <w:rFonts w:ascii="Times New Roman" w:hAnsi="Times New Roman" w:cs="Times New Roman"/>
          <w:lang w:val="en-GB"/>
        </w:rPr>
        <w:t xml:space="preserve"> </w:t>
      </w:r>
      <w:r w:rsidR="009B3232">
        <w:rPr>
          <w:rFonts w:ascii="Times New Roman" w:hAnsi="Times New Roman" w:cs="Times New Roman"/>
          <w:lang w:val="en-GB"/>
        </w:rPr>
        <w:t>provides are good balance between sufficient precision and data availability</w:t>
      </w:r>
      <w:r w:rsidR="00D553AC">
        <w:rPr>
          <w:rFonts w:ascii="Times New Roman" w:hAnsi="Times New Roman" w:cs="Times New Roman"/>
          <w:lang w:val="en-GB"/>
        </w:rPr>
        <w:t xml:space="preserve"> (many indicators are not available on the level of NUTS-3 and NUTS-4 areas)</w:t>
      </w:r>
      <w:r w:rsidR="009B3232">
        <w:rPr>
          <w:rFonts w:ascii="Times New Roman" w:hAnsi="Times New Roman" w:cs="Times New Roman"/>
          <w:lang w:val="en-GB"/>
        </w:rPr>
        <w:t xml:space="preserve">. </w:t>
      </w:r>
    </w:p>
    <w:p w14:paraId="36C62A74" w14:textId="72285A64" w:rsidR="009B3232" w:rsidRDefault="007850D0" w:rsidP="00050A9A">
      <w:pPr>
        <w:jc w:val="both"/>
        <w:rPr>
          <w:rFonts w:ascii="Times New Roman" w:hAnsi="Times New Roman" w:cs="Times New Roman"/>
          <w:lang w:val="en-GB"/>
        </w:rPr>
      </w:pPr>
      <w:r>
        <w:rPr>
          <w:rFonts w:ascii="Times New Roman" w:hAnsi="Times New Roman" w:cs="Times New Roman"/>
          <w:lang w:val="en-GB"/>
        </w:rPr>
        <w:t xml:space="preserve">Our primary indicator to measure inequalities is </w:t>
      </w:r>
      <w:r w:rsidR="00D553AC">
        <w:rPr>
          <w:rFonts w:ascii="Times New Roman" w:hAnsi="Times New Roman" w:cs="Times New Roman"/>
          <w:lang w:val="en-GB"/>
        </w:rPr>
        <w:t xml:space="preserve">annual </w:t>
      </w:r>
      <w:r>
        <w:rPr>
          <w:rFonts w:ascii="Times New Roman" w:hAnsi="Times New Roman" w:cs="Times New Roman"/>
          <w:lang w:val="en-GB"/>
        </w:rPr>
        <w:t>GDP per inhabitant</w:t>
      </w:r>
      <w:r w:rsidR="00D553AC">
        <w:rPr>
          <w:rFonts w:ascii="Times New Roman" w:hAnsi="Times New Roman" w:cs="Times New Roman"/>
          <w:lang w:val="en-GB"/>
        </w:rPr>
        <w:t xml:space="preserve"> </w:t>
      </w:r>
      <w:r>
        <w:rPr>
          <w:rFonts w:ascii="Times New Roman" w:hAnsi="Times New Roman" w:cs="Times New Roman"/>
          <w:lang w:val="en-GB"/>
        </w:rPr>
        <w:t>adjusted for purchasing power standards (PPS) to eliminate price differences between countries</w:t>
      </w:r>
      <w:r w:rsidR="00CD1121">
        <w:rPr>
          <w:rFonts w:ascii="Times New Roman" w:hAnsi="Times New Roman" w:cs="Times New Roman"/>
          <w:lang w:val="en-GB"/>
        </w:rPr>
        <w:t xml:space="preserve"> (Eurostat, 2023</w:t>
      </w:r>
      <w:r w:rsidR="00202D50">
        <w:rPr>
          <w:rFonts w:ascii="Times New Roman" w:hAnsi="Times New Roman" w:cs="Times New Roman"/>
          <w:lang w:val="en-GB"/>
        </w:rPr>
        <w:t>b</w:t>
      </w:r>
      <w:r w:rsidR="00CD1121">
        <w:rPr>
          <w:rFonts w:ascii="Times New Roman" w:hAnsi="Times New Roman" w:cs="Times New Roman"/>
          <w:lang w:val="en-GB"/>
        </w:rPr>
        <w:t>)</w:t>
      </w:r>
      <w:r>
        <w:rPr>
          <w:rFonts w:ascii="Times New Roman" w:hAnsi="Times New Roman" w:cs="Times New Roman"/>
          <w:lang w:val="en-GB"/>
        </w:rPr>
        <w:t>.</w:t>
      </w:r>
      <w:r>
        <w:rPr>
          <w:rFonts w:ascii="Times New Roman" w:hAnsi="Times New Roman" w:cs="Times New Roman"/>
          <w:lang w:val="en-GB"/>
        </w:rPr>
        <w:t xml:space="preserve"> This is </w:t>
      </w:r>
      <w:r w:rsidR="00D553AC">
        <w:rPr>
          <w:rFonts w:ascii="Times New Roman" w:hAnsi="Times New Roman" w:cs="Times New Roman"/>
          <w:lang w:val="en-GB"/>
        </w:rPr>
        <w:t xml:space="preserve">one of the most </w:t>
      </w:r>
      <w:r>
        <w:rPr>
          <w:rFonts w:ascii="Times New Roman" w:hAnsi="Times New Roman" w:cs="Times New Roman"/>
          <w:lang w:val="en-GB"/>
        </w:rPr>
        <w:t xml:space="preserve">widely </w:t>
      </w:r>
      <w:r w:rsidR="00D553AC">
        <w:rPr>
          <w:rFonts w:ascii="Times New Roman" w:hAnsi="Times New Roman" w:cs="Times New Roman"/>
          <w:lang w:val="en-GB"/>
        </w:rPr>
        <w:t xml:space="preserve">used </w:t>
      </w:r>
      <w:r>
        <w:rPr>
          <w:rFonts w:ascii="Times New Roman" w:hAnsi="Times New Roman" w:cs="Times New Roman"/>
          <w:lang w:val="en-GB"/>
        </w:rPr>
        <w:t>indicator</w:t>
      </w:r>
      <w:r w:rsidR="00D553AC">
        <w:rPr>
          <w:rFonts w:ascii="Times New Roman" w:hAnsi="Times New Roman" w:cs="Times New Roman"/>
          <w:lang w:val="en-GB"/>
        </w:rPr>
        <w:t>s</w:t>
      </w:r>
      <w:r>
        <w:rPr>
          <w:rFonts w:ascii="Times New Roman" w:hAnsi="Times New Roman" w:cs="Times New Roman"/>
          <w:lang w:val="en-GB"/>
        </w:rPr>
        <w:t xml:space="preserve"> </w:t>
      </w:r>
      <w:r w:rsidR="00D553AC">
        <w:rPr>
          <w:rFonts w:ascii="Times New Roman" w:hAnsi="Times New Roman" w:cs="Times New Roman"/>
          <w:lang w:val="en-GB"/>
        </w:rPr>
        <w:t>for calculating</w:t>
      </w:r>
      <w:r>
        <w:rPr>
          <w:rFonts w:ascii="Times New Roman" w:hAnsi="Times New Roman" w:cs="Times New Roman"/>
          <w:lang w:val="en-GB"/>
        </w:rPr>
        <w:t xml:space="preserve"> regional income inequality</w:t>
      </w:r>
      <w:r w:rsidR="00D553AC">
        <w:rPr>
          <w:rFonts w:ascii="Times New Roman" w:hAnsi="Times New Roman" w:cs="Times New Roman"/>
          <w:lang w:val="en-GB"/>
        </w:rPr>
        <w:t xml:space="preserve"> </w:t>
      </w:r>
      <w:r w:rsidR="00D553AC">
        <w:rPr>
          <w:rFonts w:ascii="Times New Roman" w:hAnsi="Times New Roman" w:cs="Times New Roman"/>
          <w:lang w:val="en-GB"/>
        </w:rPr>
        <w:t>which can be interpreted as differences in living standards</w:t>
      </w:r>
      <w:r w:rsidR="00D553AC">
        <w:rPr>
          <w:rFonts w:ascii="Times New Roman" w:hAnsi="Times New Roman" w:cs="Times New Roman"/>
          <w:lang w:val="en-GB"/>
        </w:rPr>
        <w:t xml:space="preserve"> </w:t>
      </w:r>
      <w:r w:rsidR="00D553AC">
        <w:rPr>
          <w:rFonts w:ascii="Times New Roman" w:hAnsi="Times New Roman" w:cs="Times New Roman"/>
          <w:lang w:val="en-GB"/>
        </w:rPr>
        <w:t>(Dunford, 2009)</w:t>
      </w:r>
      <w:r>
        <w:rPr>
          <w:rFonts w:ascii="Times New Roman" w:hAnsi="Times New Roman" w:cs="Times New Roman"/>
          <w:lang w:val="en-GB"/>
        </w:rPr>
        <w:t xml:space="preserve">. </w:t>
      </w:r>
      <w:r w:rsidR="00CD1121">
        <w:rPr>
          <w:rFonts w:ascii="Times New Roman" w:hAnsi="Times New Roman" w:cs="Times New Roman"/>
          <w:lang w:val="en-GB"/>
        </w:rPr>
        <w:t xml:space="preserve">We obtain these data from Eurostat database for period from 2010 to 2021, but we primarily focus on the last three years. </w:t>
      </w:r>
      <w:r w:rsidR="00D553AC">
        <w:rPr>
          <w:rFonts w:ascii="Times New Roman" w:hAnsi="Times New Roman" w:cs="Times New Roman"/>
          <w:lang w:val="en-GB"/>
        </w:rPr>
        <w:t xml:space="preserve">Additionally, </w:t>
      </w:r>
      <w:r w:rsidR="00EB0C88">
        <w:rPr>
          <w:rFonts w:ascii="Times New Roman" w:hAnsi="Times New Roman" w:cs="Times New Roman"/>
          <w:lang w:val="en-GB"/>
        </w:rPr>
        <w:t>we obtain a similar dataset also from Eurostat, with the only difference that it expresses regional GDP per inhabitant in terms of the percentage of the EU average (</w:t>
      </w:r>
      <w:r w:rsidR="00EB0C88">
        <w:rPr>
          <w:rFonts w:ascii="Times New Roman" w:hAnsi="Times New Roman" w:cs="Times New Roman"/>
          <w:lang w:val="en-GB"/>
        </w:rPr>
        <w:t>Eurostat</w:t>
      </w:r>
      <w:r w:rsidR="00EB0C88">
        <w:rPr>
          <w:rFonts w:ascii="Times New Roman" w:hAnsi="Times New Roman" w:cs="Times New Roman"/>
          <w:lang w:val="en-GB"/>
        </w:rPr>
        <w:t>,</w:t>
      </w:r>
      <w:r w:rsidR="00EB0C88">
        <w:rPr>
          <w:rFonts w:ascii="Times New Roman" w:hAnsi="Times New Roman" w:cs="Times New Roman"/>
          <w:lang w:val="en-GB"/>
        </w:rPr>
        <w:t xml:space="preserve"> 2023c</w:t>
      </w:r>
      <w:r w:rsidR="00EB0C88">
        <w:rPr>
          <w:rFonts w:ascii="Times New Roman" w:hAnsi="Times New Roman" w:cs="Times New Roman"/>
          <w:lang w:val="en-GB"/>
        </w:rPr>
        <w:t xml:space="preserve">). </w:t>
      </w:r>
      <w:r w:rsidR="00CD1121">
        <w:rPr>
          <w:rFonts w:ascii="Times New Roman" w:hAnsi="Times New Roman" w:cs="Times New Roman"/>
          <w:lang w:val="en-GB"/>
        </w:rPr>
        <w:t xml:space="preserve">we merge the dataset on regional GDP per inhabitant with a shapefile which contains the </w:t>
      </w:r>
      <w:r w:rsidR="00CD1121">
        <w:rPr>
          <w:rFonts w:ascii="Times New Roman" w:hAnsi="Times New Roman" w:cs="Times New Roman"/>
          <w:lang w:val="en-GB"/>
        </w:rPr>
        <w:t>geometry attribute for each territorial unit</w:t>
      </w:r>
      <w:r w:rsidR="00CD1121">
        <w:rPr>
          <w:rFonts w:ascii="Times New Roman" w:hAnsi="Times New Roman" w:cs="Times New Roman"/>
          <w:lang w:val="en-GB"/>
        </w:rPr>
        <w:t xml:space="preserve"> which allows us to create maps and effective visualizations. The details on geospatial attributes of NUTS areas are available at GISCO</w:t>
      </w:r>
      <w:r w:rsidR="00202D50">
        <w:rPr>
          <w:rFonts w:ascii="Times New Roman" w:hAnsi="Times New Roman" w:cs="Times New Roman"/>
          <w:lang w:val="en-GB"/>
        </w:rPr>
        <w:t xml:space="preserve"> (Eurostat, 2023a).</w:t>
      </w:r>
    </w:p>
    <w:p w14:paraId="23375474" w14:textId="77777777" w:rsidR="00214758" w:rsidRPr="0077590E" w:rsidRDefault="00214758" w:rsidP="00050A9A">
      <w:pPr>
        <w:jc w:val="both"/>
        <w:rPr>
          <w:rFonts w:ascii="Times New Roman" w:hAnsi="Times New Roman" w:cs="Times New Roman"/>
          <w:lang w:val="en-GB"/>
        </w:rPr>
      </w:pPr>
    </w:p>
    <w:p w14:paraId="71ADA526" w14:textId="38276418" w:rsidR="00202D50" w:rsidRDefault="00156559" w:rsidP="001B43FA">
      <w:pPr>
        <w:rPr>
          <w:rFonts w:ascii="Times New Roman" w:hAnsi="Times New Roman" w:cs="Times New Roman"/>
          <w:i/>
          <w:iCs/>
          <w:lang w:val="en-GB"/>
        </w:rPr>
      </w:pPr>
      <w:r w:rsidRPr="00202D50">
        <w:rPr>
          <w:rFonts w:ascii="Times New Roman" w:hAnsi="Times New Roman" w:cs="Times New Roman"/>
          <w:i/>
          <w:iCs/>
          <w:lang w:val="en-GB"/>
        </w:rPr>
        <w:t xml:space="preserve">2.2 </w:t>
      </w:r>
      <w:r w:rsidR="002D130A">
        <w:rPr>
          <w:rFonts w:ascii="Times New Roman" w:hAnsi="Times New Roman" w:cs="Times New Roman"/>
          <w:i/>
          <w:iCs/>
          <w:lang w:val="en-GB"/>
        </w:rPr>
        <w:t>Measures of Inequality:</w:t>
      </w:r>
      <w:r w:rsidR="00AF0D7F">
        <w:rPr>
          <w:rFonts w:ascii="Times New Roman" w:hAnsi="Times New Roman" w:cs="Times New Roman"/>
          <w:i/>
          <w:iCs/>
          <w:lang w:val="en-GB"/>
        </w:rPr>
        <w:t xml:space="preserve"> The</w:t>
      </w:r>
      <w:r w:rsidR="002D130A">
        <w:rPr>
          <w:rFonts w:ascii="Times New Roman" w:hAnsi="Times New Roman" w:cs="Times New Roman"/>
          <w:i/>
          <w:iCs/>
          <w:lang w:val="en-GB"/>
        </w:rPr>
        <w:t xml:space="preserve"> </w:t>
      </w:r>
      <w:r w:rsidR="00202D50" w:rsidRPr="00202D50">
        <w:rPr>
          <w:rFonts w:ascii="Times New Roman" w:hAnsi="Times New Roman" w:cs="Times New Roman"/>
          <w:i/>
          <w:iCs/>
          <w:lang w:val="en-GB"/>
        </w:rPr>
        <w:t>Gini Coefficient</w:t>
      </w:r>
    </w:p>
    <w:p w14:paraId="4B9DE45E" w14:textId="50CEDCC0" w:rsidR="0037560A" w:rsidRDefault="002D130A" w:rsidP="00AF0D7F">
      <w:pPr>
        <w:jc w:val="both"/>
        <w:rPr>
          <w:rFonts w:ascii="Times New Roman" w:hAnsi="Times New Roman" w:cs="Times New Roman"/>
          <w:lang w:val="en-GB"/>
        </w:rPr>
      </w:pPr>
      <w:r>
        <w:rPr>
          <w:rFonts w:ascii="Times New Roman" w:hAnsi="Times New Roman" w:cs="Times New Roman"/>
          <w:lang w:val="en-GB"/>
        </w:rPr>
        <w:t xml:space="preserve">The simplest most used measures of inequality include the standard deviation, Gini coefficient and Theil index. The most popular and best understood measure of </w:t>
      </w:r>
      <w:r w:rsidR="00AF0D7F">
        <w:rPr>
          <w:rFonts w:ascii="Times New Roman" w:hAnsi="Times New Roman" w:cs="Times New Roman"/>
          <w:lang w:val="en-GB"/>
        </w:rPr>
        <w:t>income inequality is the Gini index. The Gini coefficient is closely related to the concept of the Lorenz curve which</w:t>
      </w:r>
      <w:r w:rsidR="00037A0A">
        <w:rPr>
          <w:rFonts w:ascii="Times New Roman" w:hAnsi="Times New Roman" w:cs="Times New Roman"/>
          <w:lang w:val="en-GB"/>
        </w:rPr>
        <w:t xml:space="preserve"> plots</w:t>
      </w:r>
      <w:r w:rsidR="00AF0D7F">
        <w:rPr>
          <w:rFonts w:ascii="Times New Roman" w:hAnsi="Times New Roman" w:cs="Times New Roman"/>
          <w:lang w:val="en-GB"/>
        </w:rPr>
        <w:t xml:space="preserve"> the cumulative </w:t>
      </w:r>
      <w:r w:rsidR="00B410B9">
        <w:rPr>
          <w:rFonts w:ascii="Times New Roman" w:hAnsi="Times New Roman" w:cs="Times New Roman"/>
          <w:lang w:val="en-GB"/>
        </w:rPr>
        <w:t xml:space="preserve">distribution of income </w:t>
      </w:r>
      <w:r w:rsidR="00037A0A">
        <w:rPr>
          <w:rFonts w:ascii="Times New Roman" w:hAnsi="Times New Roman" w:cs="Times New Roman"/>
          <w:lang w:val="en-GB"/>
        </w:rPr>
        <w:t xml:space="preserve">against the </w:t>
      </w:r>
      <w:r w:rsidR="00B410B9">
        <w:rPr>
          <w:rFonts w:ascii="Times New Roman" w:hAnsi="Times New Roman" w:cs="Times New Roman"/>
          <w:lang w:val="en-GB"/>
        </w:rPr>
        <w:t xml:space="preserve">cumulative percentage of population </w:t>
      </w:r>
      <w:r w:rsidR="00037A0A">
        <w:rPr>
          <w:rFonts w:ascii="Times New Roman" w:hAnsi="Times New Roman" w:cs="Times New Roman"/>
          <w:lang w:val="en-GB"/>
        </w:rPr>
        <w:t>(</w:t>
      </w:r>
      <w:r w:rsidR="00037A0A">
        <w:rPr>
          <w:rFonts w:ascii="Times New Roman" w:hAnsi="Times New Roman" w:cs="Times New Roman"/>
          <w:lang w:val="en-GB"/>
        </w:rPr>
        <w:t>Rey, et al. 2020</w:t>
      </w:r>
      <w:r w:rsidR="00037A0A">
        <w:rPr>
          <w:rFonts w:ascii="Times New Roman" w:hAnsi="Times New Roman" w:cs="Times New Roman"/>
          <w:lang w:val="en-GB"/>
        </w:rPr>
        <w:t>)</w:t>
      </w:r>
      <w:r w:rsidR="00AF0D7F">
        <w:rPr>
          <w:rFonts w:ascii="Times New Roman" w:hAnsi="Times New Roman" w:cs="Times New Roman"/>
          <w:lang w:val="en-GB"/>
        </w:rPr>
        <w:t xml:space="preserve">. </w:t>
      </w:r>
      <w:r w:rsidR="00037A0A" w:rsidRPr="00037A0A">
        <w:rPr>
          <w:rFonts w:ascii="Times New Roman" w:hAnsi="Times New Roman" w:cs="Times New Roman"/>
          <w:lang w:val="en-GB"/>
        </w:rPr>
        <w:t xml:space="preserve">The 45° </w:t>
      </w:r>
      <w:r w:rsidR="0037560A">
        <w:rPr>
          <w:rFonts w:ascii="Times New Roman" w:hAnsi="Times New Roman" w:cs="Times New Roman"/>
          <w:lang w:val="en-GB"/>
        </w:rPr>
        <w:t>diagon</w:t>
      </w:r>
      <w:r w:rsidR="00037A0A" w:rsidRPr="00037A0A">
        <w:rPr>
          <w:rFonts w:ascii="Times New Roman" w:hAnsi="Times New Roman" w:cs="Times New Roman"/>
          <w:lang w:val="en-GB"/>
        </w:rPr>
        <w:t>al line</w:t>
      </w:r>
      <w:r w:rsidR="00037A0A">
        <w:rPr>
          <w:rFonts w:ascii="Times New Roman" w:hAnsi="Times New Roman" w:cs="Times New Roman"/>
          <w:lang w:val="en-GB"/>
        </w:rPr>
        <w:t xml:space="preserve"> represents perfect equality, where </w:t>
      </w:r>
      <w:r w:rsidR="0037560A">
        <w:rPr>
          <w:rFonts w:ascii="Times New Roman" w:hAnsi="Times New Roman" w:cs="Times New Roman"/>
          <w:lang w:val="en-GB"/>
        </w:rPr>
        <w:t xml:space="preserve">the share of income is exactly proportional to the proportion of population that owns that income. Visually, the Gini coefficient is the area between the line of perfect equality and the Lorenz curve, standardized by the area under the line of perfect equality. </w:t>
      </w:r>
    </w:p>
    <w:p w14:paraId="65330858" w14:textId="076E1FE4" w:rsidR="00156559" w:rsidRDefault="0037560A" w:rsidP="0037560A">
      <w:pPr>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345257EF" wp14:editId="6079987B">
            <wp:extent cx="3479800" cy="2722718"/>
            <wp:effectExtent l="0" t="0" r="6350" b="190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7647" cy="2728858"/>
                    </a:xfrm>
                    <a:prstGeom prst="rect">
                      <a:avLst/>
                    </a:prstGeom>
                    <a:noFill/>
                  </pic:spPr>
                </pic:pic>
              </a:graphicData>
            </a:graphic>
          </wp:inline>
        </w:drawing>
      </w:r>
    </w:p>
    <w:p w14:paraId="26CA129F" w14:textId="78903407" w:rsidR="0037560A" w:rsidRDefault="0037560A" w:rsidP="0037560A">
      <w:pPr>
        <w:rPr>
          <w:rFonts w:ascii="Times New Roman" w:hAnsi="Times New Roman" w:cs="Times New Roman"/>
          <w:lang w:val="en-GB"/>
        </w:rPr>
      </w:pPr>
      <w:r>
        <w:rPr>
          <w:rFonts w:ascii="Times New Roman" w:hAnsi="Times New Roman" w:cs="Times New Roman"/>
          <w:lang w:val="en-GB"/>
        </w:rPr>
        <w:t xml:space="preserve">Fig 1. The Lorenz </w:t>
      </w:r>
      <w:r w:rsidR="00B410B9">
        <w:rPr>
          <w:rFonts w:ascii="Times New Roman" w:hAnsi="Times New Roman" w:cs="Times New Roman"/>
          <w:lang w:val="en-GB"/>
        </w:rPr>
        <w:t>curves</w:t>
      </w:r>
      <w:r>
        <w:rPr>
          <w:rFonts w:ascii="Times New Roman" w:hAnsi="Times New Roman" w:cs="Times New Roman"/>
          <w:lang w:val="en-GB"/>
        </w:rPr>
        <w:t xml:space="preserve">. Source: </w:t>
      </w:r>
      <w:proofErr w:type="spellStart"/>
      <w:r>
        <w:rPr>
          <w:rFonts w:ascii="Times New Roman" w:hAnsi="Times New Roman" w:cs="Times New Roman"/>
          <w:lang w:val="en-GB"/>
        </w:rPr>
        <w:t>DeVerteuil</w:t>
      </w:r>
      <w:proofErr w:type="spellEnd"/>
      <w:r>
        <w:rPr>
          <w:rFonts w:ascii="Times New Roman" w:hAnsi="Times New Roman" w:cs="Times New Roman"/>
          <w:lang w:val="en-GB"/>
        </w:rPr>
        <w:t>, G. 2009</w:t>
      </w:r>
    </w:p>
    <w:p w14:paraId="0BCE9B76" w14:textId="7470277C" w:rsidR="0037560A" w:rsidRPr="00037A0A" w:rsidRDefault="00B410B9" w:rsidP="0037560A">
      <w:pPr>
        <w:jc w:val="both"/>
        <w:rPr>
          <w:rFonts w:ascii="Times New Roman" w:hAnsi="Times New Roman" w:cs="Times New Roman"/>
          <w:lang w:val="en-GB"/>
        </w:rPr>
      </w:pPr>
      <w:r>
        <w:rPr>
          <w:rFonts w:ascii="Times New Roman" w:hAnsi="Times New Roman" w:cs="Times New Roman"/>
          <w:lang w:val="en-GB"/>
        </w:rPr>
        <w:t>Mathematically, the Gini coefficient is defined as the mean absolute difference between all pairs of individuals for a given measure, in this case, income</w:t>
      </w:r>
      <w:r w:rsidR="00384117">
        <w:rPr>
          <w:rFonts w:ascii="Times New Roman" w:hAnsi="Times New Roman" w:cs="Times New Roman"/>
          <w:lang w:val="en-GB"/>
        </w:rPr>
        <w:t xml:space="preserve"> (</w:t>
      </w:r>
      <w:r w:rsidR="00384117">
        <w:rPr>
          <w:rFonts w:ascii="Times New Roman" w:hAnsi="Times New Roman" w:cs="Times New Roman"/>
          <w:lang w:val="en-GB"/>
        </w:rPr>
        <w:t>Dunford, M. 2009</w:t>
      </w:r>
      <w:r w:rsidR="00384117">
        <w:rPr>
          <w:rFonts w:ascii="Times New Roman" w:hAnsi="Times New Roman" w:cs="Times New Roman"/>
          <w:lang w:val="en-GB"/>
        </w:rPr>
        <w:t>)</w:t>
      </w:r>
      <w:r>
        <w:rPr>
          <w:rFonts w:ascii="Times New Roman" w:hAnsi="Times New Roman" w:cs="Times New Roman"/>
          <w:lang w:val="en-GB"/>
        </w:rPr>
        <w:t>. Gini can be expressed by the following formula:</w:t>
      </w:r>
    </w:p>
    <w:p w14:paraId="27D8E66F" w14:textId="53D31228" w:rsidR="00156559" w:rsidRDefault="00AF0D7F" w:rsidP="00AF0D7F">
      <w:pPr>
        <w:jc w:val="center"/>
        <w:rPr>
          <w:rFonts w:ascii="Times New Roman" w:hAnsi="Times New Roman" w:cs="Times New Roman"/>
          <w:lang w:val="en-GB"/>
        </w:rPr>
      </w:pPr>
      <w:r>
        <w:rPr>
          <w:noProof/>
        </w:rPr>
        <w:drawing>
          <wp:inline distT="0" distB="0" distL="0" distR="0" wp14:anchorId="7D48EA62" wp14:editId="7ABA1D3C">
            <wp:extent cx="1689100" cy="478790"/>
            <wp:effectExtent l="0" t="0" r="6350" b="0"/>
            <wp:docPr id="1" name="Obrázok 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diagram&#10;&#10;Automaticky generovaný popis"/>
                    <pic:cNvPicPr>
                      <a:picLocks noChangeAspect="1" noChangeArrowheads="1"/>
                    </pic:cNvPicPr>
                  </pic:nvPicPr>
                  <pic:blipFill rotWithShape="1">
                    <a:blip r:embed="rId9">
                      <a:extLst>
                        <a:ext uri="{28A0092B-C50C-407E-A947-70E740481C1C}">
                          <a14:useLocalDpi xmlns:a14="http://schemas.microsoft.com/office/drawing/2010/main" val="0"/>
                        </a:ext>
                      </a:extLst>
                    </a:blip>
                    <a:srcRect t="-2725" r="44108" b="-1"/>
                    <a:stretch/>
                  </pic:blipFill>
                  <pic:spPr bwMode="auto">
                    <a:xfrm>
                      <a:off x="0" y="0"/>
                      <a:ext cx="1757129" cy="498073"/>
                    </a:xfrm>
                    <a:prstGeom prst="rect">
                      <a:avLst/>
                    </a:prstGeom>
                    <a:noFill/>
                    <a:ln>
                      <a:noFill/>
                    </a:ln>
                    <a:extLst>
                      <a:ext uri="{53640926-AAD7-44D8-BBD7-CCE9431645EC}">
                        <a14:shadowObscured xmlns:a14="http://schemas.microsoft.com/office/drawing/2010/main"/>
                      </a:ext>
                    </a:extLst>
                  </pic:spPr>
                </pic:pic>
              </a:graphicData>
            </a:graphic>
          </wp:inline>
        </w:drawing>
      </w:r>
    </w:p>
    <w:p w14:paraId="75A6FD8D" w14:textId="0F2DF94F" w:rsidR="002D6A0B" w:rsidRDefault="00B410B9" w:rsidP="002D6A0B">
      <w:pPr>
        <w:jc w:val="both"/>
        <w:rPr>
          <w:rFonts w:ascii="Times New Roman" w:eastAsiaTheme="minorEastAsia" w:hAnsi="Times New Roman" w:cs="Times New Roman"/>
          <w:lang w:val="en-GB"/>
        </w:rPr>
      </w:pPr>
      <w:r>
        <w:rPr>
          <w:rFonts w:ascii="Times New Roman" w:hAnsi="Times New Roman" w:cs="Times New Roman"/>
          <w:lang w:val="en-GB"/>
        </w:rPr>
        <w:t xml:space="preserve">where </w:t>
      </w:r>
      <m:oMath>
        <m:acc>
          <m:accPr>
            <m:chr m:val="̅"/>
            <m:ctrlPr>
              <w:rPr>
                <w:rFonts w:ascii="Cambria Math" w:hAnsi="Cambria Math" w:cs="Times New Roman"/>
                <w:i/>
                <w:lang w:val="en-GB"/>
              </w:rPr>
            </m:ctrlPr>
          </m:accPr>
          <m:e>
            <m:r>
              <w:rPr>
                <w:rFonts w:ascii="Cambria Math" w:hAnsi="Cambria Math" w:cs="Times New Roman"/>
                <w:lang w:val="en-GB"/>
              </w:rPr>
              <m:t>x</m:t>
            </m:r>
          </m:e>
        </m:acc>
      </m:oMath>
      <w:r w:rsidR="002D6A0B">
        <w:rPr>
          <w:rFonts w:ascii="Times New Roman" w:eastAsiaTheme="minorEastAsia" w:hAnsi="Times New Roman" w:cs="Times New Roman"/>
          <w:lang w:val="en-GB"/>
        </w:rPr>
        <w:t xml:space="preserve"> represents the mean value (in this case, mean income). The minimum value of the Gini coefficient is 0 which indicates perfect equality and 1 perfect inequality. Although the Gini coefficient is a popular and widely used measure of inequality, it fails to capture all nuances of economic inequality. </w:t>
      </w:r>
      <w:r w:rsidR="00384117">
        <w:rPr>
          <w:rFonts w:ascii="Times New Roman" w:eastAsiaTheme="minorEastAsia" w:hAnsi="Times New Roman" w:cs="Times New Roman"/>
          <w:lang w:val="en-GB"/>
        </w:rPr>
        <w:t xml:space="preserve">The same holds for other measures of inequality all of which should be interpreted with caution. </w:t>
      </w:r>
    </w:p>
    <w:p w14:paraId="5D88692A" w14:textId="6250E478" w:rsidR="008021E9" w:rsidRPr="008021E9" w:rsidRDefault="00384117" w:rsidP="002D6A0B">
      <w:pPr>
        <w:jc w:val="both"/>
        <w:rPr>
          <w:rFonts w:ascii="Times New Roman" w:hAnsi="Times New Roman" w:cs="Times New Roman"/>
          <w:lang w:val="en-GB"/>
        </w:rPr>
      </w:pPr>
      <w:r>
        <w:rPr>
          <w:rFonts w:ascii="Times New Roman" w:eastAsiaTheme="minorEastAsia" w:hAnsi="Times New Roman" w:cs="Times New Roman"/>
          <w:lang w:val="en-GB"/>
        </w:rPr>
        <w:t xml:space="preserve">Another important issue in analysing any kind of inequality is the distinction between </w:t>
      </w:r>
      <w:r w:rsidR="008965EA">
        <w:rPr>
          <w:rFonts w:ascii="Times New Roman" w:eastAsiaTheme="minorEastAsia" w:hAnsi="Times New Roman" w:cs="Times New Roman"/>
          <w:lang w:val="en-GB"/>
        </w:rPr>
        <w:t xml:space="preserve">in inequality between countries (or regions) </w:t>
      </w:r>
      <w:r>
        <w:rPr>
          <w:rFonts w:ascii="Times New Roman" w:eastAsiaTheme="minorEastAsia" w:hAnsi="Times New Roman" w:cs="Times New Roman"/>
          <w:lang w:val="en-GB"/>
        </w:rPr>
        <w:t xml:space="preserve">and </w:t>
      </w:r>
      <w:r w:rsidR="008965EA">
        <w:rPr>
          <w:rFonts w:ascii="Times New Roman" w:eastAsiaTheme="minorEastAsia" w:hAnsi="Times New Roman" w:cs="Times New Roman"/>
          <w:lang w:val="en-GB"/>
        </w:rPr>
        <w:t>interpersonal inequality</w:t>
      </w:r>
      <w:r>
        <w:rPr>
          <w:rFonts w:ascii="Times New Roman" w:eastAsiaTheme="minorEastAsia" w:hAnsi="Times New Roman" w:cs="Times New Roman"/>
          <w:lang w:val="en-GB"/>
        </w:rPr>
        <w:t xml:space="preserve"> (</w:t>
      </w:r>
      <w:r>
        <w:rPr>
          <w:rFonts w:ascii="Times New Roman" w:hAnsi="Times New Roman" w:cs="Times New Roman"/>
          <w:lang w:val="en-GB"/>
        </w:rPr>
        <w:t>Rey, et al. 2020)</w:t>
      </w:r>
      <w:r>
        <w:rPr>
          <w:rFonts w:ascii="Times New Roman" w:hAnsi="Times New Roman" w:cs="Times New Roman"/>
          <w:lang w:val="en-GB"/>
        </w:rPr>
        <w:t>.</w:t>
      </w:r>
      <w:r w:rsidR="007219A0">
        <w:rPr>
          <w:rFonts w:ascii="Times New Roman" w:hAnsi="Times New Roman" w:cs="Times New Roman"/>
          <w:lang w:val="en-GB"/>
        </w:rPr>
        <w:t xml:space="preserve"> Although measuring inequality on the level of individuals represents the most accurate approach, it requires enormous dat</w:t>
      </w:r>
      <w:r>
        <w:rPr>
          <w:rFonts w:ascii="Times New Roman" w:hAnsi="Times New Roman" w:cs="Times New Roman"/>
          <w:lang w:val="en-GB"/>
        </w:rPr>
        <w:t xml:space="preserve">a on income for all individuals </w:t>
      </w:r>
      <w:r w:rsidR="008965EA">
        <w:rPr>
          <w:rFonts w:ascii="Times New Roman" w:hAnsi="Times New Roman" w:cs="Times New Roman"/>
          <w:lang w:val="en-GB"/>
        </w:rPr>
        <w:t xml:space="preserve">(usually from household surveys) </w:t>
      </w:r>
      <w:r w:rsidR="007219A0">
        <w:rPr>
          <w:rFonts w:ascii="Times New Roman" w:hAnsi="Times New Roman" w:cs="Times New Roman"/>
          <w:lang w:val="en-GB"/>
        </w:rPr>
        <w:t xml:space="preserve">which </w:t>
      </w:r>
      <w:r>
        <w:rPr>
          <w:rFonts w:ascii="Times New Roman" w:hAnsi="Times New Roman" w:cs="Times New Roman"/>
          <w:lang w:val="en-GB"/>
        </w:rPr>
        <w:t xml:space="preserve">is </w:t>
      </w:r>
      <w:r w:rsidR="007219A0">
        <w:rPr>
          <w:rFonts w:ascii="Times New Roman" w:hAnsi="Times New Roman" w:cs="Times New Roman"/>
          <w:lang w:val="en-GB"/>
        </w:rPr>
        <w:t xml:space="preserve">often </w:t>
      </w:r>
      <w:r>
        <w:rPr>
          <w:rFonts w:ascii="Times New Roman" w:hAnsi="Times New Roman" w:cs="Times New Roman"/>
          <w:lang w:val="en-GB"/>
        </w:rPr>
        <w:t>not available</w:t>
      </w:r>
      <w:r w:rsidR="008965EA">
        <w:rPr>
          <w:rFonts w:ascii="Times New Roman" w:hAnsi="Times New Roman" w:cs="Times New Roman"/>
          <w:lang w:val="en-GB"/>
        </w:rPr>
        <w:t xml:space="preserve"> on international scale</w:t>
      </w:r>
      <w:r>
        <w:rPr>
          <w:rFonts w:ascii="Times New Roman" w:hAnsi="Times New Roman" w:cs="Times New Roman"/>
          <w:lang w:val="en-GB"/>
        </w:rPr>
        <w:t xml:space="preserve"> </w:t>
      </w:r>
      <w:r w:rsidR="007219A0">
        <w:rPr>
          <w:rFonts w:ascii="Times New Roman" w:hAnsi="Times New Roman" w:cs="Times New Roman"/>
          <w:lang w:val="en-GB"/>
        </w:rPr>
        <w:t>(</w:t>
      </w:r>
      <w:proofErr w:type="spellStart"/>
      <w:r w:rsidR="007219A0" w:rsidRPr="00543B7D">
        <w:rPr>
          <w:rFonts w:ascii="Times New Roman" w:hAnsi="Times New Roman" w:cs="Times New Roman"/>
          <w:lang w:val="en-GB"/>
        </w:rPr>
        <w:t>Dauderstädt</w:t>
      </w:r>
      <w:proofErr w:type="spellEnd"/>
      <w:r w:rsidR="007219A0">
        <w:rPr>
          <w:rFonts w:ascii="Times New Roman" w:hAnsi="Times New Roman" w:cs="Times New Roman"/>
          <w:lang w:val="en-GB"/>
        </w:rPr>
        <w:t>,</w:t>
      </w:r>
      <w:r w:rsidR="007219A0">
        <w:rPr>
          <w:rFonts w:ascii="Times New Roman" w:hAnsi="Times New Roman" w:cs="Times New Roman"/>
          <w:lang w:val="en-GB"/>
        </w:rPr>
        <w:t xml:space="preserve"> </w:t>
      </w:r>
      <w:r w:rsidR="007219A0">
        <w:rPr>
          <w:rFonts w:ascii="Times New Roman" w:hAnsi="Times New Roman" w:cs="Times New Roman"/>
          <w:lang w:val="en-GB"/>
        </w:rPr>
        <w:t>2022</w:t>
      </w:r>
      <w:r w:rsidR="007219A0">
        <w:rPr>
          <w:rFonts w:ascii="Times New Roman" w:hAnsi="Times New Roman" w:cs="Times New Roman"/>
          <w:lang w:val="en-GB"/>
        </w:rPr>
        <w:t xml:space="preserve">). </w:t>
      </w:r>
      <w:r w:rsidR="008965EA">
        <w:rPr>
          <w:rFonts w:ascii="Times New Roman" w:hAnsi="Times New Roman" w:cs="Times New Roman"/>
          <w:lang w:val="en-GB"/>
        </w:rPr>
        <w:t>Therefore, t</w:t>
      </w:r>
      <w:r w:rsidR="007219A0">
        <w:rPr>
          <w:rFonts w:ascii="Times New Roman" w:hAnsi="Times New Roman" w:cs="Times New Roman"/>
          <w:lang w:val="en-GB"/>
        </w:rPr>
        <w:t>o investigate income inequality on international or interregional level</w:t>
      </w:r>
      <w:r w:rsidR="008965EA">
        <w:rPr>
          <w:rFonts w:ascii="Times New Roman" w:hAnsi="Times New Roman" w:cs="Times New Roman"/>
          <w:lang w:val="en-GB"/>
        </w:rPr>
        <w:t xml:space="preserve">, the first approach is most used. This approach requires the </w:t>
      </w:r>
      <w:r>
        <w:rPr>
          <w:rFonts w:ascii="Times New Roman" w:hAnsi="Times New Roman" w:cs="Times New Roman"/>
          <w:lang w:val="en-GB"/>
        </w:rPr>
        <w:t>assum</w:t>
      </w:r>
      <w:r w:rsidR="008965EA">
        <w:rPr>
          <w:rFonts w:ascii="Times New Roman" w:hAnsi="Times New Roman" w:cs="Times New Roman"/>
          <w:lang w:val="en-GB"/>
        </w:rPr>
        <w:t>ption</w:t>
      </w:r>
      <w:r>
        <w:rPr>
          <w:rFonts w:ascii="Times New Roman" w:hAnsi="Times New Roman" w:cs="Times New Roman"/>
          <w:lang w:val="en-GB"/>
        </w:rPr>
        <w:t xml:space="preserve"> that the inequality within regions is zero</w:t>
      </w:r>
      <w:r w:rsidR="008965EA">
        <w:rPr>
          <w:rFonts w:ascii="Times New Roman" w:hAnsi="Times New Roman" w:cs="Times New Roman"/>
          <w:lang w:val="en-GB"/>
        </w:rPr>
        <w:t xml:space="preserve"> which </w:t>
      </w:r>
      <w:r>
        <w:rPr>
          <w:rFonts w:ascii="Times New Roman" w:hAnsi="Times New Roman" w:cs="Times New Roman"/>
          <w:lang w:val="en-GB"/>
        </w:rPr>
        <w:t>may not seem very plausibl</w:t>
      </w:r>
      <w:r w:rsidR="008965EA">
        <w:rPr>
          <w:rFonts w:ascii="Times New Roman" w:hAnsi="Times New Roman" w:cs="Times New Roman"/>
          <w:lang w:val="en-GB"/>
        </w:rPr>
        <w:t>e but does not represent a problem since the indicator we are interested in are interregional differences</w:t>
      </w:r>
      <w:r>
        <w:rPr>
          <w:rFonts w:ascii="Times New Roman" w:hAnsi="Times New Roman" w:cs="Times New Roman"/>
          <w:lang w:val="en-GB"/>
        </w:rPr>
        <w:t>.</w:t>
      </w:r>
    </w:p>
    <w:p w14:paraId="636C7493" w14:textId="386F4642" w:rsidR="00B410B9" w:rsidRPr="002D6A0B" w:rsidRDefault="002D6A0B" w:rsidP="002D6A0B">
      <w:pPr>
        <w:jc w:val="both"/>
        <w:rPr>
          <w:rFonts w:ascii="Times New Roman" w:eastAsiaTheme="minorEastAsia" w:hAnsi="Times New Roman" w:cs="Times New Roman"/>
          <w:i/>
          <w:iCs/>
          <w:lang w:val="en-GB"/>
        </w:rPr>
      </w:pPr>
      <w:r w:rsidRPr="002D6A0B">
        <w:rPr>
          <w:rFonts w:ascii="Times New Roman" w:eastAsiaTheme="minorEastAsia" w:hAnsi="Times New Roman" w:cs="Times New Roman"/>
          <w:i/>
          <w:iCs/>
          <w:lang w:val="en-GB"/>
        </w:rPr>
        <w:t xml:space="preserve">2.3 Empirical approach </w:t>
      </w:r>
    </w:p>
    <w:p w14:paraId="64BD14E3" w14:textId="1804E178" w:rsidR="002D6A0B" w:rsidRDefault="00384117" w:rsidP="002D6A0B">
      <w:pPr>
        <w:jc w:val="both"/>
        <w:rPr>
          <w:rFonts w:ascii="Times New Roman" w:hAnsi="Times New Roman" w:cs="Times New Roman"/>
          <w:lang w:val="en-GB"/>
        </w:rPr>
      </w:pPr>
      <w:r>
        <w:rPr>
          <w:rFonts w:ascii="Times New Roman" w:hAnsi="Times New Roman" w:cs="Times New Roman"/>
          <w:lang w:val="en-GB"/>
        </w:rPr>
        <w:t xml:space="preserve">Our analysis focuses on the evolution of regional income inequality within the EU with the focus the past few years affected by the COVID </w:t>
      </w:r>
      <w:r w:rsidR="003930FA">
        <w:rPr>
          <w:rFonts w:ascii="Times New Roman" w:hAnsi="Times New Roman" w:cs="Times New Roman"/>
          <w:lang w:val="en-GB"/>
        </w:rPr>
        <w:t xml:space="preserve">-19 pandemic. </w:t>
      </w:r>
      <w:r w:rsidR="008021E9">
        <w:rPr>
          <w:rFonts w:ascii="Times New Roman" w:hAnsi="Times New Roman" w:cs="Times New Roman"/>
          <w:lang w:val="en-GB"/>
        </w:rPr>
        <w:t xml:space="preserve">We first provide some context by graphically exploring the income distribution of the regions of the EU using the Eurostat data on GDP per inhabitant </w:t>
      </w:r>
      <w:r w:rsidR="00531185">
        <w:rPr>
          <w:rFonts w:ascii="Times New Roman" w:hAnsi="Times New Roman" w:cs="Times New Roman"/>
          <w:lang w:val="en-GB"/>
        </w:rPr>
        <w:t xml:space="preserve">and GDP per inhabitant as the percentage of the EU average </w:t>
      </w:r>
      <w:r w:rsidR="008021E9">
        <w:rPr>
          <w:rFonts w:ascii="Times New Roman" w:hAnsi="Times New Roman" w:cs="Times New Roman"/>
          <w:lang w:val="en-GB"/>
        </w:rPr>
        <w:t xml:space="preserve">and then we calculate the Gini coefficient for the period of interest. </w:t>
      </w:r>
    </w:p>
    <w:p w14:paraId="5A7449EA" w14:textId="77777777" w:rsidR="00384117" w:rsidRPr="0077590E" w:rsidRDefault="00384117" w:rsidP="002D6A0B">
      <w:pPr>
        <w:jc w:val="both"/>
        <w:rPr>
          <w:rFonts w:ascii="Times New Roman" w:hAnsi="Times New Roman" w:cs="Times New Roman"/>
          <w:lang w:val="en-GB"/>
        </w:rPr>
      </w:pPr>
    </w:p>
    <w:p w14:paraId="55919560" w14:textId="5E09EF74" w:rsidR="00156559" w:rsidRPr="008021E9" w:rsidRDefault="00156559" w:rsidP="001B43FA">
      <w:pPr>
        <w:rPr>
          <w:rFonts w:ascii="Times New Roman" w:hAnsi="Times New Roman" w:cs="Times New Roman"/>
          <w:b/>
          <w:bCs/>
          <w:lang w:val="en-GB"/>
        </w:rPr>
      </w:pPr>
      <w:r w:rsidRPr="008021E9">
        <w:rPr>
          <w:rFonts w:ascii="Times New Roman" w:hAnsi="Times New Roman" w:cs="Times New Roman"/>
          <w:b/>
          <w:bCs/>
          <w:lang w:val="en-GB"/>
        </w:rPr>
        <w:t xml:space="preserve">3 Results </w:t>
      </w:r>
    </w:p>
    <w:p w14:paraId="3E341CB1" w14:textId="03347787" w:rsidR="009419B1" w:rsidRDefault="00AE4620" w:rsidP="00351AC7">
      <w:pPr>
        <w:jc w:val="both"/>
        <w:rPr>
          <w:rFonts w:ascii="Times New Roman" w:hAnsi="Times New Roman" w:cs="Times New Roman"/>
          <w:lang w:val="en-GB"/>
        </w:rPr>
      </w:pPr>
      <w:r>
        <w:rPr>
          <w:rFonts w:ascii="Times New Roman" w:hAnsi="Times New Roman" w:cs="Times New Roman"/>
          <w:lang w:val="en-GB"/>
        </w:rPr>
        <w:t>Fig 2 illustrates GDP per inhabitant across regions of the EU as the percentage of the EU average. Although the EU is often consider</w:t>
      </w:r>
      <w:r w:rsidR="003E4E72">
        <w:rPr>
          <w:rFonts w:ascii="Times New Roman" w:hAnsi="Times New Roman" w:cs="Times New Roman"/>
          <w:lang w:val="en-GB"/>
        </w:rPr>
        <w:t xml:space="preserve">ed to have a relatively high degree of income equality, the GDP per </w:t>
      </w:r>
      <w:r w:rsidR="003E4E72">
        <w:rPr>
          <w:rFonts w:ascii="Times New Roman" w:hAnsi="Times New Roman" w:cs="Times New Roman"/>
          <w:lang w:val="en-GB"/>
        </w:rPr>
        <w:lastRenderedPageBreak/>
        <w:t>inhabitant in highest income regions is ten times the income per inhabitant in the most impoverished regions. The</w:t>
      </w:r>
      <w:r w:rsidR="00FF4D5E">
        <w:rPr>
          <w:rFonts w:ascii="Times New Roman" w:hAnsi="Times New Roman" w:cs="Times New Roman"/>
          <w:lang w:val="en-GB"/>
        </w:rPr>
        <w:t>re is a strong geographic component of</w:t>
      </w:r>
      <w:r w:rsidR="003E4E72">
        <w:rPr>
          <w:rFonts w:ascii="Times New Roman" w:hAnsi="Times New Roman" w:cs="Times New Roman"/>
          <w:lang w:val="en-GB"/>
        </w:rPr>
        <w:t xml:space="preserve"> regional income distribution within the EU, </w:t>
      </w:r>
      <w:r w:rsidR="00FF4D5E">
        <w:rPr>
          <w:rFonts w:ascii="Times New Roman" w:hAnsi="Times New Roman" w:cs="Times New Roman"/>
          <w:lang w:val="en-GB"/>
        </w:rPr>
        <w:t xml:space="preserve">as Fig 2 demonstrates </w:t>
      </w:r>
      <w:r w:rsidR="003E4E72">
        <w:rPr>
          <w:rFonts w:ascii="Times New Roman" w:hAnsi="Times New Roman" w:cs="Times New Roman"/>
          <w:lang w:val="en-GB"/>
        </w:rPr>
        <w:t xml:space="preserve">the highest income areas are concentrated in the north-western part of the continent. Even three decades after the Iron Curtain and the dissolution of the Soviet </w:t>
      </w:r>
      <w:r w:rsidR="00FF4D5E">
        <w:rPr>
          <w:rFonts w:ascii="Times New Roman" w:hAnsi="Times New Roman" w:cs="Times New Roman"/>
          <w:lang w:val="en-GB"/>
        </w:rPr>
        <w:t xml:space="preserve">Union, the economic footprints of the East-West divide remain present in Europe. Eastern part of the continent still economically </w:t>
      </w:r>
      <w:proofErr w:type="gramStart"/>
      <w:r w:rsidR="00FF4D5E">
        <w:rPr>
          <w:rFonts w:ascii="Times New Roman" w:hAnsi="Times New Roman" w:cs="Times New Roman"/>
          <w:lang w:val="en-GB"/>
        </w:rPr>
        <w:t xml:space="preserve">lags </w:t>
      </w:r>
      <w:r w:rsidR="003600A6">
        <w:rPr>
          <w:rFonts w:ascii="Times New Roman" w:hAnsi="Times New Roman" w:cs="Times New Roman"/>
          <w:lang w:val="en-GB"/>
        </w:rPr>
        <w:t>behind</w:t>
      </w:r>
      <w:proofErr w:type="gramEnd"/>
      <w:r w:rsidR="003600A6">
        <w:rPr>
          <w:rFonts w:ascii="Times New Roman" w:hAnsi="Times New Roman" w:cs="Times New Roman"/>
          <w:lang w:val="en-GB"/>
        </w:rPr>
        <w:t xml:space="preserve"> </w:t>
      </w:r>
      <w:r w:rsidR="00FF4D5E">
        <w:rPr>
          <w:rFonts w:ascii="Times New Roman" w:hAnsi="Times New Roman" w:cs="Times New Roman"/>
          <w:lang w:val="en-GB"/>
        </w:rPr>
        <w:t xml:space="preserve">the traditionally industrialized economies of Western Europe. GDP per inhabitant in most regions of post-socialist countries does not exceed 75% of the EU average. </w:t>
      </w:r>
      <w:r w:rsidR="003600A6">
        <w:rPr>
          <w:rFonts w:ascii="Times New Roman" w:hAnsi="Times New Roman" w:cs="Times New Roman"/>
          <w:lang w:val="en-GB"/>
        </w:rPr>
        <w:t xml:space="preserve">Another important dimension of interregional income disparities within the EU is the urban-rural divide, as Fig 2 shows, </w:t>
      </w:r>
      <w:r w:rsidR="00F114BC">
        <w:rPr>
          <w:rFonts w:ascii="Times New Roman" w:hAnsi="Times New Roman" w:cs="Times New Roman"/>
          <w:lang w:val="en-GB"/>
        </w:rPr>
        <w:t>metropolitan areas of capital cities tend substantially exceed the EU average income per inhabitant.</w:t>
      </w:r>
    </w:p>
    <w:p w14:paraId="020B35BB" w14:textId="34CA9612" w:rsidR="00531185" w:rsidRDefault="00F47060" w:rsidP="00F47060">
      <w:pPr>
        <w:jc w:val="both"/>
        <w:rPr>
          <w:rFonts w:ascii="Times New Roman" w:hAnsi="Times New Roman" w:cs="Times New Roman"/>
          <w:lang w:val="en-GB"/>
        </w:rPr>
      </w:pPr>
      <w:r>
        <w:rPr>
          <w:noProof/>
        </w:rPr>
        <w:drawing>
          <wp:inline distT="0" distB="0" distL="0" distR="0" wp14:anchorId="7CED11BD" wp14:editId="4C3C7FF9">
            <wp:extent cx="5499100" cy="4292600"/>
            <wp:effectExtent l="0" t="0" r="6350" b="0"/>
            <wp:docPr id="11" name="Obrázok 11" descr="Hľadať v postrannom pan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ľadať v postrannom paneli"/>
                    <pic:cNvPicPr>
                      <a:picLocks noChangeAspect="1" noChangeArrowheads="1"/>
                    </pic:cNvPicPr>
                  </pic:nvPicPr>
                  <pic:blipFill rotWithShape="1">
                    <a:blip r:embed="rId10">
                      <a:extLst>
                        <a:ext uri="{28A0092B-C50C-407E-A947-70E740481C1C}">
                          <a14:useLocalDpi xmlns:a14="http://schemas.microsoft.com/office/drawing/2010/main" val="0"/>
                        </a:ext>
                      </a:extLst>
                    </a:blip>
                    <a:srcRect l="1198" t="7151" r="4508" b="1646"/>
                    <a:stretch/>
                  </pic:blipFill>
                  <pic:spPr bwMode="auto">
                    <a:xfrm>
                      <a:off x="0" y="0"/>
                      <a:ext cx="5499100" cy="4292600"/>
                    </a:xfrm>
                    <a:prstGeom prst="rect">
                      <a:avLst/>
                    </a:prstGeom>
                    <a:noFill/>
                    <a:ln>
                      <a:noFill/>
                    </a:ln>
                    <a:extLst>
                      <a:ext uri="{53640926-AAD7-44D8-BBD7-CCE9431645EC}">
                        <a14:shadowObscured xmlns:a14="http://schemas.microsoft.com/office/drawing/2010/main"/>
                      </a:ext>
                    </a:extLst>
                  </pic:spPr>
                </pic:pic>
              </a:graphicData>
            </a:graphic>
          </wp:inline>
        </w:drawing>
      </w:r>
    </w:p>
    <w:p w14:paraId="30BD039F" w14:textId="33D61989" w:rsidR="005077AF" w:rsidRDefault="00531185" w:rsidP="001B43FA">
      <w:pPr>
        <w:rPr>
          <w:rFonts w:ascii="Times New Roman" w:hAnsi="Times New Roman" w:cs="Times New Roman"/>
          <w:lang w:val="en-GB"/>
        </w:rPr>
      </w:pPr>
      <w:r>
        <w:rPr>
          <w:rFonts w:ascii="Times New Roman" w:hAnsi="Times New Roman" w:cs="Times New Roman"/>
          <w:lang w:val="en-GB"/>
        </w:rPr>
        <w:t xml:space="preserve">Fig </w:t>
      </w:r>
      <w:r w:rsidR="00F47060">
        <w:rPr>
          <w:rFonts w:ascii="Times New Roman" w:hAnsi="Times New Roman" w:cs="Times New Roman"/>
          <w:lang w:val="en-GB"/>
        </w:rPr>
        <w:t>2</w:t>
      </w:r>
      <w:r>
        <w:rPr>
          <w:rFonts w:ascii="Times New Roman" w:hAnsi="Times New Roman" w:cs="Times New Roman"/>
          <w:lang w:val="en-GB"/>
        </w:rPr>
        <w:t>. GDP per inhabitant of the regions of the EU as the percentage of EU average in 2019</w:t>
      </w:r>
    </w:p>
    <w:p w14:paraId="5DD5E6E8" w14:textId="5B3D28F0" w:rsidR="00FF4D5E" w:rsidRDefault="00FF4D5E" w:rsidP="004A0DF6">
      <w:pPr>
        <w:jc w:val="both"/>
        <w:rPr>
          <w:rFonts w:ascii="Times New Roman" w:hAnsi="Times New Roman" w:cs="Times New Roman"/>
          <w:lang w:val="en-GB"/>
        </w:rPr>
      </w:pPr>
      <w:r>
        <w:rPr>
          <w:rFonts w:ascii="Times New Roman" w:hAnsi="Times New Roman" w:cs="Times New Roman"/>
          <w:lang w:val="en-GB"/>
        </w:rPr>
        <w:t>The question we aim to investigate is whether the recent pandemic exacerbate</w:t>
      </w:r>
      <w:r w:rsidR="004A0DF6">
        <w:rPr>
          <w:rFonts w:ascii="Times New Roman" w:hAnsi="Times New Roman" w:cs="Times New Roman"/>
          <w:lang w:val="en-GB"/>
        </w:rPr>
        <w:t>d</w:t>
      </w:r>
      <w:r>
        <w:rPr>
          <w:rFonts w:ascii="Times New Roman" w:hAnsi="Times New Roman" w:cs="Times New Roman"/>
          <w:lang w:val="en-GB"/>
        </w:rPr>
        <w:t xml:space="preserve"> this divide</w:t>
      </w:r>
      <w:r w:rsidR="004A0DF6">
        <w:rPr>
          <w:rFonts w:ascii="Times New Roman" w:hAnsi="Times New Roman" w:cs="Times New Roman"/>
          <w:lang w:val="en-GB"/>
        </w:rPr>
        <w:t xml:space="preserve"> or instead had an equalizing effect on regional income distribution within the EU. Before proceeding to the analysis of inequality measures, Fig 3 illustrates the change of regional GDP per inhabitant across regions of the EU between pre-pandemic year 2019 and the year 2021. Just eyeballing this figure suggests that the COVID-19 had unequal impact on the GDP growth across the EU. While the western and southern part of the continent experienced a contraction of income per capita, the eastern part was less adversely affected by the economic shock triggered by the pandemic. This observation is consistent with the argument of Deaton (2021) who pointed out the developed countries that experienced higher death toll tended to also witness larger economic contraction. This line of argument supports the thesis </w:t>
      </w:r>
      <w:r w:rsidR="00135033">
        <w:rPr>
          <w:rFonts w:ascii="Times New Roman" w:hAnsi="Times New Roman" w:cs="Times New Roman"/>
          <w:lang w:val="en-GB"/>
        </w:rPr>
        <w:t xml:space="preserve">that pandemic acted as an equalizer. However, taking a closer look, the differences in change in GDP over this period were relatively small and even </w:t>
      </w:r>
      <w:r w:rsidR="00AD656D">
        <w:rPr>
          <w:rFonts w:ascii="Times New Roman" w:hAnsi="Times New Roman" w:cs="Times New Roman"/>
          <w:lang w:val="en-GB"/>
        </w:rPr>
        <w:t xml:space="preserve">for </w:t>
      </w:r>
      <w:r w:rsidR="003747A5">
        <w:rPr>
          <w:rFonts w:ascii="Times New Roman" w:hAnsi="Times New Roman" w:cs="Times New Roman"/>
          <w:lang w:val="en-GB"/>
        </w:rPr>
        <w:t>c</w:t>
      </w:r>
      <w:r w:rsidR="00135033">
        <w:rPr>
          <w:rFonts w:ascii="Times New Roman" w:hAnsi="Times New Roman" w:cs="Times New Roman"/>
          <w:lang w:val="en-GB"/>
        </w:rPr>
        <w:t>ountries wh</w:t>
      </w:r>
      <w:r w:rsidR="003747A5">
        <w:rPr>
          <w:rFonts w:ascii="Times New Roman" w:hAnsi="Times New Roman" w:cs="Times New Roman"/>
          <w:lang w:val="en-GB"/>
        </w:rPr>
        <w:t>ich experienced positive change in</w:t>
      </w:r>
      <w:r w:rsidR="00135033">
        <w:rPr>
          <w:rFonts w:ascii="Times New Roman" w:hAnsi="Times New Roman" w:cs="Times New Roman"/>
          <w:lang w:val="en-GB"/>
        </w:rPr>
        <w:t xml:space="preserve"> GDP,</w:t>
      </w:r>
      <w:r w:rsidR="003747A5">
        <w:rPr>
          <w:rFonts w:ascii="Times New Roman" w:hAnsi="Times New Roman" w:cs="Times New Roman"/>
          <w:lang w:val="en-GB"/>
        </w:rPr>
        <w:t xml:space="preserve"> the</w:t>
      </w:r>
      <w:r w:rsidR="00AD656D">
        <w:rPr>
          <w:rFonts w:ascii="Times New Roman" w:hAnsi="Times New Roman" w:cs="Times New Roman"/>
          <w:lang w:val="en-GB"/>
        </w:rPr>
        <w:t xml:space="preserve"> growth</w:t>
      </w:r>
      <w:r w:rsidR="003747A5">
        <w:rPr>
          <w:rFonts w:ascii="Times New Roman" w:hAnsi="Times New Roman" w:cs="Times New Roman"/>
          <w:lang w:val="en-GB"/>
        </w:rPr>
        <w:t xml:space="preserve"> rates were below steady-state </w:t>
      </w:r>
      <w:r w:rsidR="007219A0">
        <w:rPr>
          <w:rFonts w:ascii="Times New Roman" w:hAnsi="Times New Roman" w:cs="Times New Roman"/>
          <w:lang w:val="en-GB"/>
        </w:rPr>
        <w:t>growth rate</w:t>
      </w:r>
      <w:r w:rsidR="00135033">
        <w:rPr>
          <w:rFonts w:ascii="Times New Roman" w:hAnsi="Times New Roman" w:cs="Times New Roman"/>
          <w:lang w:val="en-GB"/>
        </w:rPr>
        <w:t>.</w:t>
      </w:r>
    </w:p>
    <w:p w14:paraId="444B7588" w14:textId="5E2C8986" w:rsidR="00FF4D5E" w:rsidRDefault="00EB0C88" w:rsidP="001B43FA">
      <w:pP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705998C9" wp14:editId="0DE5D915">
            <wp:extent cx="5245100" cy="4187811"/>
            <wp:effectExtent l="0" t="0" r="0" b="381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262" t="6643" r="5363" b="1015"/>
                    <a:stretch/>
                  </pic:blipFill>
                  <pic:spPr bwMode="auto">
                    <a:xfrm>
                      <a:off x="0" y="0"/>
                      <a:ext cx="5271050" cy="4208530"/>
                    </a:xfrm>
                    <a:prstGeom prst="rect">
                      <a:avLst/>
                    </a:prstGeom>
                    <a:noFill/>
                    <a:ln>
                      <a:noFill/>
                    </a:ln>
                    <a:extLst>
                      <a:ext uri="{53640926-AAD7-44D8-BBD7-CCE9431645EC}">
                        <a14:shadowObscured xmlns:a14="http://schemas.microsoft.com/office/drawing/2010/main"/>
                      </a:ext>
                    </a:extLst>
                  </pic:spPr>
                </pic:pic>
              </a:graphicData>
            </a:graphic>
          </wp:inline>
        </w:drawing>
      </w:r>
    </w:p>
    <w:p w14:paraId="6F61BE7C" w14:textId="1C8CF829" w:rsidR="00AD656D" w:rsidRDefault="00135033" w:rsidP="001B43FA">
      <w:pPr>
        <w:rPr>
          <w:rFonts w:ascii="Times New Roman" w:hAnsi="Times New Roman" w:cs="Times New Roman"/>
          <w:lang w:val="en-GB"/>
        </w:rPr>
      </w:pPr>
      <w:r>
        <w:rPr>
          <w:rFonts w:ascii="Times New Roman" w:hAnsi="Times New Roman" w:cs="Times New Roman"/>
          <w:lang w:val="en-GB"/>
        </w:rPr>
        <w:t>Fig 3. The</w:t>
      </w:r>
      <w:r w:rsidR="00EB0C88">
        <w:rPr>
          <w:rFonts w:ascii="Times New Roman" w:hAnsi="Times New Roman" w:cs="Times New Roman"/>
          <w:lang w:val="en-GB"/>
        </w:rPr>
        <w:t xml:space="preserve"> percentage</w:t>
      </w:r>
      <w:r>
        <w:rPr>
          <w:rFonts w:ascii="Times New Roman" w:hAnsi="Times New Roman" w:cs="Times New Roman"/>
          <w:lang w:val="en-GB"/>
        </w:rPr>
        <w:t xml:space="preserve"> change in GDP per inhabitant in regions of the EU between 2019 and 2021</w:t>
      </w:r>
      <w:r w:rsidR="00EB0C88">
        <w:rPr>
          <w:rFonts w:ascii="Times New Roman" w:hAnsi="Times New Roman" w:cs="Times New Roman"/>
          <w:lang w:val="en-GB"/>
        </w:rPr>
        <w:t xml:space="preserve">. </w:t>
      </w:r>
    </w:p>
    <w:p w14:paraId="7C6BA892" w14:textId="6251445E" w:rsidR="00A46017" w:rsidRPr="0077590E" w:rsidRDefault="00FD5BD2" w:rsidP="00A46017">
      <w:pPr>
        <w:jc w:val="both"/>
        <w:rPr>
          <w:rFonts w:ascii="Times New Roman" w:hAnsi="Times New Roman" w:cs="Times New Roman"/>
          <w:lang w:val="en-GB"/>
        </w:rPr>
      </w:pPr>
      <w:r>
        <w:rPr>
          <w:rFonts w:ascii="Times New Roman" w:hAnsi="Times New Roman" w:cs="Times New Roman"/>
          <w:lang w:val="en-GB"/>
        </w:rPr>
        <w:t>T</w:t>
      </w:r>
      <w:r w:rsidR="00AD656D">
        <w:rPr>
          <w:rFonts w:ascii="Times New Roman" w:hAnsi="Times New Roman" w:cs="Times New Roman"/>
          <w:lang w:val="en-GB"/>
        </w:rPr>
        <w:t xml:space="preserve">o explore the trends in inequality more rigorously we calculate </w:t>
      </w:r>
      <w:r w:rsidR="00A46017">
        <w:rPr>
          <w:rFonts w:ascii="Times New Roman" w:hAnsi="Times New Roman" w:cs="Times New Roman"/>
          <w:lang w:val="en-GB"/>
        </w:rPr>
        <w:t xml:space="preserve">the most used measure of inequality, the Gini index. Fig 5 displays the associated Lorenz curve for pre-pandemic year 2019 and 2021. Lorenz curves suggest that inequality </w:t>
      </w:r>
      <w:r w:rsidR="00EB0C88">
        <w:rPr>
          <w:rFonts w:ascii="Times New Roman" w:hAnsi="Times New Roman" w:cs="Times New Roman"/>
          <w:lang w:val="en-GB"/>
        </w:rPr>
        <w:t xml:space="preserve">did not change much </w:t>
      </w:r>
      <w:r w:rsidR="00A46017">
        <w:rPr>
          <w:rFonts w:ascii="Times New Roman" w:hAnsi="Times New Roman" w:cs="Times New Roman"/>
          <w:lang w:val="en-GB"/>
        </w:rPr>
        <w:t>during the pandemic</w:t>
      </w:r>
      <w:r w:rsidR="00EB0C88">
        <w:rPr>
          <w:rFonts w:ascii="Times New Roman" w:hAnsi="Times New Roman" w:cs="Times New Roman"/>
          <w:lang w:val="en-GB"/>
        </w:rPr>
        <w:t xml:space="preserve"> as the two Lorenz curves almost entirely overlap</w:t>
      </w:r>
      <w:r w:rsidR="00A46017">
        <w:rPr>
          <w:rFonts w:ascii="Times New Roman" w:hAnsi="Times New Roman" w:cs="Times New Roman"/>
          <w:lang w:val="en-GB"/>
        </w:rPr>
        <w:t xml:space="preserve">. The evolution of the Gini coefficient for regional income inequality provides more insight. Fig 6 illustrates the changes of Gini coefficient from 2010 to 2021 </w:t>
      </w:r>
      <w:r w:rsidR="007612FE">
        <w:rPr>
          <w:rFonts w:ascii="Times New Roman" w:hAnsi="Times New Roman" w:cs="Times New Roman"/>
          <w:lang w:val="en-GB"/>
        </w:rPr>
        <w:t xml:space="preserve">which had </w:t>
      </w:r>
      <w:r w:rsidR="008C0F9E">
        <w:rPr>
          <w:rFonts w:ascii="Times New Roman" w:hAnsi="Times New Roman" w:cs="Times New Roman"/>
          <w:lang w:val="en-GB"/>
        </w:rPr>
        <w:t>been relatively stable until 2016 when it started to fall which continued until 2019. In 2020, t</w:t>
      </w:r>
      <w:r w:rsidR="007612FE">
        <w:rPr>
          <w:rFonts w:ascii="Times New Roman" w:hAnsi="Times New Roman" w:cs="Times New Roman"/>
          <w:lang w:val="en-GB"/>
        </w:rPr>
        <w:t>he Gini coefficient</w:t>
      </w:r>
      <w:r w:rsidR="008C0F9E">
        <w:rPr>
          <w:rFonts w:ascii="Times New Roman" w:hAnsi="Times New Roman" w:cs="Times New Roman"/>
          <w:lang w:val="en-GB"/>
        </w:rPr>
        <w:t xml:space="preserve"> suddenly increased</w:t>
      </w:r>
      <w:r w:rsidR="007612FE">
        <w:rPr>
          <w:rFonts w:ascii="Times New Roman" w:hAnsi="Times New Roman" w:cs="Times New Roman"/>
          <w:lang w:val="en-GB"/>
        </w:rPr>
        <w:t xml:space="preserve"> </w:t>
      </w:r>
      <w:r w:rsidR="008C0F9E">
        <w:rPr>
          <w:rFonts w:ascii="Times New Roman" w:hAnsi="Times New Roman" w:cs="Times New Roman"/>
          <w:lang w:val="en-GB"/>
        </w:rPr>
        <w:t>which coincided with the COVID-19 outbreak.</w:t>
      </w:r>
      <w:r w:rsidR="007612FE">
        <w:rPr>
          <w:rFonts w:ascii="Times New Roman" w:hAnsi="Times New Roman" w:cs="Times New Roman"/>
          <w:lang w:val="en-GB"/>
        </w:rPr>
        <w:t xml:space="preserve"> </w:t>
      </w:r>
      <w:r w:rsidR="008C0F9E">
        <w:rPr>
          <w:rFonts w:ascii="Times New Roman" w:hAnsi="Times New Roman" w:cs="Times New Roman"/>
          <w:lang w:val="en-GB"/>
        </w:rPr>
        <w:t xml:space="preserve">It is worth noting though, that these changes were relatively subtle and this is only one of possible measures of income inequalities on only one territorial level. Nonetheless, it might indicate that </w:t>
      </w:r>
      <w:r w:rsidR="007612FE">
        <w:rPr>
          <w:rFonts w:ascii="Times New Roman" w:hAnsi="Times New Roman" w:cs="Times New Roman"/>
          <w:lang w:val="en-GB"/>
        </w:rPr>
        <w:t xml:space="preserve">the pandemic was associated with a deepening of income inequalities. </w:t>
      </w:r>
    </w:p>
    <w:p w14:paraId="7F33E539" w14:textId="4F1517FB" w:rsidR="00F47060" w:rsidRDefault="00F47060" w:rsidP="00F47060">
      <w:pPr>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59264" behindDoc="0" locked="0" layoutInCell="1" allowOverlap="1" wp14:anchorId="5246059C" wp14:editId="2F11D0FA">
            <wp:simplePos x="0" y="0"/>
            <wp:positionH relativeFrom="column">
              <wp:posOffset>-635</wp:posOffset>
            </wp:positionH>
            <wp:positionV relativeFrom="paragraph">
              <wp:posOffset>3175</wp:posOffset>
            </wp:positionV>
            <wp:extent cx="3092450" cy="2370878"/>
            <wp:effectExtent l="0" t="0" r="0" b="0"/>
            <wp:wrapSquare wrapText="bothSides"/>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2450" cy="2370878"/>
                    </a:xfrm>
                    <a:prstGeom prst="rect">
                      <a:avLst/>
                    </a:prstGeom>
                    <a:noFill/>
                  </pic:spPr>
                </pic:pic>
              </a:graphicData>
            </a:graphic>
          </wp:anchor>
        </w:drawing>
      </w:r>
    </w:p>
    <w:p w14:paraId="3224AB61" w14:textId="38C740FE" w:rsidR="00156559" w:rsidRDefault="00F47060" w:rsidP="001B43FA">
      <w:pPr>
        <w:rPr>
          <w:rFonts w:ascii="Times New Roman" w:hAnsi="Times New Roman" w:cs="Times New Roman"/>
          <w:lang w:val="en-GB"/>
        </w:rPr>
      </w:pPr>
      <w:r>
        <w:rPr>
          <w:rFonts w:ascii="Times New Roman" w:hAnsi="Times New Roman" w:cs="Times New Roman"/>
          <w:lang w:val="en-GB"/>
        </w:rPr>
        <w:t>Fig 4. Lorenz curve of regional income distribution within the EU for 2019 and 2021</w:t>
      </w:r>
    </w:p>
    <w:p w14:paraId="6408A350" w14:textId="76B4E733" w:rsidR="00932090" w:rsidRDefault="00FD5BD2" w:rsidP="001B43FA">
      <w:pPr>
        <w:rPr>
          <w:rFonts w:ascii="Times New Roman" w:hAnsi="Times New Roman" w:cs="Times New Roman"/>
          <w:lang w:val="en-GB"/>
        </w:rPr>
      </w:pPr>
      <w:r>
        <w:rPr>
          <w:noProof/>
        </w:rPr>
        <w:lastRenderedPageBreak/>
        <w:drawing>
          <wp:inline distT="0" distB="0" distL="0" distR="0" wp14:anchorId="089C0B3D" wp14:editId="0F758279">
            <wp:extent cx="5831840" cy="1916430"/>
            <wp:effectExtent l="0" t="0" r="0" b="7620"/>
            <wp:docPr id="14" name="Obrázok 14" descr="Hľadať v postrannom pan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ľadať v postrannom panel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1840" cy="1916430"/>
                    </a:xfrm>
                    <a:prstGeom prst="rect">
                      <a:avLst/>
                    </a:prstGeom>
                    <a:noFill/>
                    <a:ln>
                      <a:noFill/>
                    </a:ln>
                  </pic:spPr>
                </pic:pic>
              </a:graphicData>
            </a:graphic>
          </wp:inline>
        </w:drawing>
      </w:r>
    </w:p>
    <w:p w14:paraId="5F01D831" w14:textId="1A6ACDFB" w:rsidR="009419B1" w:rsidRDefault="009419B1" w:rsidP="001B43FA">
      <w:pPr>
        <w:rPr>
          <w:rFonts w:ascii="Times New Roman" w:hAnsi="Times New Roman" w:cs="Times New Roman"/>
          <w:lang w:val="en-GB"/>
        </w:rPr>
      </w:pPr>
      <w:r>
        <w:rPr>
          <w:rFonts w:ascii="Times New Roman" w:hAnsi="Times New Roman" w:cs="Times New Roman"/>
          <w:lang w:val="en-GB"/>
        </w:rPr>
        <w:t xml:space="preserve">Fig </w:t>
      </w:r>
      <w:r w:rsidR="00F47060">
        <w:rPr>
          <w:rFonts w:ascii="Times New Roman" w:hAnsi="Times New Roman" w:cs="Times New Roman"/>
          <w:lang w:val="en-GB"/>
        </w:rPr>
        <w:t>5</w:t>
      </w:r>
      <w:r>
        <w:rPr>
          <w:rFonts w:ascii="Times New Roman" w:hAnsi="Times New Roman" w:cs="Times New Roman"/>
          <w:lang w:val="en-GB"/>
        </w:rPr>
        <w:t>. The evolution of the Gini coefficient of regional income inequality within the EU (2010 – 2021).</w:t>
      </w:r>
    </w:p>
    <w:p w14:paraId="750B21E4" w14:textId="16ECE85E" w:rsidR="005077AF" w:rsidRPr="0077590E" w:rsidRDefault="005077AF" w:rsidP="001B43FA">
      <w:pPr>
        <w:rPr>
          <w:rFonts w:ascii="Times New Roman" w:hAnsi="Times New Roman" w:cs="Times New Roman"/>
          <w:lang w:val="en-GB"/>
        </w:rPr>
      </w:pPr>
    </w:p>
    <w:p w14:paraId="0A22D1ED" w14:textId="0E995156" w:rsidR="00156559" w:rsidRPr="00135033" w:rsidRDefault="00156559" w:rsidP="001B43FA">
      <w:pPr>
        <w:rPr>
          <w:rFonts w:ascii="Times New Roman" w:hAnsi="Times New Roman" w:cs="Times New Roman"/>
          <w:b/>
          <w:bCs/>
          <w:lang w:val="en-GB"/>
        </w:rPr>
      </w:pPr>
      <w:r w:rsidRPr="00135033">
        <w:rPr>
          <w:rFonts w:ascii="Times New Roman" w:hAnsi="Times New Roman" w:cs="Times New Roman"/>
          <w:b/>
          <w:bCs/>
          <w:lang w:val="en-GB"/>
        </w:rPr>
        <w:t>4 Discussion</w:t>
      </w:r>
    </w:p>
    <w:p w14:paraId="3406DEB7" w14:textId="4C52AFD7" w:rsidR="00135033" w:rsidRDefault="00135033" w:rsidP="00135033">
      <w:pPr>
        <w:jc w:val="both"/>
        <w:rPr>
          <w:rFonts w:ascii="Times New Roman" w:hAnsi="Times New Roman" w:cs="Times New Roman"/>
          <w:lang w:val="en-GB"/>
        </w:rPr>
      </w:pPr>
      <w:r>
        <w:rPr>
          <w:rFonts w:ascii="Times New Roman" w:hAnsi="Times New Roman" w:cs="Times New Roman"/>
          <w:lang w:val="en-GB"/>
        </w:rPr>
        <w:t>The recent pandemic and its associated lockdowns resulted in a substantial disruption of supply side of the economy, as well as in contraction of the aggregate demand though the fall of disposable incomes (</w:t>
      </w:r>
      <w:proofErr w:type="spellStart"/>
      <w:r w:rsidRPr="0077590E">
        <w:rPr>
          <w:rFonts w:ascii="Times New Roman" w:hAnsi="Times New Roman" w:cs="Times New Roman"/>
          <w:lang w:val="en-GB"/>
        </w:rPr>
        <w:t>Murshed</w:t>
      </w:r>
      <w:proofErr w:type="spellEnd"/>
      <w:r w:rsidRPr="0077590E">
        <w:rPr>
          <w:rFonts w:ascii="Times New Roman" w:hAnsi="Times New Roman" w:cs="Times New Roman"/>
          <w:lang w:val="en-GB"/>
        </w:rPr>
        <w:t>, 2022</w:t>
      </w:r>
      <w:r>
        <w:rPr>
          <w:rFonts w:ascii="Times New Roman" w:hAnsi="Times New Roman" w:cs="Times New Roman"/>
          <w:lang w:val="en-GB"/>
        </w:rPr>
        <w:t xml:space="preserve">). Theoretically, the contraction of demand of services disproportionally affects the less educated and lower-income employees rather than higher income knowledge workers who can work remotely. </w:t>
      </w:r>
      <w:r w:rsidR="00221AAE">
        <w:rPr>
          <w:rFonts w:ascii="Times New Roman" w:hAnsi="Times New Roman" w:cs="Times New Roman"/>
          <w:lang w:val="en-GB"/>
        </w:rPr>
        <w:t xml:space="preserve">Indeed, </w:t>
      </w:r>
      <w:r w:rsidR="00117A34">
        <w:rPr>
          <w:rFonts w:ascii="Times New Roman" w:hAnsi="Times New Roman" w:cs="Times New Roman"/>
          <w:lang w:val="en-GB"/>
        </w:rPr>
        <w:t>a large body of</w:t>
      </w:r>
      <w:r w:rsidR="00221AAE">
        <w:rPr>
          <w:rFonts w:ascii="Times New Roman" w:hAnsi="Times New Roman" w:cs="Times New Roman"/>
          <w:lang w:val="en-GB"/>
        </w:rPr>
        <w:t xml:space="preserve"> evidence </w:t>
      </w:r>
      <w:r w:rsidR="00117A34">
        <w:rPr>
          <w:rFonts w:ascii="Times New Roman" w:hAnsi="Times New Roman" w:cs="Times New Roman"/>
          <w:lang w:val="en-GB"/>
        </w:rPr>
        <w:t>from previous pandemics (e. g.</w:t>
      </w:r>
      <w:r w:rsidR="00117A34" w:rsidRPr="00117A34">
        <w:rPr>
          <w:rFonts w:ascii="Times New Roman" w:hAnsi="Times New Roman" w:cs="Times New Roman"/>
          <w:lang w:val="en-GB"/>
        </w:rPr>
        <w:t xml:space="preserve"> </w:t>
      </w:r>
      <w:proofErr w:type="spellStart"/>
      <w:r w:rsidR="00117A34">
        <w:rPr>
          <w:rFonts w:ascii="Times New Roman" w:hAnsi="Times New Roman" w:cs="Times New Roman"/>
          <w:lang w:val="en-GB"/>
        </w:rPr>
        <w:t>Furceri</w:t>
      </w:r>
      <w:proofErr w:type="spellEnd"/>
      <w:r w:rsidR="00117A34">
        <w:rPr>
          <w:rFonts w:ascii="Times New Roman" w:hAnsi="Times New Roman" w:cs="Times New Roman"/>
          <w:lang w:val="en-GB"/>
        </w:rPr>
        <w:t>, et al. 2022</w:t>
      </w:r>
      <w:r w:rsidR="00117A34">
        <w:rPr>
          <w:rFonts w:ascii="Times New Roman" w:hAnsi="Times New Roman" w:cs="Times New Roman"/>
          <w:lang w:val="en-GB"/>
        </w:rPr>
        <w:t xml:space="preserve">) indicates that pandemics tend to have negative distributional consequences. </w:t>
      </w:r>
      <w:r w:rsidR="00543B7D">
        <w:rPr>
          <w:rFonts w:ascii="Times New Roman" w:hAnsi="Times New Roman" w:cs="Times New Roman"/>
          <w:lang w:val="en-GB"/>
        </w:rPr>
        <w:t>T</w:t>
      </w:r>
      <w:r w:rsidR="004C6181">
        <w:rPr>
          <w:rFonts w:ascii="Times New Roman" w:hAnsi="Times New Roman" w:cs="Times New Roman"/>
          <w:lang w:val="en-GB"/>
        </w:rPr>
        <w:t xml:space="preserve">he response of income inequality to pandemics also depends on </w:t>
      </w:r>
      <w:r w:rsidR="00543B7D">
        <w:rPr>
          <w:rFonts w:ascii="Times New Roman" w:hAnsi="Times New Roman" w:cs="Times New Roman"/>
          <w:lang w:val="en-GB"/>
        </w:rPr>
        <w:t>several</w:t>
      </w:r>
      <w:r w:rsidR="004C6181">
        <w:rPr>
          <w:rFonts w:ascii="Times New Roman" w:hAnsi="Times New Roman" w:cs="Times New Roman"/>
          <w:lang w:val="en-GB"/>
        </w:rPr>
        <w:t xml:space="preserve"> factors including fiscal policy which</w:t>
      </w:r>
      <w:r w:rsidR="00543B7D">
        <w:rPr>
          <w:rFonts w:ascii="Times New Roman" w:hAnsi="Times New Roman" w:cs="Times New Roman"/>
          <w:lang w:val="en-GB"/>
        </w:rPr>
        <w:t xml:space="preserve"> affected countries, industries, and different segments of society to different degrees (</w:t>
      </w:r>
      <w:proofErr w:type="spellStart"/>
      <w:r w:rsidR="00543B7D" w:rsidRPr="00543B7D">
        <w:rPr>
          <w:rFonts w:ascii="Times New Roman" w:hAnsi="Times New Roman" w:cs="Times New Roman"/>
          <w:lang w:val="en-GB"/>
        </w:rPr>
        <w:t>Dauderstädt</w:t>
      </w:r>
      <w:proofErr w:type="spellEnd"/>
      <w:r w:rsidR="00543B7D">
        <w:rPr>
          <w:rFonts w:ascii="Times New Roman" w:hAnsi="Times New Roman" w:cs="Times New Roman"/>
          <w:lang w:val="en-GB"/>
        </w:rPr>
        <w:t>, 2022</w:t>
      </w:r>
      <w:r w:rsidR="00543B7D">
        <w:rPr>
          <w:rFonts w:ascii="Times New Roman" w:hAnsi="Times New Roman" w:cs="Times New Roman"/>
          <w:lang w:val="en-GB"/>
        </w:rPr>
        <w:t>)</w:t>
      </w:r>
      <w:r w:rsidR="004C6181">
        <w:rPr>
          <w:rFonts w:ascii="Times New Roman" w:hAnsi="Times New Roman" w:cs="Times New Roman"/>
          <w:lang w:val="en-GB"/>
        </w:rPr>
        <w:t xml:space="preserve">. </w:t>
      </w:r>
      <w:r w:rsidR="00983B13">
        <w:rPr>
          <w:rFonts w:ascii="Times New Roman" w:hAnsi="Times New Roman" w:cs="Times New Roman"/>
          <w:lang w:val="en-GB"/>
        </w:rPr>
        <w:t>S</w:t>
      </w:r>
      <w:r w:rsidR="00543B7D">
        <w:rPr>
          <w:rFonts w:ascii="Times New Roman" w:hAnsi="Times New Roman" w:cs="Times New Roman"/>
          <w:lang w:val="en-GB"/>
        </w:rPr>
        <w:t>ectoral bias led to differential economic contractions across countries</w:t>
      </w:r>
      <w:r w:rsidR="007219A0">
        <w:rPr>
          <w:rFonts w:ascii="Times New Roman" w:hAnsi="Times New Roman" w:cs="Times New Roman"/>
          <w:lang w:val="en-GB"/>
        </w:rPr>
        <w:t xml:space="preserve"> which also had substantial effect on interregional income distribution</w:t>
      </w:r>
      <w:r w:rsidR="00543B7D">
        <w:rPr>
          <w:rFonts w:ascii="Times New Roman" w:hAnsi="Times New Roman" w:cs="Times New Roman"/>
          <w:lang w:val="en-GB"/>
        </w:rPr>
        <w:t xml:space="preserve"> (</w:t>
      </w:r>
      <w:proofErr w:type="spellStart"/>
      <w:r w:rsidR="00543B7D" w:rsidRPr="00543B7D">
        <w:rPr>
          <w:rFonts w:ascii="Times New Roman" w:hAnsi="Times New Roman" w:cs="Times New Roman"/>
          <w:lang w:val="en-GB"/>
        </w:rPr>
        <w:t>Dauderstädt</w:t>
      </w:r>
      <w:proofErr w:type="spellEnd"/>
      <w:r w:rsidR="00543B7D">
        <w:rPr>
          <w:rFonts w:ascii="Times New Roman" w:hAnsi="Times New Roman" w:cs="Times New Roman"/>
          <w:lang w:val="en-GB"/>
        </w:rPr>
        <w:t>, 2022</w:t>
      </w:r>
      <w:r w:rsidR="00543B7D">
        <w:rPr>
          <w:rFonts w:ascii="Times New Roman" w:hAnsi="Times New Roman" w:cs="Times New Roman"/>
          <w:lang w:val="en-GB"/>
        </w:rPr>
        <w:t xml:space="preserve">). </w:t>
      </w:r>
      <w:r w:rsidR="00244896">
        <w:rPr>
          <w:rFonts w:ascii="Times New Roman" w:hAnsi="Times New Roman" w:cs="Times New Roman"/>
          <w:lang w:val="en-GB"/>
        </w:rPr>
        <w:t>A good example is</w:t>
      </w:r>
      <w:r w:rsidR="008C0F9E">
        <w:rPr>
          <w:rFonts w:ascii="Times New Roman" w:hAnsi="Times New Roman" w:cs="Times New Roman"/>
          <w:lang w:val="en-GB"/>
        </w:rPr>
        <w:t xml:space="preserve"> Southern Europe heavily reliant on tourism </w:t>
      </w:r>
      <w:r w:rsidR="00244896">
        <w:rPr>
          <w:rFonts w:ascii="Times New Roman" w:hAnsi="Times New Roman" w:cs="Times New Roman"/>
          <w:lang w:val="en-GB"/>
        </w:rPr>
        <w:t xml:space="preserve">which experienced a particularly severe economic contraction as the result of the pandemic (see Fig.3). Although the theoretical argument is unambiguous, the </w:t>
      </w:r>
      <w:r w:rsidR="00983B13">
        <w:rPr>
          <w:rFonts w:ascii="Times New Roman" w:hAnsi="Times New Roman" w:cs="Times New Roman"/>
          <w:lang w:val="en-GB"/>
        </w:rPr>
        <w:t>actual impacts of the pandemic on income distribution represent a much more nuanced and multifaceted issue.</w:t>
      </w:r>
    </w:p>
    <w:p w14:paraId="594F2821" w14:textId="771B790C" w:rsidR="006A4331" w:rsidRDefault="00983B13" w:rsidP="00135033">
      <w:pPr>
        <w:jc w:val="both"/>
        <w:rPr>
          <w:rFonts w:ascii="Times New Roman" w:hAnsi="Times New Roman" w:cs="Times New Roman"/>
          <w:lang w:val="en-GB"/>
        </w:rPr>
      </w:pPr>
      <w:r>
        <w:rPr>
          <w:rFonts w:ascii="Times New Roman" w:hAnsi="Times New Roman" w:cs="Times New Roman"/>
          <w:lang w:val="en-GB"/>
        </w:rPr>
        <w:t xml:space="preserve">First, we consider the dynamics of short run consequences of the COVID-19 outbreak. </w:t>
      </w:r>
      <w:r w:rsidR="00867761">
        <w:rPr>
          <w:rFonts w:ascii="Times New Roman" w:hAnsi="Times New Roman" w:cs="Times New Roman"/>
          <w:lang w:val="en-GB"/>
        </w:rPr>
        <w:t xml:space="preserve">There is a wealth of literature </w:t>
      </w:r>
      <w:r w:rsidR="006A4331">
        <w:rPr>
          <w:rFonts w:ascii="Times New Roman" w:hAnsi="Times New Roman" w:cs="Times New Roman"/>
          <w:lang w:val="en-GB"/>
        </w:rPr>
        <w:t xml:space="preserve">Deaton (2021) has shown that the economic contractions associated with the pandemic more adversely affected the developed economies resulting in a decrease in unweighted international inequality but an increase in population weighted inequality.  </w:t>
      </w:r>
    </w:p>
    <w:p w14:paraId="0D926B54" w14:textId="65CE6AA1" w:rsidR="00117A34" w:rsidRDefault="00117A34" w:rsidP="00117A34">
      <w:pPr>
        <w:jc w:val="both"/>
        <w:rPr>
          <w:rFonts w:ascii="Times New Roman" w:hAnsi="Times New Roman" w:cs="Times New Roman"/>
          <w:lang w:val="en-GB"/>
        </w:rPr>
      </w:pPr>
      <w:r>
        <w:rPr>
          <w:rFonts w:ascii="Times New Roman" w:hAnsi="Times New Roman" w:cs="Times New Roman"/>
          <w:lang w:val="en-GB"/>
        </w:rPr>
        <w:t xml:space="preserve">The changing trends in regional income inequalities over recent years potentially associated with the COVID-19 pandemic be considered in broader context of the evolution </w:t>
      </w:r>
      <w:r>
        <w:rPr>
          <w:rFonts w:ascii="Times New Roman" w:hAnsi="Times New Roman" w:cs="Times New Roman"/>
          <w:lang w:val="en-GB"/>
        </w:rPr>
        <w:t xml:space="preserve">of </w:t>
      </w:r>
      <w:r>
        <w:rPr>
          <w:rFonts w:ascii="Times New Roman" w:hAnsi="Times New Roman" w:cs="Times New Roman"/>
          <w:lang w:val="en-GB"/>
        </w:rPr>
        <w:t>regional income di</w:t>
      </w:r>
      <w:r w:rsidR="00D11D38">
        <w:rPr>
          <w:rFonts w:ascii="Times New Roman" w:hAnsi="Times New Roman" w:cs="Times New Roman"/>
          <w:lang w:val="en-GB"/>
        </w:rPr>
        <w:t>sparities</w:t>
      </w:r>
      <w:r>
        <w:rPr>
          <w:rFonts w:ascii="Times New Roman" w:hAnsi="Times New Roman" w:cs="Times New Roman"/>
          <w:lang w:val="en-GB"/>
        </w:rPr>
        <w:t xml:space="preserve">. </w:t>
      </w:r>
      <w:r w:rsidR="00867761">
        <w:rPr>
          <w:rFonts w:ascii="Times New Roman" w:hAnsi="Times New Roman" w:cs="Times New Roman"/>
          <w:lang w:val="en-GB"/>
        </w:rPr>
        <w:t xml:space="preserve">There remain ongoing debates in economic growth literature whether regional incomes tend to converge or on the contrary, diverge over time. </w:t>
      </w:r>
      <w:r w:rsidR="00D11D38">
        <w:rPr>
          <w:rFonts w:ascii="Times New Roman" w:hAnsi="Times New Roman" w:cs="Times New Roman"/>
          <w:lang w:val="en-GB"/>
        </w:rPr>
        <w:t xml:space="preserve">Neoclassical economics suggest that regional disparities are unlikely to be persistent </w:t>
      </w:r>
      <w:r w:rsidR="00D11D38">
        <w:rPr>
          <w:rFonts w:ascii="Times New Roman" w:hAnsi="Times New Roman" w:cs="Times New Roman"/>
          <w:lang w:val="en-GB"/>
        </w:rPr>
        <w:t>if there are no substantial barriers to the operation of market forces</w:t>
      </w:r>
      <w:r w:rsidR="00D11D38">
        <w:rPr>
          <w:rFonts w:ascii="Times New Roman" w:hAnsi="Times New Roman" w:cs="Times New Roman"/>
          <w:lang w:val="en-GB"/>
        </w:rPr>
        <w:t xml:space="preserve"> and regions are reasonably similar (</w:t>
      </w:r>
      <w:r w:rsidR="00D11D38">
        <w:rPr>
          <w:rFonts w:ascii="Times New Roman" w:hAnsi="Times New Roman" w:cs="Times New Roman"/>
          <w:lang w:val="en-GB"/>
        </w:rPr>
        <w:t xml:space="preserve">Martin, and </w:t>
      </w:r>
      <w:proofErr w:type="spellStart"/>
      <w:r w:rsidR="00D11D38">
        <w:rPr>
          <w:rFonts w:ascii="Times New Roman" w:hAnsi="Times New Roman" w:cs="Times New Roman"/>
          <w:lang w:val="en-GB"/>
        </w:rPr>
        <w:t>Sunley</w:t>
      </w:r>
      <w:proofErr w:type="spellEnd"/>
      <w:r w:rsidR="00D11D38">
        <w:rPr>
          <w:rFonts w:ascii="Times New Roman" w:hAnsi="Times New Roman" w:cs="Times New Roman"/>
          <w:lang w:val="en-GB"/>
        </w:rPr>
        <w:t>, 2015</w:t>
      </w:r>
      <w:r w:rsidR="00D11D38">
        <w:rPr>
          <w:rFonts w:ascii="Times New Roman" w:hAnsi="Times New Roman" w:cs="Times New Roman"/>
          <w:lang w:val="en-GB"/>
        </w:rPr>
        <w:t xml:space="preserve">). On the other hand, </w:t>
      </w:r>
      <w:r w:rsidR="004D281D">
        <w:rPr>
          <w:rFonts w:ascii="Times New Roman" w:hAnsi="Times New Roman" w:cs="Times New Roman"/>
          <w:lang w:val="en-GB"/>
        </w:rPr>
        <w:t xml:space="preserve">New Growth Theories emphasise the process of </w:t>
      </w:r>
      <w:r w:rsidR="004D281D">
        <w:rPr>
          <w:rFonts w:ascii="Times New Roman" w:hAnsi="Times New Roman" w:cs="Times New Roman"/>
          <w:lang w:val="en-GB"/>
        </w:rPr>
        <w:t xml:space="preserve">concentration of economic activity </w:t>
      </w:r>
      <w:r w:rsidR="004D281D">
        <w:rPr>
          <w:rFonts w:ascii="Times New Roman" w:hAnsi="Times New Roman" w:cs="Times New Roman"/>
          <w:lang w:val="en-GB"/>
        </w:rPr>
        <w:t>through agglomeration</w:t>
      </w:r>
      <w:r w:rsidR="003600A6">
        <w:rPr>
          <w:rFonts w:ascii="Times New Roman" w:hAnsi="Times New Roman" w:cs="Times New Roman"/>
          <w:lang w:val="en-GB"/>
        </w:rPr>
        <w:t xml:space="preserve">, </w:t>
      </w:r>
      <w:r w:rsidR="004D281D">
        <w:rPr>
          <w:rFonts w:ascii="Times New Roman" w:hAnsi="Times New Roman" w:cs="Times New Roman"/>
          <w:lang w:val="en-GB"/>
        </w:rPr>
        <w:t>scale economies</w:t>
      </w:r>
      <w:r w:rsidR="003600A6">
        <w:rPr>
          <w:rFonts w:ascii="Times New Roman" w:hAnsi="Times New Roman" w:cs="Times New Roman"/>
          <w:lang w:val="en-GB"/>
        </w:rPr>
        <w:t xml:space="preserve"> and knowledge spill overs</w:t>
      </w:r>
      <w:r w:rsidR="004D281D">
        <w:rPr>
          <w:rFonts w:ascii="Times New Roman" w:hAnsi="Times New Roman" w:cs="Times New Roman"/>
          <w:lang w:val="en-GB"/>
        </w:rPr>
        <w:t xml:space="preserve"> leading to deepening disparities</w:t>
      </w:r>
      <w:r w:rsidR="003600A6">
        <w:rPr>
          <w:rFonts w:ascii="Times New Roman" w:hAnsi="Times New Roman" w:cs="Times New Roman"/>
          <w:lang w:val="en-GB"/>
        </w:rPr>
        <w:t xml:space="preserve"> (</w:t>
      </w:r>
      <w:r w:rsidR="003600A6">
        <w:rPr>
          <w:rFonts w:ascii="Times New Roman" w:hAnsi="Times New Roman" w:cs="Times New Roman"/>
          <w:lang w:val="en-GB"/>
        </w:rPr>
        <w:t>Barrios, and Strobl, 2009</w:t>
      </w:r>
      <w:r w:rsidR="003600A6">
        <w:rPr>
          <w:rFonts w:ascii="Times New Roman" w:hAnsi="Times New Roman" w:cs="Times New Roman"/>
          <w:lang w:val="en-GB"/>
        </w:rPr>
        <w:t>)</w:t>
      </w:r>
      <w:r w:rsidR="004D281D">
        <w:rPr>
          <w:rFonts w:ascii="Times New Roman" w:hAnsi="Times New Roman" w:cs="Times New Roman"/>
          <w:lang w:val="en-GB"/>
        </w:rPr>
        <w:t>.</w:t>
      </w:r>
      <w:r w:rsidR="00F114BC">
        <w:rPr>
          <w:rFonts w:ascii="Times New Roman" w:hAnsi="Times New Roman" w:cs="Times New Roman"/>
          <w:lang w:val="en-GB"/>
        </w:rPr>
        <w:t xml:space="preserve"> But ultimately, this is an empirical question</w:t>
      </w:r>
      <w:r w:rsidR="006B6354">
        <w:rPr>
          <w:rFonts w:ascii="Times New Roman" w:hAnsi="Times New Roman" w:cs="Times New Roman"/>
          <w:lang w:val="en-GB"/>
        </w:rPr>
        <w:t xml:space="preserve"> and evidence suggest that technological change and globalisation </w:t>
      </w:r>
      <w:r w:rsidR="00977ADC">
        <w:rPr>
          <w:rFonts w:ascii="Times New Roman" w:hAnsi="Times New Roman" w:cs="Times New Roman"/>
          <w:lang w:val="en-GB"/>
        </w:rPr>
        <w:t xml:space="preserve">the agglomeration forces prevailed </w:t>
      </w:r>
      <w:r w:rsidR="006B6354">
        <w:rPr>
          <w:rFonts w:ascii="Times New Roman" w:hAnsi="Times New Roman" w:cs="Times New Roman"/>
          <w:lang w:val="en-GB"/>
        </w:rPr>
        <w:t>over the past couple of decades (</w:t>
      </w:r>
      <w:proofErr w:type="spellStart"/>
      <w:r w:rsidR="006B6354" w:rsidRPr="004D281D">
        <w:rPr>
          <w:rFonts w:ascii="Times New Roman" w:hAnsi="Times New Roman" w:cs="Times New Roman"/>
          <w:lang w:val="en-GB"/>
        </w:rPr>
        <w:t>Iammarino</w:t>
      </w:r>
      <w:proofErr w:type="spellEnd"/>
      <w:r w:rsidR="006B6354" w:rsidRPr="004D281D">
        <w:rPr>
          <w:rFonts w:ascii="Times New Roman" w:hAnsi="Times New Roman" w:cs="Times New Roman"/>
          <w:lang w:val="en-GB"/>
        </w:rPr>
        <w:t xml:space="preserve">, </w:t>
      </w:r>
      <w:r w:rsidR="006B6354">
        <w:rPr>
          <w:rFonts w:ascii="Times New Roman" w:hAnsi="Times New Roman" w:cs="Times New Roman"/>
          <w:lang w:val="en-GB"/>
        </w:rPr>
        <w:t xml:space="preserve">et al. </w:t>
      </w:r>
      <w:r w:rsidR="006B6354">
        <w:rPr>
          <w:rFonts w:ascii="Times New Roman" w:hAnsi="Times New Roman" w:cs="Times New Roman"/>
          <w:lang w:val="en-GB"/>
        </w:rPr>
        <w:t>2019</w:t>
      </w:r>
      <w:r w:rsidR="006B6354">
        <w:rPr>
          <w:rFonts w:ascii="Times New Roman" w:hAnsi="Times New Roman" w:cs="Times New Roman"/>
          <w:lang w:val="en-GB"/>
        </w:rPr>
        <w:t>)</w:t>
      </w:r>
      <w:r w:rsidR="00977ADC">
        <w:rPr>
          <w:rFonts w:ascii="Times New Roman" w:hAnsi="Times New Roman" w:cs="Times New Roman"/>
          <w:lang w:val="en-GB"/>
        </w:rPr>
        <w:t xml:space="preserve">. The question becomes </w:t>
      </w:r>
      <w:proofErr w:type="gramStart"/>
      <w:r w:rsidR="00977ADC">
        <w:rPr>
          <w:rFonts w:ascii="Times New Roman" w:hAnsi="Times New Roman" w:cs="Times New Roman"/>
          <w:lang w:val="en-GB"/>
        </w:rPr>
        <w:t>what</w:t>
      </w:r>
      <w:proofErr w:type="gramEnd"/>
      <w:r w:rsidR="00977ADC">
        <w:rPr>
          <w:rFonts w:ascii="Times New Roman" w:hAnsi="Times New Roman" w:cs="Times New Roman"/>
          <w:lang w:val="en-GB"/>
        </w:rPr>
        <w:t xml:space="preserve"> </w:t>
      </w:r>
    </w:p>
    <w:p w14:paraId="2AD2084A" w14:textId="0E0755CF" w:rsidR="00156559" w:rsidRPr="0077590E" w:rsidRDefault="00221AAE" w:rsidP="00117A34">
      <w:pPr>
        <w:jc w:val="both"/>
        <w:rPr>
          <w:rFonts w:ascii="Times New Roman" w:hAnsi="Times New Roman" w:cs="Times New Roman"/>
          <w:lang w:val="en-GB"/>
        </w:rPr>
      </w:pPr>
      <w:r>
        <w:rPr>
          <w:rFonts w:ascii="Times New Roman" w:hAnsi="Times New Roman" w:cs="Times New Roman"/>
          <w:lang w:val="en-GB"/>
        </w:rPr>
        <w:t xml:space="preserve">Importantly, as noted above, there is no one single measure of inequality which could capture all nuances of income distribution. </w:t>
      </w:r>
      <w:r w:rsidR="00117A34">
        <w:rPr>
          <w:rFonts w:ascii="Times New Roman" w:hAnsi="Times New Roman" w:cs="Times New Roman"/>
          <w:lang w:val="en-GB"/>
        </w:rPr>
        <w:t xml:space="preserve">We do not attempt to establish a causal relationship </w:t>
      </w:r>
      <w:proofErr w:type="gramStart"/>
      <w:r w:rsidR="00117A34">
        <w:rPr>
          <w:rFonts w:ascii="Times New Roman" w:hAnsi="Times New Roman" w:cs="Times New Roman"/>
          <w:lang w:val="en-GB"/>
        </w:rPr>
        <w:t>here</w:t>
      </w:r>
      <w:proofErr w:type="gramEnd"/>
    </w:p>
    <w:p w14:paraId="2D58E87A" w14:textId="77777777" w:rsidR="00221AAE" w:rsidRDefault="00221AAE" w:rsidP="001B43FA">
      <w:pPr>
        <w:rPr>
          <w:rFonts w:ascii="Times New Roman" w:hAnsi="Times New Roman" w:cs="Times New Roman"/>
          <w:lang w:val="en-GB"/>
        </w:rPr>
      </w:pPr>
    </w:p>
    <w:p w14:paraId="26878BAD" w14:textId="45C18D5C" w:rsidR="00156559" w:rsidRPr="00983B13" w:rsidRDefault="00156559" w:rsidP="001B43FA">
      <w:pPr>
        <w:rPr>
          <w:rFonts w:ascii="Times New Roman" w:hAnsi="Times New Roman" w:cs="Times New Roman"/>
          <w:b/>
          <w:bCs/>
          <w:lang w:val="en-GB"/>
        </w:rPr>
      </w:pPr>
      <w:r w:rsidRPr="00983B13">
        <w:rPr>
          <w:rFonts w:ascii="Times New Roman" w:hAnsi="Times New Roman" w:cs="Times New Roman"/>
          <w:b/>
          <w:bCs/>
          <w:lang w:val="en-GB"/>
        </w:rPr>
        <w:t>5 Conclusions</w:t>
      </w:r>
    </w:p>
    <w:p w14:paraId="01B45962" w14:textId="6DA16175" w:rsidR="00156559" w:rsidRDefault="00221AAE" w:rsidP="001B43FA">
      <w:pPr>
        <w:rPr>
          <w:rFonts w:ascii="Times New Roman" w:hAnsi="Times New Roman" w:cs="Times New Roman"/>
          <w:lang w:val="en-GB"/>
        </w:rPr>
      </w:pPr>
      <w:r w:rsidRPr="00221AAE">
        <w:rPr>
          <w:rFonts w:ascii="Times New Roman" w:hAnsi="Times New Roman" w:cs="Times New Roman"/>
          <w:lang w:val="en-GB"/>
        </w:rPr>
        <w:lastRenderedPageBreak/>
        <w:t>Our focus is on regional inequality within the EU, in other words, the dispersion of income per inhabitant between regions taking each region as one unit.</w:t>
      </w:r>
    </w:p>
    <w:p w14:paraId="6324BB24" w14:textId="77777777" w:rsidR="00221AAE" w:rsidRPr="0077590E" w:rsidRDefault="00221AAE" w:rsidP="001B43FA">
      <w:pPr>
        <w:rPr>
          <w:rFonts w:ascii="Times New Roman" w:hAnsi="Times New Roman" w:cs="Times New Roman"/>
          <w:lang w:val="en-GB"/>
        </w:rPr>
      </w:pPr>
    </w:p>
    <w:p w14:paraId="68A1C1D3" w14:textId="53BF12FF" w:rsidR="00156559" w:rsidRPr="0077590E" w:rsidRDefault="00156559" w:rsidP="001B43FA">
      <w:pPr>
        <w:rPr>
          <w:rFonts w:ascii="Times New Roman" w:hAnsi="Times New Roman" w:cs="Times New Roman"/>
          <w:b/>
          <w:bCs/>
          <w:lang w:val="en-GB"/>
        </w:rPr>
      </w:pPr>
      <w:r w:rsidRPr="0077590E">
        <w:rPr>
          <w:rFonts w:ascii="Times New Roman" w:hAnsi="Times New Roman" w:cs="Times New Roman"/>
          <w:b/>
          <w:bCs/>
          <w:lang w:val="en-GB"/>
        </w:rPr>
        <w:t>6 References</w:t>
      </w:r>
    </w:p>
    <w:p w14:paraId="0FF140B0" w14:textId="1AF2E7BA" w:rsidR="004D281D" w:rsidRDefault="004D281D" w:rsidP="004D281D">
      <w:pPr>
        <w:rPr>
          <w:rFonts w:ascii="Times New Roman" w:hAnsi="Times New Roman" w:cs="Times New Roman"/>
          <w:lang w:val="en-GB"/>
        </w:rPr>
      </w:pPr>
      <w:r>
        <w:rPr>
          <w:rFonts w:ascii="Times New Roman" w:hAnsi="Times New Roman" w:cs="Times New Roman"/>
          <w:lang w:val="en-GB"/>
        </w:rPr>
        <w:t xml:space="preserve">Barrios, S. and Strobl, E. 2009. </w:t>
      </w:r>
      <w:r w:rsidRPr="004D281D">
        <w:rPr>
          <w:rFonts w:ascii="Times New Roman" w:hAnsi="Times New Roman" w:cs="Times New Roman"/>
          <w:lang w:val="en-GB"/>
        </w:rPr>
        <w:t>The dynamics of regional inequalities</w:t>
      </w:r>
      <w:r>
        <w:rPr>
          <w:rFonts w:ascii="Times New Roman" w:hAnsi="Times New Roman" w:cs="Times New Roman"/>
          <w:lang w:val="en-GB"/>
        </w:rPr>
        <w:t xml:space="preserve">. </w:t>
      </w:r>
      <w:r w:rsidRPr="004D281D">
        <w:rPr>
          <w:rFonts w:ascii="Times New Roman" w:hAnsi="Times New Roman" w:cs="Times New Roman"/>
          <w:lang w:val="en-GB"/>
        </w:rPr>
        <w:t>Regional Science and Urban Economics</w:t>
      </w:r>
      <w:r>
        <w:rPr>
          <w:rFonts w:ascii="Times New Roman" w:hAnsi="Times New Roman" w:cs="Times New Roman"/>
          <w:lang w:val="en-GB"/>
        </w:rPr>
        <w:t xml:space="preserve">. </w:t>
      </w:r>
      <w:r w:rsidRPr="004D281D">
        <w:rPr>
          <w:rFonts w:ascii="Times New Roman" w:hAnsi="Times New Roman" w:cs="Times New Roman"/>
          <w:lang w:val="en-GB"/>
        </w:rPr>
        <w:t>Volume 39, Issue 5, September 2009, Pages 575-591</w:t>
      </w:r>
      <w:r>
        <w:rPr>
          <w:rFonts w:ascii="Times New Roman" w:hAnsi="Times New Roman" w:cs="Times New Roman"/>
          <w:lang w:val="en-GB"/>
        </w:rPr>
        <w:t xml:space="preserve">. DOI: </w:t>
      </w:r>
      <w:r w:rsidRPr="004D281D">
        <w:rPr>
          <w:rFonts w:ascii="Times New Roman" w:hAnsi="Times New Roman" w:cs="Times New Roman"/>
          <w:lang w:val="en-GB"/>
        </w:rPr>
        <w:t>https://doi.org/10.1016/j.regsciurbeco.2009.03.008</w:t>
      </w:r>
    </w:p>
    <w:p w14:paraId="4184A271" w14:textId="6A8F20FC" w:rsidR="00543B7D" w:rsidRDefault="00543B7D" w:rsidP="00543B7D">
      <w:pPr>
        <w:rPr>
          <w:rFonts w:ascii="Times New Roman" w:hAnsi="Times New Roman" w:cs="Times New Roman"/>
          <w:lang w:val="en-GB"/>
        </w:rPr>
      </w:pPr>
      <w:proofErr w:type="spellStart"/>
      <w:r w:rsidRPr="00543B7D">
        <w:rPr>
          <w:rFonts w:ascii="Times New Roman" w:hAnsi="Times New Roman" w:cs="Times New Roman"/>
          <w:lang w:val="en-GB"/>
        </w:rPr>
        <w:t>Dauderstädt</w:t>
      </w:r>
      <w:proofErr w:type="spellEnd"/>
      <w:r>
        <w:rPr>
          <w:rFonts w:ascii="Times New Roman" w:hAnsi="Times New Roman" w:cs="Times New Roman"/>
          <w:lang w:val="en-GB"/>
        </w:rPr>
        <w:t xml:space="preserve">, M. 2022. </w:t>
      </w:r>
      <w:r w:rsidRPr="00543B7D">
        <w:rPr>
          <w:rFonts w:ascii="Times New Roman" w:hAnsi="Times New Roman" w:cs="Times New Roman"/>
          <w:lang w:val="en-GB"/>
        </w:rPr>
        <w:t>International Inequality and the COVID-19 Pandemic</w:t>
      </w:r>
      <w:r>
        <w:rPr>
          <w:rFonts w:ascii="Times New Roman" w:hAnsi="Times New Roman" w:cs="Times New Roman"/>
          <w:lang w:val="en-GB"/>
        </w:rPr>
        <w:t xml:space="preserve">. </w:t>
      </w:r>
      <w:proofErr w:type="spellStart"/>
      <w:r w:rsidRPr="00543B7D">
        <w:rPr>
          <w:rFonts w:ascii="Times New Roman" w:hAnsi="Times New Roman" w:cs="Times New Roman"/>
          <w:lang w:val="en-GB"/>
        </w:rPr>
        <w:t>Intereconomics</w:t>
      </w:r>
      <w:proofErr w:type="spellEnd"/>
      <w:r w:rsidRPr="00543B7D">
        <w:rPr>
          <w:rFonts w:ascii="Times New Roman" w:hAnsi="Times New Roman" w:cs="Times New Roman"/>
          <w:lang w:val="en-GB"/>
        </w:rPr>
        <w:t>, 2022, 57(1), 40-46</w:t>
      </w:r>
    </w:p>
    <w:p w14:paraId="39FAA744" w14:textId="683E8517" w:rsidR="00AF0D7F" w:rsidRDefault="00AF0D7F" w:rsidP="00AF0D7F">
      <w:pPr>
        <w:rPr>
          <w:rFonts w:ascii="Times New Roman" w:hAnsi="Times New Roman" w:cs="Times New Roman"/>
          <w:lang w:val="en-GB"/>
        </w:rPr>
      </w:pPr>
      <w:proofErr w:type="spellStart"/>
      <w:r>
        <w:rPr>
          <w:rFonts w:ascii="Times New Roman" w:hAnsi="Times New Roman" w:cs="Times New Roman"/>
          <w:lang w:val="en-GB"/>
        </w:rPr>
        <w:t>DeVerteuil</w:t>
      </w:r>
      <w:proofErr w:type="spellEnd"/>
      <w:r>
        <w:rPr>
          <w:rFonts w:ascii="Times New Roman" w:hAnsi="Times New Roman" w:cs="Times New Roman"/>
          <w:lang w:val="en-GB"/>
        </w:rPr>
        <w:t xml:space="preserve">, G. 2009. Inequality. </w:t>
      </w:r>
      <w:r w:rsidRPr="00AF0D7F">
        <w:rPr>
          <w:rFonts w:ascii="Times New Roman" w:hAnsi="Times New Roman" w:cs="Times New Roman"/>
          <w:lang w:val="en-GB"/>
        </w:rPr>
        <w:t xml:space="preserve">International </w:t>
      </w:r>
      <w:proofErr w:type="spellStart"/>
      <w:r w:rsidRPr="00AF0D7F">
        <w:rPr>
          <w:rFonts w:ascii="Times New Roman" w:hAnsi="Times New Roman" w:cs="Times New Roman"/>
          <w:lang w:val="en-GB"/>
        </w:rPr>
        <w:t>Encyclopedia</w:t>
      </w:r>
      <w:proofErr w:type="spellEnd"/>
      <w:r w:rsidRPr="00AF0D7F">
        <w:rPr>
          <w:rFonts w:ascii="Times New Roman" w:hAnsi="Times New Roman" w:cs="Times New Roman"/>
          <w:lang w:val="en-GB"/>
        </w:rPr>
        <w:t xml:space="preserve"> of Human Geography</w:t>
      </w:r>
      <w:r>
        <w:rPr>
          <w:rFonts w:ascii="Times New Roman" w:hAnsi="Times New Roman" w:cs="Times New Roman"/>
          <w:lang w:val="en-GB"/>
        </w:rPr>
        <w:t xml:space="preserve">, </w:t>
      </w:r>
      <w:r w:rsidRPr="00AF0D7F">
        <w:rPr>
          <w:rFonts w:ascii="Times New Roman" w:hAnsi="Times New Roman" w:cs="Times New Roman"/>
          <w:lang w:val="en-GB"/>
        </w:rPr>
        <w:t>2009, Pages 433-445</w:t>
      </w:r>
      <w:r>
        <w:rPr>
          <w:rFonts w:ascii="Times New Roman" w:hAnsi="Times New Roman" w:cs="Times New Roman"/>
          <w:lang w:val="en-GB"/>
        </w:rPr>
        <w:t xml:space="preserve">. DOI: </w:t>
      </w:r>
      <w:r w:rsidRPr="00AF0D7F">
        <w:rPr>
          <w:rFonts w:ascii="Times New Roman" w:hAnsi="Times New Roman" w:cs="Times New Roman"/>
          <w:lang w:val="en-GB"/>
        </w:rPr>
        <w:t>https://doi.org/10.1016/B978-008044910-4.00963-9</w:t>
      </w:r>
    </w:p>
    <w:p w14:paraId="2D436ECB" w14:textId="71D95765" w:rsidR="00050A9A" w:rsidRDefault="00050A9A" w:rsidP="00050A9A">
      <w:pPr>
        <w:rPr>
          <w:rFonts w:ascii="Times New Roman" w:hAnsi="Times New Roman" w:cs="Times New Roman"/>
          <w:lang w:val="en-GB"/>
        </w:rPr>
      </w:pPr>
      <w:r>
        <w:rPr>
          <w:rFonts w:ascii="Times New Roman" w:hAnsi="Times New Roman" w:cs="Times New Roman"/>
          <w:lang w:val="en-GB"/>
        </w:rPr>
        <w:t xml:space="preserve">Dunford, M. 2009. Regional inequalities. </w:t>
      </w:r>
      <w:r w:rsidRPr="00050A9A">
        <w:rPr>
          <w:rFonts w:ascii="Times New Roman" w:hAnsi="Times New Roman" w:cs="Times New Roman"/>
          <w:lang w:val="en-GB"/>
        </w:rPr>
        <w:t xml:space="preserve">International </w:t>
      </w:r>
      <w:proofErr w:type="spellStart"/>
      <w:r w:rsidRPr="00050A9A">
        <w:rPr>
          <w:rFonts w:ascii="Times New Roman" w:hAnsi="Times New Roman" w:cs="Times New Roman"/>
          <w:lang w:val="en-GB"/>
        </w:rPr>
        <w:t>Encyclopedia</w:t>
      </w:r>
      <w:proofErr w:type="spellEnd"/>
      <w:r w:rsidRPr="00050A9A">
        <w:rPr>
          <w:rFonts w:ascii="Times New Roman" w:hAnsi="Times New Roman" w:cs="Times New Roman"/>
          <w:lang w:val="en-GB"/>
        </w:rPr>
        <w:t xml:space="preserve"> of Human Geography</w:t>
      </w:r>
      <w:r>
        <w:rPr>
          <w:rFonts w:ascii="Times New Roman" w:hAnsi="Times New Roman" w:cs="Times New Roman"/>
          <w:lang w:val="en-GB"/>
        </w:rPr>
        <w:t xml:space="preserve"> </w:t>
      </w:r>
      <w:r w:rsidRPr="00050A9A">
        <w:rPr>
          <w:rFonts w:ascii="Times New Roman" w:hAnsi="Times New Roman" w:cs="Times New Roman"/>
          <w:lang w:val="en-GB"/>
        </w:rPr>
        <w:t>2009, Pages 236-245</w:t>
      </w:r>
      <w:r>
        <w:rPr>
          <w:rFonts w:ascii="Times New Roman" w:hAnsi="Times New Roman" w:cs="Times New Roman"/>
          <w:lang w:val="en-GB"/>
        </w:rPr>
        <w:t xml:space="preserve">. DOI: </w:t>
      </w:r>
      <w:hyperlink r:id="rId14" w:history="1">
        <w:r w:rsidR="00D553AC" w:rsidRPr="002841FF">
          <w:rPr>
            <w:rStyle w:val="Hypertextovprepojenie"/>
            <w:rFonts w:ascii="Times New Roman" w:hAnsi="Times New Roman" w:cs="Times New Roman"/>
            <w:lang w:val="en-GB"/>
          </w:rPr>
          <w:t>https://doi.org/10.1016/B978-008044910-4.00874-9</w:t>
        </w:r>
      </w:hyperlink>
    </w:p>
    <w:p w14:paraId="186DFF62" w14:textId="717527C1" w:rsidR="00CD1121" w:rsidRDefault="00CD1121" w:rsidP="00050A9A">
      <w:pPr>
        <w:rPr>
          <w:rFonts w:ascii="Times New Roman" w:hAnsi="Times New Roman" w:cs="Times New Roman"/>
          <w:lang w:val="en-GB"/>
        </w:rPr>
      </w:pPr>
      <w:r>
        <w:rPr>
          <w:rFonts w:ascii="Times New Roman" w:hAnsi="Times New Roman" w:cs="Times New Roman"/>
          <w:lang w:val="en-GB"/>
        </w:rPr>
        <w:t xml:space="preserve">Eurostat. 2023a. </w:t>
      </w:r>
      <w:r w:rsidR="00202D50">
        <w:rPr>
          <w:rFonts w:ascii="Times New Roman" w:hAnsi="Times New Roman" w:cs="Times New Roman"/>
          <w:lang w:val="en-GB"/>
        </w:rPr>
        <w:t xml:space="preserve">NUTS. Available at: </w:t>
      </w:r>
      <w:r w:rsidR="00202D50" w:rsidRPr="00202D50">
        <w:rPr>
          <w:rFonts w:ascii="Times New Roman" w:hAnsi="Times New Roman" w:cs="Times New Roman"/>
          <w:lang w:val="en-GB"/>
        </w:rPr>
        <w:t>https://ec.europa.eu/eurostat/web/gisco/geodata/reference-data/administrative-units-statistical-units/nuts#nuts21</w:t>
      </w:r>
    </w:p>
    <w:p w14:paraId="7BB8FF56" w14:textId="000F0D0B" w:rsidR="00D553AC" w:rsidRDefault="00D553AC" w:rsidP="00050A9A">
      <w:pPr>
        <w:rPr>
          <w:rFonts w:ascii="Times New Roman" w:hAnsi="Times New Roman" w:cs="Times New Roman"/>
          <w:lang w:val="en-GB"/>
        </w:rPr>
      </w:pPr>
      <w:r>
        <w:rPr>
          <w:rFonts w:ascii="Times New Roman" w:hAnsi="Times New Roman" w:cs="Times New Roman"/>
          <w:lang w:val="en-GB"/>
        </w:rPr>
        <w:t>Eurostat. 2023</w:t>
      </w:r>
      <w:r w:rsidR="00CD1121">
        <w:rPr>
          <w:rFonts w:ascii="Times New Roman" w:hAnsi="Times New Roman" w:cs="Times New Roman"/>
          <w:lang w:val="en-GB"/>
        </w:rPr>
        <w:t>b</w:t>
      </w:r>
      <w:r>
        <w:rPr>
          <w:rFonts w:ascii="Times New Roman" w:hAnsi="Times New Roman" w:cs="Times New Roman"/>
          <w:lang w:val="en-GB"/>
        </w:rPr>
        <w:t xml:space="preserve">. </w:t>
      </w:r>
      <w:r w:rsidRPr="00D553AC">
        <w:rPr>
          <w:rFonts w:ascii="Times New Roman" w:hAnsi="Times New Roman" w:cs="Times New Roman"/>
          <w:lang w:val="en-GB"/>
        </w:rPr>
        <w:t>Regional gross domestic product (PPS per inhabitant) by NUTS 2 regions</w:t>
      </w:r>
      <w:r>
        <w:rPr>
          <w:rFonts w:ascii="Times New Roman" w:hAnsi="Times New Roman" w:cs="Times New Roman"/>
          <w:lang w:val="en-GB"/>
        </w:rPr>
        <w:t xml:space="preserve">. Available at: </w:t>
      </w:r>
      <w:hyperlink r:id="rId15" w:history="1">
        <w:r w:rsidR="00751607" w:rsidRPr="002841FF">
          <w:rPr>
            <w:rStyle w:val="Hypertextovprepojenie"/>
            <w:rFonts w:ascii="Times New Roman" w:hAnsi="Times New Roman" w:cs="Times New Roman"/>
            <w:lang w:val="en-GB"/>
          </w:rPr>
          <w:t>https://ec.europa.eu/eurostat/databrowser/view/TGS00005/default/table</w:t>
        </w:r>
      </w:hyperlink>
      <w:r w:rsidR="00751607">
        <w:rPr>
          <w:rFonts w:ascii="Times New Roman" w:hAnsi="Times New Roman" w:cs="Times New Roman"/>
          <w:lang w:val="en-GB"/>
        </w:rPr>
        <w:t>.</w:t>
      </w:r>
    </w:p>
    <w:p w14:paraId="26243263" w14:textId="67B2D30B" w:rsidR="00751607" w:rsidRDefault="00751607" w:rsidP="00050A9A">
      <w:pPr>
        <w:rPr>
          <w:rFonts w:ascii="Times New Roman" w:hAnsi="Times New Roman" w:cs="Times New Roman"/>
          <w:lang w:val="en-GB"/>
        </w:rPr>
      </w:pPr>
      <w:r>
        <w:rPr>
          <w:rFonts w:ascii="Times New Roman" w:hAnsi="Times New Roman" w:cs="Times New Roman"/>
          <w:lang w:val="en-GB"/>
        </w:rPr>
        <w:t xml:space="preserve">Eurostat. 2023c. </w:t>
      </w:r>
      <w:r w:rsidRPr="00751607">
        <w:rPr>
          <w:rFonts w:ascii="Times New Roman" w:hAnsi="Times New Roman" w:cs="Times New Roman"/>
          <w:lang w:val="en-GB"/>
        </w:rPr>
        <w:t>Regional gross domestic product (PPS per inhabitant in % of the EU27 (from 2020) average) by NUTS 2 regions</w:t>
      </w:r>
      <w:r>
        <w:rPr>
          <w:rFonts w:ascii="Times New Roman" w:hAnsi="Times New Roman" w:cs="Times New Roman"/>
          <w:lang w:val="en-GB"/>
        </w:rPr>
        <w:t xml:space="preserve">. Available at: </w:t>
      </w:r>
      <w:r w:rsidRPr="00751607">
        <w:rPr>
          <w:rFonts w:ascii="Times New Roman" w:hAnsi="Times New Roman" w:cs="Times New Roman"/>
          <w:lang w:val="en-GB"/>
        </w:rPr>
        <w:t>https://ec.europa.eu/eurostat/databrowser/view/TGS00006/default/table?lang=en&amp;category=na10.nama10.nama_10reg.nama_10r_gdp</w:t>
      </w:r>
    </w:p>
    <w:p w14:paraId="46078BD8" w14:textId="215CAFCA" w:rsidR="00221AAE" w:rsidRDefault="00221AAE" w:rsidP="00221AAE">
      <w:pPr>
        <w:rPr>
          <w:rFonts w:ascii="Times New Roman" w:hAnsi="Times New Roman" w:cs="Times New Roman"/>
          <w:lang w:val="en-GB"/>
        </w:rPr>
      </w:pPr>
      <w:proofErr w:type="spellStart"/>
      <w:r>
        <w:rPr>
          <w:rFonts w:ascii="Times New Roman" w:hAnsi="Times New Roman" w:cs="Times New Roman"/>
          <w:lang w:val="en-GB"/>
        </w:rPr>
        <w:t>Furceri</w:t>
      </w:r>
      <w:proofErr w:type="spellEnd"/>
      <w:r>
        <w:rPr>
          <w:rFonts w:ascii="Times New Roman" w:hAnsi="Times New Roman" w:cs="Times New Roman"/>
          <w:lang w:val="en-GB"/>
        </w:rPr>
        <w:t xml:space="preserve">, D. et al. 2022. </w:t>
      </w:r>
      <w:r w:rsidRPr="00221AAE">
        <w:rPr>
          <w:rFonts w:ascii="Times New Roman" w:hAnsi="Times New Roman" w:cs="Times New Roman"/>
          <w:lang w:val="en-GB"/>
        </w:rPr>
        <w:t>Will COVID-19 Have Long-Lasting Effects on Inequality?</w:t>
      </w:r>
      <w:r>
        <w:rPr>
          <w:rFonts w:ascii="Times New Roman" w:hAnsi="Times New Roman" w:cs="Times New Roman"/>
          <w:lang w:val="en-GB"/>
        </w:rPr>
        <w:t xml:space="preserve"> </w:t>
      </w:r>
      <w:r w:rsidRPr="00221AAE">
        <w:rPr>
          <w:rFonts w:ascii="Times New Roman" w:hAnsi="Times New Roman" w:cs="Times New Roman"/>
          <w:lang w:val="en-GB"/>
        </w:rPr>
        <w:t>Evidence from Past Pandemics</w:t>
      </w:r>
      <w:r>
        <w:rPr>
          <w:rFonts w:ascii="Times New Roman" w:hAnsi="Times New Roman" w:cs="Times New Roman"/>
          <w:lang w:val="en-GB"/>
        </w:rPr>
        <w:t xml:space="preserve">. </w:t>
      </w:r>
      <w:r w:rsidRPr="00221AAE">
        <w:rPr>
          <w:rFonts w:ascii="Times New Roman" w:hAnsi="Times New Roman" w:cs="Times New Roman"/>
          <w:lang w:val="en-GB"/>
        </w:rPr>
        <w:t>The Journal of Economic Inequality (2022) 20:811–839</w:t>
      </w:r>
      <w:r>
        <w:rPr>
          <w:rFonts w:ascii="Times New Roman" w:hAnsi="Times New Roman" w:cs="Times New Roman"/>
          <w:lang w:val="en-GB"/>
        </w:rPr>
        <w:t xml:space="preserve">. DOI: </w:t>
      </w:r>
      <w:r w:rsidRPr="00221AAE">
        <w:rPr>
          <w:rFonts w:ascii="Times New Roman" w:hAnsi="Times New Roman" w:cs="Times New Roman"/>
          <w:lang w:val="en-GB"/>
        </w:rPr>
        <w:t>https://doi.org/10.1007/s10888-022-09540-y</w:t>
      </w:r>
    </w:p>
    <w:p w14:paraId="16F86C11" w14:textId="7685154D" w:rsidR="004D281D" w:rsidRDefault="004D281D" w:rsidP="00570090">
      <w:pPr>
        <w:rPr>
          <w:rFonts w:ascii="Times New Roman" w:hAnsi="Times New Roman" w:cs="Times New Roman"/>
          <w:lang w:val="en-GB"/>
        </w:rPr>
      </w:pPr>
      <w:proofErr w:type="spellStart"/>
      <w:r w:rsidRPr="004D281D">
        <w:rPr>
          <w:rFonts w:ascii="Times New Roman" w:hAnsi="Times New Roman" w:cs="Times New Roman"/>
          <w:lang w:val="en-GB"/>
        </w:rPr>
        <w:t>Iammarino</w:t>
      </w:r>
      <w:proofErr w:type="spellEnd"/>
      <w:r w:rsidRPr="004D281D">
        <w:rPr>
          <w:rFonts w:ascii="Times New Roman" w:hAnsi="Times New Roman" w:cs="Times New Roman"/>
          <w:lang w:val="en-GB"/>
        </w:rPr>
        <w:t xml:space="preserve">, </w:t>
      </w:r>
      <w:r>
        <w:rPr>
          <w:rFonts w:ascii="Times New Roman" w:hAnsi="Times New Roman" w:cs="Times New Roman"/>
          <w:lang w:val="en-GB"/>
        </w:rPr>
        <w:t xml:space="preserve">S., </w:t>
      </w:r>
      <w:r w:rsidRPr="004D281D">
        <w:rPr>
          <w:rFonts w:ascii="Times New Roman" w:hAnsi="Times New Roman" w:cs="Times New Roman"/>
          <w:lang w:val="en-GB"/>
        </w:rPr>
        <w:t>Rodriguez-Pose, A</w:t>
      </w:r>
      <w:r>
        <w:rPr>
          <w:rFonts w:ascii="Times New Roman" w:hAnsi="Times New Roman" w:cs="Times New Roman"/>
          <w:lang w:val="en-GB"/>
        </w:rPr>
        <w:t>. and</w:t>
      </w:r>
      <w:r w:rsidRPr="004D281D">
        <w:rPr>
          <w:rFonts w:ascii="Times New Roman" w:hAnsi="Times New Roman" w:cs="Times New Roman"/>
          <w:lang w:val="en-GB"/>
        </w:rPr>
        <w:t xml:space="preserve"> </w:t>
      </w:r>
      <w:proofErr w:type="spellStart"/>
      <w:r w:rsidRPr="004D281D">
        <w:rPr>
          <w:rFonts w:ascii="Times New Roman" w:hAnsi="Times New Roman" w:cs="Times New Roman"/>
          <w:lang w:val="en-GB"/>
        </w:rPr>
        <w:t>Storper</w:t>
      </w:r>
      <w:proofErr w:type="spellEnd"/>
      <w:r w:rsidRPr="004D281D">
        <w:rPr>
          <w:rFonts w:ascii="Times New Roman" w:hAnsi="Times New Roman" w:cs="Times New Roman"/>
          <w:lang w:val="en-GB"/>
        </w:rPr>
        <w:t>, M</w:t>
      </w:r>
      <w:r>
        <w:rPr>
          <w:rFonts w:ascii="Times New Roman" w:hAnsi="Times New Roman" w:cs="Times New Roman"/>
          <w:lang w:val="en-GB"/>
        </w:rPr>
        <w:t>. 2019.</w:t>
      </w:r>
      <w:r w:rsidRPr="004D281D">
        <w:rPr>
          <w:rFonts w:ascii="Times New Roman" w:hAnsi="Times New Roman" w:cs="Times New Roman"/>
          <w:lang w:val="en-GB"/>
        </w:rPr>
        <w:t xml:space="preserve"> </w:t>
      </w:r>
      <w:r w:rsidRPr="004D281D">
        <w:rPr>
          <w:rFonts w:ascii="Times New Roman" w:hAnsi="Times New Roman" w:cs="Times New Roman"/>
          <w:lang w:val="en-GB"/>
        </w:rPr>
        <w:t>Regional inequality in Europe: evidence, theory and policy implications, Journal of Economic Geography, Volume 19, Issue 2, March 2019, Pages 273–298,</w:t>
      </w:r>
      <w:r>
        <w:rPr>
          <w:rFonts w:ascii="Times New Roman" w:hAnsi="Times New Roman" w:cs="Times New Roman"/>
          <w:lang w:val="en-GB"/>
        </w:rPr>
        <w:t xml:space="preserve"> DOI:</w:t>
      </w:r>
      <w:r w:rsidRPr="004D281D">
        <w:rPr>
          <w:rFonts w:ascii="Times New Roman" w:hAnsi="Times New Roman" w:cs="Times New Roman"/>
          <w:lang w:val="en-GB"/>
        </w:rPr>
        <w:t xml:space="preserve"> https://doi.org/10.1093/jeg/lby021</w:t>
      </w:r>
    </w:p>
    <w:p w14:paraId="44033E5B" w14:textId="4E726E25" w:rsidR="00570090" w:rsidRDefault="00570090" w:rsidP="00570090">
      <w:pPr>
        <w:rPr>
          <w:rFonts w:ascii="Times New Roman" w:hAnsi="Times New Roman" w:cs="Times New Roman"/>
          <w:lang w:val="en-GB"/>
        </w:rPr>
      </w:pPr>
      <w:r>
        <w:rPr>
          <w:rFonts w:ascii="Times New Roman" w:hAnsi="Times New Roman" w:cs="Times New Roman"/>
          <w:lang w:val="en-GB"/>
        </w:rPr>
        <w:t xml:space="preserve">Martin, R. and </w:t>
      </w:r>
      <w:proofErr w:type="spellStart"/>
      <w:r>
        <w:rPr>
          <w:rFonts w:ascii="Times New Roman" w:hAnsi="Times New Roman" w:cs="Times New Roman"/>
          <w:lang w:val="en-GB"/>
        </w:rPr>
        <w:t>Sunley</w:t>
      </w:r>
      <w:proofErr w:type="spellEnd"/>
      <w:r>
        <w:rPr>
          <w:rFonts w:ascii="Times New Roman" w:hAnsi="Times New Roman" w:cs="Times New Roman"/>
          <w:lang w:val="en-GB"/>
        </w:rPr>
        <w:t xml:space="preserve">, P. 2015. </w:t>
      </w:r>
      <w:r w:rsidRPr="00570090">
        <w:rPr>
          <w:rFonts w:ascii="Times New Roman" w:hAnsi="Times New Roman" w:cs="Times New Roman"/>
          <w:lang w:val="en-GB"/>
        </w:rPr>
        <w:t>Slow Convergence? The New Endogenous Growth Theory and Regional Development</w:t>
      </w:r>
      <w:r>
        <w:rPr>
          <w:rFonts w:ascii="Times New Roman" w:hAnsi="Times New Roman" w:cs="Times New Roman"/>
          <w:lang w:val="en-GB"/>
        </w:rPr>
        <w:t xml:space="preserve">. </w:t>
      </w:r>
      <w:r w:rsidRPr="00570090">
        <w:rPr>
          <w:rFonts w:ascii="Times New Roman" w:hAnsi="Times New Roman" w:cs="Times New Roman"/>
          <w:lang w:val="en-GB"/>
        </w:rPr>
        <w:t>Economic Geography</w:t>
      </w:r>
      <w:r>
        <w:rPr>
          <w:rFonts w:ascii="Times New Roman" w:hAnsi="Times New Roman" w:cs="Times New Roman"/>
          <w:lang w:val="en-GB"/>
        </w:rPr>
        <w:t>.</w:t>
      </w:r>
      <w:r w:rsidRPr="00570090">
        <w:rPr>
          <w:rFonts w:ascii="Times New Roman" w:hAnsi="Times New Roman" w:cs="Times New Roman"/>
          <w:lang w:val="en-GB"/>
        </w:rPr>
        <w:t xml:space="preserve"> Volume 74, 1998 - Issue 3</w:t>
      </w:r>
    </w:p>
    <w:p w14:paraId="7245E134" w14:textId="49119EBB" w:rsidR="00156559" w:rsidRDefault="00F43BDB" w:rsidP="001B43FA">
      <w:pPr>
        <w:rPr>
          <w:rFonts w:ascii="Times New Roman" w:hAnsi="Times New Roman" w:cs="Times New Roman"/>
          <w:lang w:val="en-GB"/>
        </w:rPr>
      </w:pPr>
      <w:proofErr w:type="spellStart"/>
      <w:r w:rsidRPr="0077590E">
        <w:rPr>
          <w:rFonts w:ascii="Times New Roman" w:hAnsi="Times New Roman" w:cs="Times New Roman"/>
          <w:lang w:val="en-GB"/>
        </w:rPr>
        <w:t>Murshed</w:t>
      </w:r>
      <w:proofErr w:type="spellEnd"/>
      <w:r w:rsidRPr="0077590E">
        <w:rPr>
          <w:rFonts w:ascii="Times New Roman" w:hAnsi="Times New Roman" w:cs="Times New Roman"/>
          <w:lang w:val="en-GB"/>
        </w:rPr>
        <w:t xml:space="preserve">, S. 2022. </w:t>
      </w:r>
      <w:r w:rsidRPr="0077590E">
        <w:rPr>
          <w:rFonts w:ascii="Times New Roman" w:hAnsi="Times New Roman" w:cs="Times New Roman"/>
          <w:lang w:val="en-GB"/>
        </w:rPr>
        <w:t>Consequences of the Covid-19 Pandemic for Economic Inequality</w:t>
      </w:r>
      <w:r w:rsidRPr="0077590E">
        <w:rPr>
          <w:rFonts w:ascii="Times New Roman" w:hAnsi="Times New Roman" w:cs="Times New Roman"/>
          <w:lang w:val="en-GB"/>
        </w:rPr>
        <w:t xml:space="preserve">, </w:t>
      </w:r>
      <w:r w:rsidRPr="0077590E">
        <w:rPr>
          <w:rFonts w:ascii="Times New Roman" w:hAnsi="Times New Roman" w:cs="Times New Roman"/>
          <w:lang w:val="en-GB"/>
        </w:rPr>
        <w:t xml:space="preserve">In: </w:t>
      </w:r>
      <w:proofErr w:type="spellStart"/>
      <w:r w:rsidRPr="0077590E">
        <w:rPr>
          <w:rFonts w:ascii="Times New Roman" w:hAnsi="Times New Roman" w:cs="Times New Roman"/>
          <w:lang w:val="en-GB"/>
        </w:rPr>
        <w:t>Papyrakis</w:t>
      </w:r>
      <w:proofErr w:type="spellEnd"/>
      <w:r w:rsidRPr="0077590E">
        <w:rPr>
          <w:rFonts w:ascii="Times New Roman" w:hAnsi="Times New Roman" w:cs="Times New Roman"/>
          <w:lang w:val="en-GB"/>
        </w:rPr>
        <w:t xml:space="preserve">, E. (eds) COVID-19 and International Development. Springer, Cham. </w:t>
      </w:r>
      <w:hyperlink r:id="rId16" w:history="1">
        <w:r w:rsidR="00037A0A" w:rsidRPr="002841FF">
          <w:rPr>
            <w:rStyle w:val="Hypertextovprepojenie"/>
            <w:rFonts w:ascii="Times New Roman" w:hAnsi="Times New Roman" w:cs="Times New Roman"/>
            <w:lang w:val="en-GB"/>
          </w:rPr>
          <w:t>https://doi.org/10.1007/978-3-030-82339-9_5</w:t>
        </w:r>
      </w:hyperlink>
    </w:p>
    <w:p w14:paraId="7A88E354" w14:textId="0988C3EE" w:rsidR="00C858A8" w:rsidRDefault="00C858A8" w:rsidP="00C858A8">
      <w:pPr>
        <w:rPr>
          <w:rFonts w:ascii="Times New Roman" w:hAnsi="Times New Roman" w:cs="Times New Roman"/>
          <w:lang w:val="en-GB"/>
        </w:rPr>
      </w:pPr>
      <w:r>
        <w:rPr>
          <w:rFonts w:ascii="Times New Roman" w:hAnsi="Times New Roman" w:cs="Times New Roman"/>
          <w:lang w:val="en-GB"/>
        </w:rPr>
        <w:t xml:space="preserve">Narayan, A. et al. 2022. </w:t>
      </w:r>
      <w:r w:rsidRPr="00C858A8">
        <w:rPr>
          <w:rFonts w:ascii="Times New Roman" w:hAnsi="Times New Roman" w:cs="Times New Roman"/>
          <w:lang w:val="en-GB"/>
        </w:rPr>
        <w:t>COVID-19 and Economic Inequality</w:t>
      </w:r>
      <w:r>
        <w:rPr>
          <w:rFonts w:ascii="Times New Roman" w:hAnsi="Times New Roman" w:cs="Times New Roman"/>
          <w:lang w:val="en-GB"/>
        </w:rPr>
        <w:t xml:space="preserve">: </w:t>
      </w:r>
      <w:r w:rsidRPr="00C858A8">
        <w:rPr>
          <w:rFonts w:ascii="Times New Roman" w:hAnsi="Times New Roman" w:cs="Times New Roman"/>
          <w:lang w:val="en-GB"/>
        </w:rPr>
        <w:t>Short-Term Impacts with Long-Term Consequences</w:t>
      </w:r>
      <w:r>
        <w:rPr>
          <w:rFonts w:ascii="Times New Roman" w:hAnsi="Times New Roman" w:cs="Times New Roman"/>
          <w:lang w:val="en-GB"/>
        </w:rPr>
        <w:t xml:space="preserve">. World Bank Group. </w:t>
      </w:r>
      <w:r w:rsidRPr="00C858A8">
        <w:rPr>
          <w:rFonts w:ascii="Times New Roman" w:hAnsi="Times New Roman" w:cs="Times New Roman"/>
          <w:lang w:val="en-GB"/>
        </w:rPr>
        <w:t>Poverty and Equity Global Practice &amp;</w:t>
      </w:r>
      <w:r>
        <w:rPr>
          <w:rFonts w:ascii="Times New Roman" w:hAnsi="Times New Roman" w:cs="Times New Roman"/>
          <w:lang w:val="en-GB"/>
        </w:rPr>
        <w:t xml:space="preserve"> </w:t>
      </w:r>
      <w:r w:rsidRPr="00C858A8">
        <w:rPr>
          <w:rFonts w:ascii="Times New Roman" w:hAnsi="Times New Roman" w:cs="Times New Roman"/>
          <w:lang w:val="en-GB"/>
        </w:rPr>
        <w:t>Development Data Group</w:t>
      </w:r>
      <w:r>
        <w:rPr>
          <w:rFonts w:ascii="Times New Roman" w:hAnsi="Times New Roman" w:cs="Times New Roman"/>
          <w:lang w:val="en-GB"/>
        </w:rPr>
        <w:t xml:space="preserve">, </w:t>
      </w:r>
      <w:r w:rsidRPr="00C858A8">
        <w:rPr>
          <w:rFonts w:ascii="Times New Roman" w:hAnsi="Times New Roman" w:cs="Times New Roman"/>
          <w:lang w:val="en-GB"/>
        </w:rPr>
        <w:t>January 2022</w:t>
      </w:r>
      <w:r>
        <w:rPr>
          <w:rFonts w:ascii="Times New Roman" w:hAnsi="Times New Roman" w:cs="Times New Roman"/>
          <w:lang w:val="en-GB"/>
        </w:rPr>
        <w:t xml:space="preserve">. Policy research working paper </w:t>
      </w:r>
      <w:proofErr w:type="gramStart"/>
      <w:r>
        <w:rPr>
          <w:rFonts w:ascii="Times New Roman" w:hAnsi="Times New Roman" w:cs="Times New Roman"/>
          <w:lang w:val="en-GB"/>
        </w:rPr>
        <w:t>9902</w:t>
      </w:r>
      <w:proofErr w:type="gramEnd"/>
    </w:p>
    <w:p w14:paraId="54581D8F" w14:textId="3EE46753" w:rsidR="00037A0A" w:rsidRPr="0077590E" w:rsidRDefault="00037A0A" w:rsidP="001B43FA">
      <w:pPr>
        <w:rPr>
          <w:rFonts w:ascii="Times New Roman" w:hAnsi="Times New Roman" w:cs="Times New Roman"/>
          <w:lang w:val="en-GB"/>
        </w:rPr>
      </w:pPr>
      <w:r>
        <w:rPr>
          <w:rFonts w:ascii="Times New Roman" w:hAnsi="Times New Roman" w:cs="Times New Roman"/>
          <w:lang w:val="en-GB"/>
        </w:rPr>
        <w:t xml:space="preserve">Rey, S. J. et al. 2020. Spatial Inequality Dynamics. In: </w:t>
      </w:r>
      <w:r w:rsidRPr="00037A0A">
        <w:rPr>
          <w:rFonts w:ascii="Times New Roman" w:hAnsi="Times New Roman" w:cs="Times New Roman"/>
          <w:lang w:val="en-GB"/>
        </w:rPr>
        <w:t>Geographic Data Science with Python</w:t>
      </w:r>
      <w:r>
        <w:rPr>
          <w:rFonts w:ascii="Times New Roman" w:hAnsi="Times New Roman" w:cs="Times New Roman"/>
          <w:lang w:val="en-GB"/>
        </w:rPr>
        <w:t xml:space="preserve">. </w:t>
      </w:r>
      <w:r w:rsidRPr="00037A0A">
        <w:rPr>
          <w:rFonts w:ascii="Times New Roman" w:hAnsi="Times New Roman" w:cs="Times New Roman"/>
          <w:lang w:val="en-GB"/>
        </w:rPr>
        <w:t>https://geographicdata.science/book/notebooks/09_spatial_inequality.html</w:t>
      </w:r>
    </w:p>
    <w:bookmarkEnd w:id="0"/>
    <w:p w14:paraId="2BF5D91C" w14:textId="77777777" w:rsidR="001B43FA" w:rsidRPr="0077590E" w:rsidRDefault="001B43FA">
      <w:pPr>
        <w:rPr>
          <w:rFonts w:ascii="Times New Roman" w:hAnsi="Times New Roman" w:cs="Times New Roman"/>
          <w:sz w:val="28"/>
          <w:szCs w:val="28"/>
          <w:lang w:val="en-GB"/>
        </w:rPr>
      </w:pPr>
    </w:p>
    <w:p w14:paraId="6135DE1F" w14:textId="77777777" w:rsidR="0077590E" w:rsidRPr="0077590E" w:rsidRDefault="0077590E">
      <w:pPr>
        <w:rPr>
          <w:rFonts w:ascii="Times New Roman" w:hAnsi="Times New Roman" w:cs="Times New Roman"/>
          <w:sz w:val="28"/>
          <w:szCs w:val="28"/>
          <w:lang w:val="en-GB"/>
        </w:rPr>
      </w:pPr>
    </w:p>
    <w:sectPr w:rsidR="0077590E" w:rsidRPr="0077590E" w:rsidSect="002C68FC">
      <w:pgSz w:w="11906" w:h="16838"/>
      <w:pgMar w:top="1418" w:right="1361" w:bottom="1418"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ldhabi">
    <w:charset w:val="B2"/>
    <w:family w:val="auto"/>
    <w:pitch w:val="variable"/>
    <w:sig w:usb0="80002007" w:usb1="80000000" w:usb2="00000008" w:usb3="00000000" w:csb0="00000041"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A2FB0"/>
    <w:multiLevelType w:val="hybridMultilevel"/>
    <w:tmpl w:val="5C14C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90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trSwMDU3tjQ2trRU0lEKTi0uzszPAykwqQUAzWGVHiwAAAA="/>
  </w:docVars>
  <w:rsids>
    <w:rsidRoot w:val="004557DA"/>
    <w:rsid w:val="00005944"/>
    <w:rsid w:val="000062A7"/>
    <w:rsid w:val="00012492"/>
    <w:rsid w:val="00014B0C"/>
    <w:rsid w:val="00020B87"/>
    <w:rsid w:val="000247A8"/>
    <w:rsid w:val="000301E9"/>
    <w:rsid w:val="00034473"/>
    <w:rsid w:val="00035057"/>
    <w:rsid w:val="00035493"/>
    <w:rsid w:val="000371E0"/>
    <w:rsid w:val="00037A0A"/>
    <w:rsid w:val="00043055"/>
    <w:rsid w:val="0004391A"/>
    <w:rsid w:val="00045BB1"/>
    <w:rsid w:val="000470F1"/>
    <w:rsid w:val="00050033"/>
    <w:rsid w:val="00050A9A"/>
    <w:rsid w:val="00050DAE"/>
    <w:rsid w:val="00055EB2"/>
    <w:rsid w:val="0005628C"/>
    <w:rsid w:val="00060A25"/>
    <w:rsid w:val="000677ED"/>
    <w:rsid w:val="00073E8B"/>
    <w:rsid w:val="00074517"/>
    <w:rsid w:val="00074ACB"/>
    <w:rsid w:val="00076B06"/>
    <w:rsid w:val="00076C7D"/>
    <w:rsid w:val="00087AED"/>
    <w:rsid w:val="000918CD"/>
    <w:rsid w:val="00092274"/>
    <w:rsid w:val="00094285"/>
    <w:rsid w:val="00094BFA"/>
    <w:rsid w:val="00095FB5"/>
    <w:rsid w:val="00096ABA"/>
    <w:rsid w:val="000C0750"/>
    <w:rsid w:val="000C2813"/>
    <w:rsid w:val="000C2F95"/>
    <w:rsid w:val="000C59D3"/>
    <w:rsid w:val="000D0A2F"/>
    <w:rsid w:val="000D137E"/>
    <w:rsid w:val="000D3632"/>
    <w:rsid w:val="000E3D99"/>
    <w:rsid w:val="000F138F"/>
    <w:rsid w:val="0011568B"/>
    <w:rsid w:val="00117A34"/>
    <w:rsid w:val="001236F1"/>
    <w:rsid w:val="00124AE6"/>
    <w:rsid w:val="00135033"/>
    <w:rsid w:val="00141BD6"/>
    <w:rsid w:val="00146338"/>
    <w:rsid w:val="00156559"/>
    <w:rsid w:val="00157D23"/>
    <w:rsid w:val="00162C04"/>
    <w:rsid w:val="00166F2C"/>
    <w:rsid w:val="00173BBB"/>
    <w:rsid w:val="00185CB3"/>
    <w:rsid w:val="00186C49"/>
    <w:rsid w:val="00187E68"/>
    <w:rsid w:val="001904C6"/>
    <w:rsid w:val="001927E3"/>
    <w:rsid w:val="001943A2"/>
    <w:rsid w:val="00195909"/>
    <w:rsid w:val="001A6AA0"/>
    <w:rsid w:val="001B13E5"/>
    <w:rsid w:val="001B2D5E"/>
    <w:rsid w:val="001B43FA"/>
    <w:rsid w:val="001C4BCF"/>
    <w:rsid w:val="001D27BC"/>
    <w:rsid w:val="001D4B81"/>
    <w:rsid w:val="001D6C66"/>
    <w:rsid w:val="001E2826"/>
    <w:rsid w:val="001E5384"/>
    <w:rsid w:val="001E6D57"/>
    <w:rsid w:val="001F0EC0"/>
    <w:rsid w:val="001F33A7"/>
    <w:rsid w:val="001F5B68"/>
    <w:rsid w:val="0020111D"/>
    <w:rsid w:val="00202D50"/>
    <w:rsid w:val="00202F78"/>
    <w:rsid w:val="00204BFB"/>
    <w:rsid w:val="00212539"/>
    <w:rsid w:val="00214758"/>
    <w:rsid w:val="0021594E"/>
    <w:rsid w:val="00220634"/>
    <w:rsid w:val="00221AAE"/>
    <w:rsid w:val="002222F5"/>
    <w:rsid w:val="00222736"/>
    <w:rsid w:val="0024287F"/>
    <w:rsid w:val="00243F2E"/>
    <w:rsid w:val="00244896"/>
    <w:rsid w:val="002463D7"/>
    <w:rsid w:val="00246E9F"/>
    <w:rsid w:val="00247851"/>
    <w:rsid w:val="00250FA4"/>
    <w:rsid w:val="00252B10"/>
    <w:rsid w:val="002559D3"/>
    <w:rsid w:val="00257509"/>
    <w:rsid w:val="002648D8"/>
    <w:rsid w:val="00266B1D"/>
    <w:rsid w:val="00267E3F"/>
    <w:rsid w:val="002706B2"/>
    <w:rsid w:val="002709FF"/>
    <w:rsid w:val="00274F2A"/>
    <w:rsid w:val="00275F6C"/>
    <w:rsid w:val="002815B6"/>
    <w:rsid w:val="00281D16"/>
    <w:rsid w:val="00281E60"/>
    <w:rsid w:val="00285632"/>
    <w:rsid w:val="00292AA0"/>
    <w:rsid w:val="00292F57"/>
    <w:rsid w:val="002A4C72"/>
    <w:rsid w:val="002A5B00"/>
    <w:rsid w:val="002C1EA3"/>
    <w:rsid w:val="002C3167"/>
    <w:rsid w:val="002C337E"/>
    <w:rsid w:val="002C5601"/>
    <w:rsid w:val="002C68FC"/>
    <w:rsid w:val="002D130A"/>
    <w:rsid w:val="002D6A0B"/>
    <w:rsid w:val="002E35AC"/>
    <w:rsid w:val="002E4753"/>
    <w:rsid w:val="002E7D2A"/>
    <w:rsid w:val="002F18BC"/>
    <w:rsid w:val="00301CB8"/>
    <w:rsid w:val="00305F70"/>
    <w:rsid w:val="00314466"/>
    <w:rsid w:val="00316678"/>
    <w:rsid w:val="003224EA"/>
    <w:rsid w:val="00330A30"/>
    <w:rsid w:val="00332810"/>
    <w:rsid w:val="0033396F"/>
    <w:rsid w:val="00333A6B"/>
    <w:rsid w:val="00333B16"/>
    <w:rsid w:val="00335030"/>
    <w:rsid w:val="00337EA0"/>
    <w:rsid w:val="003405C6"/>
    <w:rsid w:val="003425DF"/>
    <w:rsid w:val="0034354C"/>
    <w:rsid w:val="00344719"/>
    <w:rsid w:val="00347E51"/>
    <w:rsid w:val="00351622"/>
    <w:rsid w:val="00351AC7"/>
    <w:rsid w:val="00354A7C"/>
    <w:rsid w:val="00354F9B"/>
    <w:rsid w:val="00356DAC"/>
    <w:rsid w:val="00356F65"/>
    <w:rsid w:val="003600A6"/>
    <w:rsid w:val="0036234C"/>
    <w:rsid w:val="003747A5"/>
    <w:rsid w:val="0037560A"/>
    <w:rsid w:val="00376235"/>
    <w:rsid w:val="0038063D"/>
    <w:rsid w:val="00384117"/>
    <w:rsid w:val="00390861"/>
    <w:rsid w:val="003930FA"/>
    <w:rsid w:val="003978FB"/>
    <w:rsid w:val="003A192D"/>
    <w:rsid w:val="003A2508"/>
    <w:rsid w:val="003A3C5A"/>
    <w:rsid w:val="003A4298"/>
    <w:rsid w:val="003A440F"/>
    <w:rsid w:val="003B5A60"/>
    <w:rsid w:val="003C0EEE"/>
    <w:rsid w:val="003C1CEB"/>
    <w:rsid w:val="003C1D89"/>
    <w:rsid w:val="003C34D6"/>
    <w:rsid w:val="003C670A"/>
    <w:rsid w:val="003D170E"/>
    <w:rsid w:val="003D3864"/>
    <w:rsid w:val="003D593B"/>
    <w:rsid w:val="003E03C6"/>
    <w:rsid w:val="003E4E72"/>
    <w:rsid w:val="003E7B66"/>
    <w:rsid w:val="003F4053"/>
    <w:rsid w:val="003F4A1C"/>
    <w:rsid w:val="00400696"/>
    <w:rsid w:val="0040129F"/>
    <w:rsid w:val="00403EDA"/>
    <w:rsid w:val="0040607A"/>
    <w:rsid w:val="00406D53"/>
    <w:rsid w:val="00412675"/>
    <w:rsid w:val="00412C53"/>
    <w:rsid w:val="0041380E"/>
    <w:rsid w:val="00424DD3"/>
    <w:rsid w:val="00434333"/>
    <w:rsid w:val="00437A1E"/>
    <w:rsid w:val="00440813"/>
    <w:rsid w:val="00446980"/>
    <w:rsid w:val="0045122C"/>
    <w:rsid w:val="004557DA"/>
    <w:rsid w:val="00460B5A"/>
    <w:rsid w:val="00475EA8"/>
    <w:rsid w:val="00476953"/>
    <w:rsid w:val="004817D4"/>
    <w:rsid w:val="00490D80"/>
    <w:rsid w:val="00493670"/>
    <w:rsid w:val="00493EFB"/>
    <w:rsid w:val="00495E46"/>
    <w:rsid w:val="00496F35"/>
    <w:rsid w:val="00497335"/>
    <w:rsid w:val="004A0DF6"/>
    <w:rsid w:val="004A1EDB"/>
    <w:rsid w:val="004A202C"/>
    <w:rsid w:val="004A6F53"/>
    <w:rsid w:val="004B47EF"/>
    <w:rsid w:val="004B755E"/>
    <w:rsid w:val="004C09BD"/>
    <w:rsid w:val="004C3D64"/>
    <w:rsid w:val="004C6181"/>
    <w:rsid w:val="004C7178"/>
    <w:rsid w:val="004C755B"/>
    <w:rsid w:val="004C75AE"/>
    <w:rsid w:val="004D050E"/>
    <w:rsid w:val="004D0B18"/>
    <w:rsid w:val="004D281D"/>
    <w:rsid w:val="004D7686"/>
    <w:rsid w:val="004E0340"/>
    <w:rsid w:val="004E2E13"/>
    <w:rsid w:val="004E435C"/>
    <w:rsid w:val="004F0090"/>
    <w:rsid w:val="004F407B"/>
    <w:rsid w:val="004F4476"/>
    <w:rsid w:val="00503619"/>
    <w:rsid w:val="005077AF"/>
    <w:rsid w:val="005127EB"/>
    <w:rsid w:val="00516DBC"/>
    <w:rsid w:val="00517FE7"/>
    <w:rsid w:val="00520858"/>
    <w:rsid w:val="00530DFB"/>
    <w:rsid w:val="00530F23"/>
    <w:rsid w:val="00531185"/>
    <w:rsid w:val="00534049"/>
    <w:rsid w:val="00535E5F"/>
    <w:rsid w:val="0053671B"/>
    <w:rsid w:val="00537FFA"/>
    <w:rsid w:val="005410D6"/>
    <w:rsid w:val="00543B7D"/>
    <w:rsid w:val="00550202"/>
    <w:rsid w:val="0055504B"/>
    <w:rsid w:val="00570090"/>
    <w:rsid w:val="0058316C"/>
    <w:rsid w:val="00597705"/>
    <w:rsid w:val="005A3C5E"/>
    <w:rsid w:val="005A404F"/>
    <w:rsid w:val="005A72EF"/>
    <w:rsid w:val="005A7B69"/>
    <w:rsid w:val="005B1C92"/>
    <w:rsid w:val="005C1E9D"/>
    <w:rsid w:val="005C3458"/>
    <w:rsid w:val="005C4596"/>
    <w:rsid w:val="005D2149"/>
    <w:rsid w:val="005E0C03"/>
    <w:rsid w:val="005E2A99"/>
    <w:rsid w:val="005E548B"/>
    <w:rsid w:val="005E6352"/>
    <w:rsid w:val="00601902"/>
    <w:rsid w:val="00606741"/>
    <w:rsid w:val="00606915"/>
    <w:rsid w:val="00607AB8"/>
    <w:rsid w:val="00607EF1"/>
    <w:rsid w:val="0061168D"/>
    <w:rsid w:val="00613EFC"/>
    <w:rsid w:val="00621EED"/>
    <w:rsid w:val="0062412E"/>
    <w:rsid w:val="00624136"/>
    <w:rsid w:val="006278EF"/>
    <w:rsid w:val="00636C3A"/>
    <w:rsid w:val="0065164C"/>
    <w:rsid w:val="006516DE"/>
    <w:rsid w:val="00653029"/>
    <w:rsid w:val="0065696D"/>
    <w:rsid w:val="006607E4"/>
    <w:rsid w:val="00666091"/>
    <w:rsid w:val="00672777"/>
    <w:rsid w:val="00673CA1"/>
    <w:rsid w:val="00676C1C"/>
    <w:rsid w:val="006801B3"/>
    <w:rsid w:val="0068449D"/>
    <w:rsid w:val="00693CBE"/>
    <w:rsid w:val="006953C1"/>
    <w:rsid w:val="006A16D7"/>
    <w:rsid w:val="006A3FD8"/>
    <w:rsid w:val="006A4331"/>
    <w:rsid w:val="006A5DBD"/>
    <w:rsid w:val="006A6966"/>
    <w:rsid w:val="006B6354"/>
    <w:rsid w:val="006C77FE"/>
    <w:rsid w:val="006D1973"/>
    <w:rsid w:val="006D5857"/>
    <w:rsid w:val="006F712F"/>
    <w:rsid w:val="00705BDA"/>
    <w:rsid w:val="0072039D"/>
    <w:rsid w:val="007214A4"/>
    <w:rsid w:val="007219A0"/>
    <w:rsid w:val="00725035"/>
    <w:rsid w:val="00726065"/>
    <w:rsid w:val="00730D4F"/>
    <w:rsid w:val="007324BD"/>
    <w:rsid w:val="00732B6A"/>
    <w:rsid w:val="0073308C"/>
    <w:rsid w:val="007364D7"/>
    <w:rsid w:val="00740651"/>
    <w:rsid w:val="00741167"/>
    <w:rsid w:val="00751607"/>
    <w:rsid w:val="007612FE"/>
    <w:rsid w:val="00764E9F"/>
    <w:rsid w:val="00765610"/>
    <w:rsid w:val="00773C2C"/>
    <w:rsid w:val="0077590E"/>
    <w:rsid w:val="007850D0"/>
    <w:rsid w:val="0078624D"/>
    <w:rsid w:val="00790751"/>
    <w:rsid w:val="00791A93"/>
    <w:rsid w:val="00793F10"/>
    <w:rsid w:val="0079407B"/>
    <w:rsid w:val="00796177"/>
    <w:rsid w:val="007969FF"/>
    <w:rsid w:val="00796DED"/>
    <w:rsid w:val="00797635"/>
    <w:rsid w:val="00797C38"/>
    <w:rsid w:val="007A60D1"/>
    <w:rsid w:val="007B0124"/>
    <w:rsid w:val="007B42DC"/>
    <w:rsid w:val="007B6AE8"/>
    <w:rsid w:val="007C13BB"/>
    <w:rsid w:val="007C1995"/>
    <w:rsid w:val="007C5825"/>
    <w:rsid w:val="007C66F7"/>
    <w:rsid w:val="007F421C"/>
    <w:rsid w:val="007F682C"/>
    <w:rsid w:val="007F6C99"/>
    <w:rsid w:val="00801FD5"/>
    <w:rsid w:val="008021E9"/>
    <w:rsid w:val="008065BC"/>
    <w:rsid w:val="00807303"/>
    <w:rsid w:val="0081082C"/>
    <w:rsid w:val="00817D24"/>
    <w:rsid w:val="00821CFD"/>
    <w:rsid w:val="008238C0"/>
    <w:rsid w:val="00832542"/>
    <w:rsid w:val="00837CD9"/>
    <w:rsid w:val="00843B2E"/>
    <w:rsid w:val="00844ACD"/>
    <w:rsid w:val="008460FE"/>
    <w:rsid w:val="008473FB"/>
    <w:rsid w:val="00850460"/>
    <w:rsid w:val="008516D2"/>
    <w:rsid w:val="00851E20"/>
    <w:rsid w:val="00852EBE"/>
    <w:rsid w:val="008534C7"/>
    <w:rsid w:val="008548E4"/>
    <w:rsid w:val="008625FF"/>
    <w:rsid w:val="00867761"/>
    <w:rsid w:val="008727A6"/>
    <w:rsid w:val="00873774"/>
    <w:rsid w:val="0087486A"/>
    <w:rsid w:val="00876CC4"/>
    <w:rsid w:val="00884469"/>
    <w:rsid w:val="008868AA"/>
    <w:rsid w:val="00887367"/>
    <w:rsid w:val="008876C2"/>
    <w:rsid w:val="008965EA"/>
    <w:rsid w:val="008A25EC"/>
    <w:rsid w:val="008A7BB0"/>
    <w:rsid w:val="008A7E4D"/>
    <w:rsid w:val="008C0513"/>
    <w:rsid w:val="008C0F9E"/>
    <w:rsid w:val="008C469A"/>
    <w:rsid w:val="008C4FE6"/>
    <w:rsid w:val="008C5854"/>
    <w:rsid w:val="008C70BB"/>
    <w:rsid w:val="008D55BA"/>
    <w:rsid w:val="008D61E7"/>
    <w:rsid w:val="008D6F4E"/>
    <w:rsid w:val="008E1F30"/>
    <w:rsid w:val="008F1AD7"/>
    <w:rsid w:val="008F6A40"/>
    <w:rsid w:val="008F7B6E"/>
    <w:rsid w:val="0090110A"/>
    <w:rsid w:val="00901938"/>
    <w:rsid w:val="009115A9"/>
    <w:rsid w:val="00925B71"/>
    <w:rsid w:val="0093001F"/>
    <w:rsid w:val="00932090"/>
    <w:rsid w:val="009360AD"/>
    <w:rsid w:val="00937B2A"/>
    <w:rsid w:val="009414DF"/>
    <w:rsid w:val="009419B1"/>
    <w:rsid w:val="0094509B"/>
    <w:rsid w:val="00946022"/>
    <w:rsid w:val="0095449D"/>
    <w:rsid w:val="00956413"/>
    <w:rsid w:val="009633CF"/>
    <w:rsid w:val="009633DA"/>
    <w:rsid w:val="0096391F"/>
    <w:rsid w:val="0096406A"/>
    <w:rsid w:val="009640B3"/>
    <w:rsid w:val="00964B45"/>
    <w:rsid w:val="009678B7"/>
    <w:rsid w:val="00971B5C"/>
    <w:rsid w:val="00977ADC"/>
    <w:rsid w:val="00981A7C"/>
    <w:rsid w:val="00983223"/>
    <w:rsid w:val="00983B13"/>
    <w:rsid w:val="009845E7"/>
    <w:rsid w:val="00986A7F"/>
    <w:rsid w:val="00992484"/>
    <w:rsid w:val="0099731B"/>
    <w:rsid w:val="009A0BD5"/>
    <w:rsid w:val="009A32A4"/>
    <w:rsid w:val="009A696E"/>
    <w:rsid w:val="009B3232"/>
    <w:rsid w:val="009B4F81"/>
    <w:rsid w:val="009C11A4"/>
    <w:rsid w:val="009C1AC6"/>
    <w:rsid w:val="009E39A5"/>
    <w:rsid w:val="009E50AD"/>
    <w:rsid w:val="009E7A66"/>
    <w:rsid w:val="009F0090"/>
    <w:rsid w:val="00A01027"/>
    <w:rsid w:val="00A03349"/>
    <w:rsid w:val="00A057F7"/>
    <w:rsid w:val="00A05D7D"/>
    <w:rsid w:val="00A05E46"/>
    <w:rsid w:val="00A0662B"/>
    <w:rsid w:val="00A10FBF"/>
    <w:rsid w:val="00A17322"/>
    <w:rsid w:val="00A242F2"/>
    <w:rsid w:val="00A32B29"/>
    <w:rsid w:val="00A40D6A"/>
    <w:rsid w:val="00A4293D"/>
    <w:rsid w:val="00A46017"/>
    <w:rsid w:val="00A47650"/>
    <w:rsid w:val="00A558AF"/>
    <w:rsid w:val="00A55CC9"/>
    <w:rsid w:val="00A614BC"/>
    <w:rsid w:val="00A625F6"/>
    <w:rsid w:val="00A63361"/>
    <w:rsid w:val="00A64912"/>
    <w:rsid w:val="00A6570B"/>
    <w:rsid w:val="00A67353"/>
    <w:rsid w:val="00A74CE4"/>
    <w:rsid w:val="00A75560"/>
    <w:rsid w:val="00A76031"/>
    <w:rsid w:val="00A8572E"/>
    <w:rsid w:val="00A86CC8"/>
    <w:rsid w:val="00A90DB3"/>
    <w:rsid w:val="00A923CC"/>
    <w:rsid w:val="00A92E86"/>
    <w:rsid w:val="00A96275"/>
    <w:rsid w:val="00AA415D"/>
    <w:rsid w:val="00AA7181"/>
    <w:rsid w:val="00AB537F"/>
    <w:rsid w:val="00AB5676"/>
    <w:rsid w:val="00AC2E3A"/>
    <w:rsid w:val="00AD0B57"/>
    <w:rsid w:val="00AD51D5"/>
    <w:rsid w:val="00AD6223"/>
    <w:rsid w:val="00AD656D"/>
    <w:rsid w:val="00AE072B"/>
    <w:rsid w:val="00AE2769"/>
    <w:rsid w:val="00AE3548"/>
    <w:rsid w:val="00AE4551"/>
    <w:rsid w:val="00AE4620"/>
    <w:rsid w:val="00AF0D7F"/>
    <w:rsid w:val="00B00536"/>
    <w:rsid w:val="00B074EB"/>
    <w:rsid w:val="00B177FE"/>
    <w:rsid w:val="00B21DE1"/>
    <w:rsid w:val="00B22D81"/>
    <w:rsid w:val="00B410B9"/>
    <w:rsid w:val="00B41B24"/>
    <w:rsid w:val="00B478C3"/>
    <w:rsid w:val="00B503D8"/>
    <w:rsid w:val="00B53F40"/>
    <w:rsid w:val="00B56882"/>
    <w:rsid w:val="00B5707A"/>
    <w:rsid w:val="00B7027B"/>
    <w:rsid w:val="00B719FD"/>
    <w:rsid w:val="00B76D45"/>
    <w:rsid w:val="00B80536"/>
    <w:rsid w:val="00B86EFF"/>
    <w:rsid w:val="00B87D0C"/>
    <w:rsid w:val="00B9162D"/>
    <w:rsid w:val="00B91994"/>
    <w:rsid w:val="00B93FB5"/>
    <w:rsid w:val="00BA0586"/>
    <w:rsid w:val="00BA0F51"/>
    <w:rsid w:val="00BA107C"/>
    <w:rsid w:val="00BA5158"/>
    <w:rsid w:val="00BA7D3E"/>
    <w:rsid w:val="00BB3F5D"/>
    <w:rsid w:val="00BC7020"/>
    <w:rsid w:val="00BD0B61"/>
    <w:rsid w:val="00BD1DA9"/>
    <w:rsid w:val="00BF1FE7"/>
    <w:rsid w:val="00BF23AF"/>
    <w:rsid w:val="00BF25A5"/>
    <w:rsid w:val="00C06615"/>
    <w:rsid w:val="00C06973"/>
    <w:rsid w:val="00C107D9"/>
    <w:rsid w:val="00C13390"/>
    <w:rsid w:val="00C13444"/>
    <w:rsid w:val="00C13457"/>
    <w:rsid w:val="00C277F1"/>
    <w:rsid w:val="00C31A7E"/>
    <w:rsid w:val="00C35B34"/>
    <w:rsid w:val="00C35B53"/>
    <w:rsid w:val="00C425CD"/>
    <w:rsid w:val="00C43CDC"/>
    <w:rsid w:val="00C51A96"/>
    <w:rsid w:val="00C5218D"/>
    <w:rsid w:val="00C54CF4"/>
    <w:rsid w:val="00C6097A"/>
    <w:rsid w:val="00C60A9C"/>
    <w:rsid w:val="00C64BF3"/>
    <w:rsid w:val="00C7252D"/>
    <w:rsid w:val="00C858A8"/>
    <w:rsid w:val="00C90DEB"/>
    <w:rsid w:val="00C9109A"/>
    <w:rsid w:val="00C926A2"/>
    <w:rsid w:val="00CB1491"/>
    <w:rsid w:val="00CB22D8"/>
    <w:rsid w:val="00CC2DF6"/>
    <w:rsid w:val="00CC610C"/>
    <w:rsid w:val="00CD1121"/>
    <w:rsid w:val="00CD5557"/>
    <w:rsid w:val="00CE0F1A"/>
    <w:rsid w:val="00CE2A61"/>
    <w:rsid w:val="00CE6986"/>
    <w:rsid w:val="00CF1D61"/>
    <w:rsid w:val="00D02A7A"/>
    <w:rsid w:val="00D0363E"/>
    <w:rsid w:val="00D03EF3"/>
    <w:rsid w:val="00D11D38"/>
    <w:rsid w:val="00D15E81"/>
    <w:rsid w:val="00D2024F"/>
    <w:rsid w:val="00D20BE3"/>
    <w:rsid w:val="00D25DE7"/>
    <w:rsid w:val="00D2616D"/>
    <w:rsid w:val="00D314EC"/>
    <w:rsid w:val="00D31A13"/>
    <w:rsid w:val="00D3487F"/>
    <w:rsid w:val="00D36771"/>
    <w:rsid w:val="00D439ED"/>
    <w:rsid w:val="00D45F4E"/>
    <w:rsid w:val="00D522BE"/>
    <w:rsid w:val="00D553AC"/>
    <w:rsid w:val="00D60569"/>
    <w:rsid w:val="00D61B53"/>
    <w:rsid w:val="00D62186"/>
    <w:rsid w:val="00D648A1"/>
    <w:rsid w:val="00D67F3B"/>
    <w:rsid w:val="00D703D7"/>
    <w:rsid w:val="00D71567"/>
    <w:rsid w:val="00D822BF"/>
    <w:rsid w:val="00D85673"/>
    <w:rsid w:val="00D85AB1"/>
    <w:rsid w:val="00D97293"/>
    <w:rsid w:val="00DA182F"/>
    <w:rsid w:val="00DA61CE"/>
    <w:rsid w:val="00DA6941"/>
    <w:rsid w:val="00DB2B6F"/>
    <w:rsid w:val="00DB49E9"/>
    <w:rsid w:val="00DB4DBB"/>
    <w:rsid w:val="00DC60C2"/>
    <w:rsid w:val="00DC7470"/>
    <w:rsid w:val="00DD083A"/>
    <w:rsid w:val="00DD7A93"/>
    <w:rsid w:val="00E02E85"/>
    <w:rsid w:val="00E077E0"/>
    <w:rsid w:val="00E13416"/>
    <w:rsid w:val="00E166BD"/>
    <w:rsid w:val="00E200A8"/>
    <w:rsid w:val="00E2357A"/>
    <w:rsid w:val="00E2472D"/>
    <w:rsid w:val="00E267AE"/>
    <w:rsid w:val="00E2748E"/>
    <w:rsid w:val="00E315D4"/>
    <w:rsid w:val="00E36099"/>
    <w:rsid w:val="00E40195"/>
    <w:rsid w:val="00E40B2F"/>
    <w:rsid w:val="00E42486"/>
    <w:rsid w:val="00E42899"/>
    <w:rsid w:val="00E4649B"/>
    <w:rsid w:val="00E5106D"/>
    <w:rsid w:val="00E53930"/>
    <w:rsid w:val="00E60C79"/>
    <w:rsid w:val="00E62307"/>
    <w:rsid w:val="00E7260E"/>
    <w:rsid w:val="00E82ABB"/>
    <w:rsid w:val="00E868EB"/>
    <w:rsid w:val="00E90C73"/>
    <w:rsid w:val="00E97643"/>
    <w:rsid w:val="00EA456F"/>
    <w:rsid w:val="00EB0C88"/>
    <w:rsid w:val="00EB6E15"/>
    <w:rsid w:val="00EB7A3D"/>
    <w:rsid w:val="00EC12C7"/>
    <w:rsid w:val="00EC39B9"/>
    <w:rsid w:val="00ED04CE"/>
    <w:rsid w:val="00ED16ED"/>
    <w:rsid w:val="00EE1525"/>
    <w:rsid w:val="00EE46B4"/>
    <w:rsid w:val="00EE6509"/>
    <w:rsid w:val="00EF38B5"/>
    <w:rsid w:val="00F00324"/>
    <w:rsid w:val="00F01891"/>
    <w:rsid w:val="00F0355F"/>
    <w:rsid w:val="00F059F3"/>
    <w:rsid w:val="00F114BC"/>
    <w:rsid w:val="00F160D3"/>
    <w:rsid w:val="00F24EE3"/>
    <w:rsid w:val="00F25FC8"/>
    <w:rsid w:val="00F31F54"/>
    <w:rsid w:val="00F34865"/>
    <w:rsid w:val="00F40C6C"/>
    <w:rsid w:val="00F43BDB"/>
    <w:rsid w:val="00F455E3"/>
    <w:rsid w:val="00F45C2B"/>
    <w:rsid w:val="00F47060"/>
    <w:rsid w:val="00F47C7A"/>
    <w:rsid w:val="00F61BDA"/>
    <w:rsid w:val="00F6368F"/>
    <w:rsid w:val="00F63F69"/>
    <w:rsid w:val="00F742D1"/>
    <w:rsid w:val="00F753A3"/>
    <w:rsid w:val="00F764D5"/>
    <w:rsid w:val="00F81A72"/>
    <w:rsid w:val="00F82EAA"/>
    <w:rsid w:val="00F84CC5"/>
    <w:rsid w:val="00F91C3D"/>
    <w:rsid w:val="00F9214E"/>
    <w:rsid w:val="00FA0E2F"/>
    <w:rsid w:val="00FA511A"/>
    <w:rsid w:val="00FA6F76"/>
    <w:rsid w:val="00FA7AF8"/>
    <w:rsid w:val="00FB3A7F"/>
    <w:rsid w:val="00FB6232"/>
    <w:rsid w:val="00FC7956"/>
    <w:rsid w:val="00FD1BB5"/>
    <w:rsid w:val="00FD269B"/>
    <w:rsid w:val="00FD474C"/>
    <w:rsid w:val="00FD5BD2"/>
    <w:rsid w:val="00FD65EC"/>
    <w:rsid w:val="00FE080E"/>
    <w:rsid w:val="00FE0C1A"/>
    <w:rsid w:val="00FE3BA3"/>
    <w:rsid w:val="00FF3F79"/>
    <w:rsid w:val="00FF4D5E"/>
    <w:rsid w:val="00FF5E4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C03017"/>
  <w15:chartTrackingRefBased/>
  <w15:docId w15:val="{8ECF9B7B-B8E2-40C0-A59A-1116FCBC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2E3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yajntabuka2">
    <w:name w:val="Plain Table 2"/>
    <w:basedOn w:val="Normlnatabuka"/>
    <w:uiPriority w:val="42"/>
    <w:rsid w:val="00C725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textovprepojenie">
    <w:name w:val="Hyperlink"/>
    <w:basedOn w:val="Predvolenpsmoodseku"/>
    <w:uiPriority w:val="99"/>
    <w:unhideWhenUsed/>
    <w:rsid w:val="00AD6223"/>
    <w:rPr>
      <w:color w:val="0563C1" w:themeColor="hyperlink"/>
      <w:u w:val="single"/>
    </w:rPr>
  </w:style>
  <w:style w:type="character" w:styleId="Nevyrieenzmienka">
    <w:name w:val="Unresolved Mention"/>
    <w:basedOn w:val="Predvolenpsmoodseku"/>
    <w:uiPriority w:val="99"/>
    <w:semiHidden/>
    <w:unhideWhenUsed/>
    <w:rsid w:val="00AD6223"/>
    <w:rPr>
      <w:color w:val="605E5C"/>
      <w:shd w:val="clear" w:color="auto" w:fill="E1DFDD"/>
    </w:rPr>
  </w:style>
  <w:style w:type="table" w:styleId="Obyajntabuka4">
    <w:name w:val="Plain Table 4"/>
    <w:basedOn w:val="Normlnatabuka"/>
    <w:uiPriority w:val="44"/>
    <w:rsid w:val="00D85A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5">
    <w:name w:val="Plain Table 5"/>
    <w:basedOn w:val="Normlnatabuka"/>
    <w:uiPriority w:val="45"/>
    <w:rsid w:val="00D85A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dsekzoznamu">
    <w:name w:val="List Paragraph"/>
    <w:basedOn w:val="Normlny"/>
    <w:uiPriority w:val="34"/>
    <w:qFormat/>
    <w:rsid w:val="00D703D7"/>
    <w:pPr>
      <w:ind w:left="720"/>
      <w:contextualSpacing/>
    </w:pPr>
  </w:style>
  <w:style w:type="character" w:styleId="Zstupntext">
    <w:name w:val="Placeholder Text"/>
    <w:basedOn w:val="Predvolenpsmoodseku"/>
    <w:uiPriority w:val="99"/>
    <w:semiHidden/>
    <w:rsid w:val="002D6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6670">
      <w:bodyDiv w:val="1"/>
      <w:marLeft w:val="0"/>
      <w:marRight w:val="0"/>
      <w:marTop w:val="0"/>
      <w:marBottom w:val="0"/>
      <w:divBdr>
        <w:top w:val="none" w:sz="0" w:space="0" w:color="auto"/>
        <w:left w:val="none" w:sz="0" w:space="0" w:color="auto"/>
        <w:bottom w:val="none" w:sz="0" w:space="0" w:color="auto"/>
        <w:right w:val="none" w:sz="0" w:space="0" w:color="auto"/>
      </w:divBdr>
    </w:div>
    <w:div w:id="207685636">
      <w:bodyDiv w:val="1"/>
      <w:marLeft w:val="0"/>
      <w:marRight w:val="0"/>
      <w:marTop w:val="0"/>
      <w:marBottom w:val="0"/>
      <w:divBdr>
        <w:top w:val="none" w:sz="0" w:space="0" w:color="auto"/>
        <w:left w:val="none" w:sz="0" w:space="0" w:color="auto"/>
        <w:bottom w:val="none" w:sz="0" w:space="0" w:color="auto"/>
        <w:right w:val="none" w:sz="0" w:space="0" w:color="auto"/>
      </w:divBdr>
    </w:div>
    <w:div w:id="602223198">
      <w:bodyDiv w:val="1"/>
      <w:marLeft w:val="0"/>
      <w:marRight w:val="0"/>
      <w:marTop w:val="0"/>
      <w:marBottom w:val="0"/>
      <w:divBdr>
        <w:top w:val="none" w:sz="0" w:space="0" w:color="auto"/>
        <w:left w:val="none" w:sz="0" w:space="0" w:color="auto"/>
        <w:bottom w:val="none" w:sz="0" w:space="0" w:color="auto"/>
        <w:right w:val="none" w:sz="0" w:space="0" w:color="auto"/>
      </w:divBdr>
    </w:div>
    <w:div w:id="695733434">
      <w:bodyDiv w:val="1"/>
      <w:marLeft w:val="0"/>
      <w:marRight w:val="0"/>
      <w:marTop w:val="0"/>
      <w:marBottom w:val="0"/>
      <w:divBdr>
        <w:top w:val="none" w:sz="0" w:space="0" w:color="auto"/>
        <w:left w:val="none" w:sz="0" w:space="0" w:color="auto"/>
        <w:bottom w:val="none" w:sz="0" w:space="0" w:color="auto"/>
        <w:right w:val="none" w:sz="0" w:space="0" w:color="auto"/>
      </w:divBdr>
    </w:div>
    <w:div w:id="860968905">
      <w:bodyDiv w:val="1"/>
      <w:marLeft w:val="0"/>
      <w:marRight w:val="0"/>
      <w:marTop w:val="0"/>
      <w:marBottom w:val="0"/>
      <w:divBdr>
        <w:top w:val="none" w:sz="0" w:space="0" w:color="auto"/>
        <w:left w:val="none" w:sz="0" w:space="0" w:color="auto"/>
        <w:bottom w:val="none" w:sz="0" w:space="0" w:color="auto"/>
        <w:right w:val="none" w:sz="0" w:space="0" w:color="auto"/>
      </w:divBdr>
    </w:div>
    <w:div w:id="1003357657">
      <w:bodyDiv w:val="1"/>
      <w:marLeft w:val="0"/>
      <w:marRight w:val="0"/>
      <w:marTop w:val="0"/>
      <w:marBottom w:val="0"/>
      <w:divBdr>
        <w:top w:val="none" w:sz="0" w:space="0" w:color="auto"/>
        <w:left w:val="none" w:sz="0" w:space="0" w:color="auto"/>
        <w:bottom w:val="none" w:sz="0" w:space="0" w:color="auto"/>
        <w:right w:val="none" w:sz="0" w:space="0" w:color="auto"/>
      </w:divBdr>
    </w:div>
    <w:div w:id="1191803301">
      <w:bodyDiv w:val="1"/>
      <w:marLeft w:val="0"/>
      <w:marRight w:val="0"/>
      <w:marTop w:val="0"/>
      <w:marBottom w:val="0"/>
      <w:divBdr>
        <w:top w:val="none" w:sz="0" w:space="0" w:color="auto"/>
        <w:left w:val="none" w:sz="0" w:space="0" w:color="auto"/>
        <w:bottom w:val="none" w:sz="0" w:space="0" w:color="auto"/>
        <w:right w:val="none" w:sz="0" w:space="0" w:color="auto"/>
      </w:divBdr>
    </w:div>
    <w:div w:id="1210725533">
      <w:bodyDiv w:val="1"/>
      <w:marLeft w:val="0"/>
      <w:marRight w:val="0"/>
      <w:marTop w:val="0"/>
      <w:marBottom w:val="0"/>
      <w:divBdr>
        <w:top w:val="none" w:sz="0" w:space="0" w:color="auto"/>
        <w:left w:val="none" w:sz="0" w:space="0" w:color="auto"/>
        <w:bottom w:val="none" w:sz="0" w:space="0" w:color="auto"/>
        <w:right w:val="none" w:sz="0" w:space="0" w:color="auto"/>
      </w:divBdr>
    </w:div>
    <w:div w:id="1267032926">
      <w:bodyDiv w:val="1"/>
      <w:marLeft w:val="0"/>
      <w:marRight w:val="0"/>
      <w:marTop w:val="0"/>
      <w:marBottom w:val="0"/>
      <w:divBdr>
        <w:top w:val="none" w:sz="0" w:space="0" w:color="auto"/>
        <w:left w:val="none" w:sz="0" w:space="0" w:color="auto"/>
        <w:bottom w:val="none" w:sz="0" w:space="0" w:color="auto"/>
        <w:right w:val="none" w:sz="0" w:space="0" w:color="auto"/>
      </w:divBdr>
    </w:div>
    <w:div w:id="1297954521">
      <w:bodyDiv w:val="1"/>
      <w:marLeft w:val="0"/>
      <w:marRight w:val="0"/>
      <w:marTop w:val="0"/>
      <w:marBottom w:val="0"/>
      <w:divBdr>
        <w:top w:val="none" w:sz="0" w:space="0" w:color="auto"/>
        <w:left w:val="none" w:sz="0" w:space="0" w:color="auto"/>
        <w:bottom w:val="none" w:sz="0" w:space="0" w:color="auto"/>
        <w:right w:val="none" w:sz="0" w:space="0" w:color="auto"/>
      </w:divBdr>
    </w:div>
    <w:div w:id="1380477440">
      <w:bodyDiv w:val="1"/>
      <w:marLeft w:val="0"/>
      <w:marRight w:val="0"/>
      <w:marTop w:val="0"/>
      <w:marBottom w:val="0"/>
      <w:divBdr>
        <w:top w:val="none" w:sz="0" w:space="0" w:color="auto"/>
        <w:left w:val="none" w:sz="0" w:space="0" w:color="auto"/>
        <w:bottom w:val="none" w:sz="0" w:space="0" w:color="auto"/>
        <w:right w:val="none" w:sz="0" w:space="0" w:color="auto"/>
      </w:divBdr>
    </w:div>
    <w:div w:id="1401244450">
      <w:bodyDiv w:val="1"/>
      <w:marLeft w:val="0"/>
      <w:marRight w:val="0"/>
      <w:marTop w:val="0"/>
      <w:marBottom w:val="0"/>
      <w:divBdr>
        <w:top w:val="none" w:sz="0" w:space="0" w:color="auto"/>
        <w:left w:val="none" w:sz="0" w:space="0" w:color="auto"/>
        <w:bottom w:val="none" w:sz="0" w:space="0" w:color="auto"/>
        <w:right w:val="none" w:sz="0" w:space="0" w:color="auto"/>
      </w:divBdr>
    </w:div>
    <w:div w:id="1580213022">
      <w:bodyDiv w:val="1"/>
      <w:marLeft w:val="0"/>
      <w:marRight w:val="0"/>
      <w:marTop w:val="0"/>
      <w:marBottom w:val="0"/>
      <w:divBdr>
        <w:top w:val="none" w:sz="0" w:space="0" w:color="auto"/>
        <w:left w:val="none" w:sz="0" w:space="0" w:color="auto"/>
        <w:bottom w:val="none" w:sz="0" w:space="0" w:color="auto"/>
        <w:right w:val="none" w:sz="0" w:space="0" w:color="auto"/>
      </w:divBdr>
    </w:div>
    <w:div w:id="1610314067">
      <w:bodyDiv w:val="1"/>
      <w:marLeft w:val="0"/>
      <w:marRight w:val="0"/>
      <w:marTop w:val="0"/>
      <w:marBottom w:val="0"/>
      <w:divBdr>
        <w:top w:val="none" w:sz="0" w:space="0" w:color="auto"/>
        <w:left w:val="none" w:sz="0" w:space="0" w:color="auto"/>
        <w:bottom w:val="none" w:sz="0" w:space="0" w:color="auto"/>
        <w:right w:val="none" w:sz="0" w:space="0" w:color="auto"/>
      </w:divBdr>
    </w:div>
    <w:div w:id="1678462728">
      <w:bodyDiv w:val="1"/>
      <w:marLeft w:val="0"/>
      <w:marRight w:val="0"/>
      <w:marTop w:val="0"/>
      <w:marBottom w:val="0"/>
      <w:divBdr>
        <w:top w:val="none" w:sz="0" w:space="0" w:color="auto"/>
        <w:left w:val="none" w:sz="0" w:space="0" w:color="auto"/>
        <w:bottom w:val="none" w:sz="0" w:space="0" w:color="auto"/>
        <w:right w:val="none" w:sz="0" w:space="0" w:color="auto"/>
      </w:divBdr>
    </w:div>
    <w:div w:id="1699431896">
      <w:bodyDiv w:val="1"/>
      <w:marLeft w:val="0"/>
      <w:marRight w:val="0"/>
      <w:marTop w:val="0"/>
      <w:marBottom w:val="0"/>
      <w:divBdr>
        <w:top w:val="none" w:sz="0" w:space="0" w:color="auto"/>
        <w:left w:val="none" w:sz="0" w:space="0" w:color="auto"/>
        <w:bottom w:val="none" w:sz="0" w:space="0" w:color="auto"/>
        <w:right w:val="none" w:sz="0" w:space="0" w:color="auto"/>
      </w:divBdr>
    </w:div>
    <w:div w:id="1761872495">
      <w:bodyDiv w:val="1"/>
      <w:marLeft w:val="0"/>
      <w:marRight w:val="0"/>
      <w:marTop w:val="0"/>
      <w:marBottom w:val="0"/>
      <w:divBdr>
        <w:top w:val="none" w:sz="0" w:space="0" w:color="auto"/>
        <w:left w:val="none" w:sz="0" w:space="0" w:color="auto"/>
        <w:bottom w:val="none" w:sz="0" w:space="0" w:color="auto"/>
        <w:right w:val="none" w:sz="0" w:space="0" w:color="auto"/>
      </w:divBdr>
    </w:div>
    <w:div w:id="1802071511">
      <w:bodyDiv w:val="1"/>
      <w:marLeft w:val="0"/>
      <w:marRight w:val="0"/>
      <w:marTop w:val="0"/>
      <w:marBottom w:val="0"/>
      <w:divBdr>
        <w:top w:val="none" w:sz="0" w:space="0" w:color="auto"/>
        <w:left w:val="none" w:sz="0" w:space="0" w:color="auto"/>
        <w:bottom w:val="none" w:sz="0" w:space="0" w:color="auto"/>
        <w:right w:val="none" w:sz="0" w:space="0" w:color="auto"/>
      </w:divBdr>
    </w:div>
    <w:div w:id="1954823952">
      <w:bodyDiv w:val="1"/>
      <w:marLeft w:val="0"/>
      <w:marRight w:val="0"/>
      <w:marTop w:val="0"/>
      <w:marBottom w:val="0"/>
      <w:divBdr>
        <w:top w:val="none" w:sz="0" w:space="0" w:color="auto"/>
        <w:left w:val="none" w:sz="0" w:space="0" w:color="auto"/>
        <w:bottom w:val="none" w:sz="0" w:space="0" w:color="auto"/>
        <w:right w:val="none" w:sz="0" w:space="0" w:color="auto"/>
      </w:divBdr>
    </w:div>
    <w:div w:id="1982881102">
      <w:bodyDiv w:val="1"/>
      <w:marLeft w:val="0"/>
      <w:marRight w:val="0"/>
      <w:marTop w:val="0"/>
      <w:marBottom w:val="0"/>
      <w:divBdr>
        <w:top w:val="none" w:sz="0" w:space="0" w:color="auto"/>
        <w:left w:val="none" w:sz="0" w:space="0" w:color="auto"/>
        <w:bottom w:val="none" w:sz="0" w:space="0" w:color="auto"/>
        <w:right w:val="none" w:sz="0" w:space="0" w:color="auto"/>
      </w:divBdr>
    </w:div>
    <w:div w:id="1993099624">
      <w:bodyDiv w:val="1"/>
      <w:marLeft w:val="0"/>
      <w:marRight w:val="0"/>
      <w:marTop w:val="0"/>
      <w:marBottom w:val="0"/>
      <w:divBdr>
        <w:top w:val="none" w:sz="0" w:space="0" w:color="auto"/>
        <w:left w:val="none" w:sz="0" w:space="0" w:color="auto"/>
        <w:bottom w:val="none" w:sz="0" w:space="0" w:color="auto"/>
        <w:right w:val="none" w:sz="0" w:space="0" w:color="auto"/>
      </w:divBdr>
    </w:div>
    <w:div w:id="210129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3-030-82339-9_5"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c.europa.eu/eurostat/databrowser/view/TGS00005/default/table"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016/B978-008044910-4.00874-9"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7C431-8063-4671-BDD8-2F94FB0D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5329</TotalTime>
  <Pages>7</Pages>
  <Words>2269</Words>
  <Characters>12934</Characters>
  <Application>Microsoft Office Word</Application>
  <DocSecurity>0</DocSecurity>
  <Lines>107</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Bucekova</dc:creator>
  <cp:keywords/>
  <dc:description/>
  <cp:lastModifiedBy>Nina Bucekova</cp:lastModifiedBy>
  <cp:revision>3</cp:revision>
  <dcterms:created xsi:type="dcterms:W3CDTF">2023-03-28T20:20:00Z</dcterms:created>
  <dcterms:modified xsi:type="dcterms:W3CDTF">2023-04-01T13:14:00Z</dcterms:modified>
</cp:coreProperties>
</file>