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04AAC"/>
          <w:sz w:val="44"/>
        </w:rPr>
        <w:t>Strategy Handoff &amp; Go-Live Acceptance</w:t>
      </w:r>
    </w:p>
    <w:p>
      <w:r>
        <w:rPr>
          <w:rFonts w:ascii="Calibri" w:hAnsi="Calibri"/>
          <w:b w:val="0"/>
          <w:color w:val="6B7280"/>
          <w:sz w:val="24"/>
        </w:rPr>
        <w:t>Manual Trading Team  →  Automation Team</w:t>
      </w:r>
    </w:p>
    <w:p>
      <w:pPr>
        <w:spacing w:after="120"/>
      </w:pPr>
      <w:r>
        <w:rPr>
          <w:rFonts w:ascii="Calibri" w:hAnsi="Calibri"/>
          <w:b w:val="0"/>
          <w:color w:val="1A1A1A"/>
          <w:sz w:val="20"/>
        </w:rPr>
        <w:t>This template is the single source of truth for handing off a profitable strategy from the manual trading team to the automation team. It defines two acceptance gates: Stage 1 — Handoff to Automation (the strategy is well-specified enough to be coded), and Stage 2 — Go-Live in Production (the automated build is proven and ready for real capital). A strategy may not advance to the next stage until every item in that stage's checklist is signed off by both teams.</w:t>
      </w:r>
    </w:p>
    <w:p>
      <w:pPr>
        <w:spacing w:before="280" w:after="80"/>
        <w:pBdr>
          <w:bottom w:val="single" w:sz="8" w:space="1" w:color="BDD4F5"/>
        </w:pBdr>
      </w:pPr>
      <w:r>
        <w:rPr>
          <w:rFonts w:ascii="Calibri" w:hAnsi="Calibri"/>
          <w:b/>
          <w:color w:val="004AAC"/>
          <w:sz w:val="28"/>
        </w:rPr>
        <w:t>1. Strategy Identity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color="auto" w:fill="F4F7FC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  <w:vAlign w:val="center"/>
          </w:tcPr>
          <w:p>
            <w:r>
              <w:rPr>
                <w:rFonts w:ascii="Calibri" w:hAnsi="Calibri"/>
                <w:b/>
                <w:color w:val="004AAC"/>
                <w:sz w:val="20"/>
              </w:rPr>
              <w:t>Strategy name</w:t>
            </w:r>
          </w:p>
        </w:tc>
        <w:tc>
          <w:tcPr>
            <w:tcW w:type="dxa" w:w="6520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  <w:vAlign w:val="center"/>
          </w:tcPr>
          <w:p>
            <w:r>
              <w:rPr>
                <w:rFonts w:ascii="Calibri" w:hAnsi="Calibri"/>
                <w:b w:val="0"/>
                <w:color w:val="6B7280"/>
                <w:sz w:val="20"/>
              </w:rPr>
              <w:t>&lt;short, unique name&gt;</w:t>
            </w:r>
          </w:p>
        </w:tc>
      </w:tr>
      <w:tr>
        <w:tc>
          <w:tcPr>
            <w:tcW w:type="dxa" w:w="2835"/>
            <w:shd w:val="clear" w:color="auto" w:fill="F4F7FC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  <w:vAlign w:val="center"/>
          </w:tcPr>
          <w:p>
            <w:r>
              <w:rPr>
                <w:rFonts w:ascii="Calibri" w:hAnsi="Calibri"/>
                <w:b/>
                <w:color w:val="004AAC"/>
                <w:sz w:val="20"/>
              </w:rPr>
              <w:t>Author / submitter</w:t>
            </w:r>
          </w:p>
        </w:tc>
        <w:tc>
          <w:tcPr>
            <w:tcW w:type="dxa" w:w="6520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  <w:vAlign w:val="center"/>
          </w:tcPr>
          <w:p>
            <w:r>
              <w:rPr>
                <w:rFonts w:ascii="Calibri" w:hAnsi="Calibri"/>
                <w:b w:val="0"/>
                <w:color w:val="6B7280"/>
                <w:sz w:val="20"/>
              </w:rPr>
              <w:t>&lt;manual team member&gt;</w:t>
            </w:r>
          </w:p>
        </w:tc>
      </w:tr>
      <w:tr>
        <w:tc>
          <w:tcPr>
            <w:tcW w:type="dxa" w:w="2835"/>
            <w:shd w:val="clear" w:color="auto" w:fill="F4F7FC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  <w:vAlign w:val="center"/>
          </w:tcPr>
          <w:p>
            <w:r>
              <w:rPr>
                <w:rFonts w:ascii="Calibri" w:hAnsi="Calibri"/>
                <w:b/>
                <w:color w:val="004AAC"/>
                <w:sz w:val="20"/>
              </w:rPr>
              <w:t>Submission date</w:t>
            </w:r>
          </w:p>
        </w:tc>
        <w:tc>
          <w:tcPr>
            <w:tcW w:type="dxa" w:w="6520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  <w:vAlign w:val="center"/>
          </w:tcPr>
          <w:p>
            <w:r>
              <w:rPr>
                <w:rFonts w:ascii="Calibri" w:hAnsi="Calibri"/>
                <w:b w:val="0"/>
                <w:color w:val="6B7280"/>
                <w:sz w:val="20"/>
              </w:rPr>
              <w:t>&lt;YYYY-MM-DD&gt;</w:t>
            </w:r>
          </w:p>
        </w:tc>
      </w:tr>
      <w:tr>
        <w:tc>
          <w:tcPr>
            <w:tcW w:type="dxa" w:w="2835"/>
            <w:shd w:val="clear" w:color="auto" w:fill="F4F7FC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  <w:vAlign w:val="center"/>
          </w:tcPr>
          <w:p>
            <w:r>
              <w:rPr>
                <w:rFonts w:ascii="Calibri" w:hAnsi="Calibri"/>
                <w:b/>
                <w:color w:val="004AAC"/>
                <w:sz w:val="20"/>
              </w:rPr>
              <w:t>Version</w:t>
            </w:r>
          </w:p>
        </w:tc>
        <w:tc>
          <w:tcPr>
            <w:tcW w:type="dxa" w:w="6520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  <w:vAlign w:val="center"/>
          </w:tcPr>
          <w:p>
            <w:r>
              <w:rPr>
                <w:rFonts w:ascii="Calibri" w:hAnsi="Calibri"/>
                <w:b w:val="0"/>
                <w:color w:val="6B7280"/>
                <w:sz w:val="20"/>
              </w:rPr>
              <w:t>&lt;v1.0&gt;</w:t>
            </w:r>
          </w:p>
        </w:tc>
      </w:tr>
      <w:tr>
        <w:tc>
          <w:tcPr>
            <w:tcW w:type="dxa" w:w="2835"/>
            <w:shd w:val="clear" w:color="auto" w:fill="F4F7FC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  <w:vAlign w:val="center"/>
          </w:tcPr>
          <w:p>
            <w:r>
              <w:rPr>
                <w:rFonts w:ascii="Calibri" w:hAnsi="Calibri"/>
                <w:b/>
                <w:color w:val="004AAC"/>
                <w:sz w:val="20"/>
              </w:rPr>
              <w:t>Strategy ID</w:t>
            </w:r>
          </w:p>
        </w:tc>
        <w:tc>
          <w:tcPr>
            <w:tcW w:type="dxa" w:w="6520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  <w:vAlign w:val="center"/>
          </w:tcPr>
          <w:p>
            <w:r>
              <w:rPr>
                <w:rFonts w:ascii="Calibri" w:hAnsi="Calibri"/>
                <w:b w:val="0"/>
                <w:color w:val="6B7280"/>
                <w:sz w:val="20"/>
              </w:rPr>
              <w:t>&lt;assigned by automation team&gt;</w:t>
            </w:r>
          </w:p>
        </w:tc>
      </w:tr>
      <w:tr>
        <w:tc>
          <w:tcPr>
            <w:tcW w:type="dxa" w:w="2835"/>
            <w:shd w:val="clear" w:color="auto" w:fill="F4F7FC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  <w:vAlign w:val="center"/>
          </w:tcPr>
          <w:p>
            <w:r>
              <w:rPr>
                <w:rFonts w:ascii="Calibri" w:hAnsi="Calibri"/>
                <w:b/>
                <w:color w:val="004AAC"/>
                <w:sz w:val="20"/>
              </w:rPr>
              <w:t>Short description</w:t>
            </w:r>
          </w:p>
        </w:tc>
        <w:tc>
          <w:tcPr>
            <w:tcW w:type="dxa" w:w="6520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  <w:vAlign w:val="center"/>
          </w:tcPr>
          <w:p>
            <w:r>
              <w:rPr>
                <w:rFonts w:ascii="Calibri" w:hAnsi="Calibri"/>
                <w:b w:val="0"/>
                <w:color w:val="6B7280"/>
                <w:sz w:val="20"/>
              </w:rPr>
              <w:t>&lt;one paragraph: what edge does this exploit?&gt;</w:t>
            </w:r>
          </w:p>
        </w:tc>
      </w:tr>
      <w:tr>
        <w:tc>
          <w:tcPr>
            <w:tcW w:type="dxa" w:w="2835"/>
            <w:shd w:val="clear" w:color="auto" w:fill="F4F7FC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  <w:vAlign w:val="center"/>
          </w:tcPr>
          <w:p>
            <w:r>
              <w:rPr>
                <w:rFonts w:ascii="Calibri" w:hAnsi="Calibri"/>
                <w:b/>
                <w:color w:val="004AAC"/>
                <w:sz w:val="20"/>
              </w:rPr>
              <w:t>Markets / instruments</w:t>
            </w:r>
          </w:p>
        </w:tc>
        <w:tc>
          <w:tcPr>
            <w:tcW w:type="dxa" w:w="6520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  <w:vAlign w:val="center"/>
          </w:tcPr>
          <w:p>
            <w:r>
              <w:rPr>
                <w:rFonts w:ascii="Calibri" w:hAnsi="Calibri"/>
                <w:b w:val="0"/>
                <w:color w:val="6B7280"/>
                <w:sz w:val="20"/>
              </w:rPr>
              <w:t>&lt;e.g. NQ, ES, EURUSD, NIFTY&gt;</w:t>
            </w:r>
          </w:p>
        </w:tc>
      </w:tr>
      <w:tr>
        <w:tc>
          <w:tcPr>
            <w:tcW w:type="dxa" w:w="2835"/>
            <w:shd w:val="clear" w:color="auto" w:fill="F4F7FC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  <w:vAlign w:val="center"/>
          </w:tcPr>
          <w:p>
            <w:r>
              <w:rPr>
                <w:rFonts w:ascii="Calibri" w:hAnsi="Calibri"/>
                <w:b/>
                <w:color w:val="004AAC"/>
                <w:sz w:val="20"/>
              </w:rPr>
              <w:t>Timeframes</w:t>
            </w:r>
          </w:p>
        </w:tc>
        <w:tc>
          <w:tcPr>
            <w:tcW w:type="dxa" w:w="6520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  <w:vAlign w:val="center"/>
          </w:tcPr>
          <w:p>
            <w:r>
              <w:rPr>
                <w:rFonts w:ascii="Calibri" w:hAnsi="Calibri"/>
                <w:b w:val="0"/>
                <w:color w:val="6B7280"/>
                <w:sz w:val="20"/>
              </w:rPr>
              <w:t>&lt;e.g. 5m chart, 1h confirmation&gt;</w:t>
            </w:r>
          </w:p>
        </w:tc>
      </w:tr>
      <w:tr>
        <w:tc>
          <w:tcPr>
            <w:tcW w:type="dxa" w:w="2835"/>
            <w:shd w:val="clear" w:color="auto" w:fill="F4F7FC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  <w:vAlign w:val="center"/>
          </w:tcPr>
          <w:p>
            <w:r>
              <w:rPr>
                <w:rFonts w:ascii="Calibri" w:hAnsi="Calibri"/>
                <w:b/>
                <w:color w:val="004AAC"/>
                <w:sz w:val="20"/>
              </w:rPr>
              <w:t>Trading sessions</w:t>
            </w:r>
          </w:p>
        </w:tc>
        <w:tc>
          <w:tcPr>
            <w:tcW w:type="dxa" w:w="6520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  <w:vAlign w:val="center"/>
          </w:tcPr>
          <w:p>
            <w:r>
              <w:rPr>
                <w:rFonts w:ascii="Calibri" w:hAnsi="Calibri"/>
                <w:b w:val="0"/>
                <w:color w:val="6B7280"/>
                <w:sz w:val="20"/>
              </w:rPr>
              <w:t>&lt;e.g. NY 09:30–11:30 ET&gt;</w:t>
            </w:r>
          </w:p>
        </w:tc>
      </w:tr>
    </w:tbl>
    <w:p>
      <w:pPr>
        <w:spacing w:before="280" w:after="80"/>
        <w:pBdr>
          <w:bottom w:val="single" w:sz="8" w:space="1" w:color="BDD4F5"/>
        </w:pBdr>
      </w:pPr>
      <w:r>
        <w:rPr>
          <w:rFonts w:ascii="Calibri" w:hAnsi="Calibri"/>
          <w:b/>
          <w:color w:val="004AAC"/>
          <w:sz w:val="28"/>
        </w:rPr>
        <w:t>Stage 1 — Handoff Acceptance Criteria</w:t>
      </w:r>
    </w:p>
    <w:p>
      <w:pPr>
        <w:spacing w:after="120"/>
      </w:pPr>
      <w:r>
        <w:rPr>
          <w:rFonts w:ascii="Calibri" w:hAnsi="Calibri"/>
          <w:b w:val="0"/>
          <w:color w:val="6B7280"/>
          <w:sz w:val="20"/>
        </w:rPr>
        <w:t>Goal: the strategy is unambiguous enough for an engineer to implement without further interpretation.</w:t>
      </w:r>
    </w:p>
    <w:p>
      <w:pPr>
        <w:spacing w:before="280" w:after="80"/>
        <w:pBdr>
          <w:bottom w:val="single" w:sz="8" w:space="1" w:color="BDD4F5"/>
        </w:pBdr>
      </w:pPr>
      <w:r>
        <w:rPr>
          <w:rFonts w:ascii="Calibri" w:hAnsi="Calibri"/>
          <w:b/>
          <w:color w:val="004AAC"/>
          <w:sz w:val="28"/>
        </w:rPr>
        <w:t>2. Indicators &amp; Settings</w:t>
      </w:r>
    </w:p>
    <w:p>
      <w:pPr>
        <w:spacing w:after="120"/>
      </w:pPr>
      <w:r>
        <w:rPr>
          <w:rFonts w:ascii="Calibri" w:hAnsi="Calibri"/>
          <w:b w:val="0"/>
          <w:color w:val="6B7280"/>
          <w:sz w:val="20"/>
        </w:rPr>
        <w:t>List every indicator the strategy depends on and its exact configuration. Anything not listed here will not be implemented.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454"/>
            <w:shd w:val="clear" w:color="auto" w:fill="004AAC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1701"/>
            <w:shd w:val="clear" w:color="auto" w:fill="004AAC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Indicator</w:t>
            </w:r>
          </w:p>
        </w:tc>
        <w:tc>
          <w:tcPr>
            <w:tcW w:type="dxa" w:w="1587"/>
            <w:shd w:val="clear" w:color="auto" w:fill="004AAC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Source / library</w:t>
            </w:r>
          </w:p>
        </w:tc>
        <w:tc>
          <w:tcPr>
            <w:tcW w:type="dxa" w:w="2268"/>
            <w:shd w:val="clear" w:color="auto" w:fill="004AAC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Parameters</w:t>
            </w:r>
          </w:p>
        </w:tc>
        <w:tc>
          <w:tcPr>
            <w:tcW w:type="dxa" w:w="1701"/>
            <w:shd w:val="clear" w:color="auto" w:fill="004AAC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Applied to (TF / price)</w:t>
            </w:r>
          </w:p>
        </w:tc>
        <w:tc>
          <w:tcPr>
            <w:tcW w:type="dxa" w:w="1644"/>
            <w:shd w:val="clear" w:color="auto" w:fill="004AAC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454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/>
          </w:p>
        </w:tc>
        <w:tc>
          <w:tcPr>
            <w:tcW w:type="dxa" w:w="1701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/>
          </w:p>
        </w:tc>
        <w:tc>
          <w:tcPr>
            <w:tcW w:type="dxa" w:w="1587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/>
          </w:p>
        </w:tc>
        <w:tc>
          <w:tcPr>
            <w:tcW w:type="dxa" w:w="2268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/>
          </w:p>
        </w:tc>
        <w:tc>
          <w:tcPr>
            <w:tcW w:type="dxa" w:w="1701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/>
          </w:p>
        </w:tc>
        <w:tc>
          <w:tcPr>
            <w:tcW w:type="dxa" w:w="1644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/>
          </w:p>
        </w:tc>
      </w:tr>
      <w:tr>
        <w:tc>
          <w:tcPr>
            <w:tcW w:type="dxa" w:w="454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/>
          </w:p>
        </w:tc>
        <w:tc>
          <w:tcPr>
            <w:tcW w:type="dxa" w:w="1701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/>
          </w:p>
        </w:tc>
        <w:tc>
          <w:tcPr>
            <w:tcW w:type="dxa" w:w="1587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/>
          </w:p>
        </w:tc>
        <w:tc>
          <w:tcPr>
            <w:tcW w:type="dxa" w:w="2268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/>
          </w:p>
        </w:tc>
        <w:tc>
          <w:tcPr>
            <w:tcW w:type="dxa" w:w="1701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/>
          </w:p>
        </w:tc>
        <w:tc>
          <w:tcPr>
            <w:tcW w:type="dxa" w:w="1644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/>
          </w:p>
        </w:tc>
      </w:tr>
      <w:tr>
        <w:tc>
          <w:tcPr>
            <w:tcW w:type="dxa" w:w="454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/>
          </w:p>
        </w:tc>
        <w:tc>
          <w:tcPr>
            <w:tcW w:type="dxa" w:w="1701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/>
          </w:p>
        </w:tc>
        <w:tc>
          <w:tcPr>
            <w:tcW w:type="dxa" w:w="1587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/>
          </w:p>
        </w:tc>
        <w:tc>
          <w:tcPr>
            <w:tcW w:type="dxa" w:w="2268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/>
          </w:p>
        </w:tc>
        <w:tc>
          <w:tcPr>
            <w:tcW w:type="dxa" w:w="1701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/>
          </w:p>
        </w:tc>
        <w:tc>
          <w:tcPr>
            <w:tcW w:type="dxa" w:w="1644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/>
          </w:p>
        </w:tc>
      </w:tr>
      <w:tr>
        <w:tc>
          <w:tcPr>
            <w:tcW w:type="dxa" w:w="454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/>
          </w:p>
        </w:tc>
        <w:tc>
          <w:tcPr>
            <w:tcW w:type="dxa" w:w="1701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/>
          </w:p>
        </w:tc>
        <w:tc>
          <w:tcPr>
            <w:tcW w:type="dxa" w:w="1587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/>
          </w:p>
        </w:tc>
        <w:tc>
          <w:tcPr>
            <w:tcW w:type="dxa" w:w="2268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/>
          </w:p>
        </w:tc>
        <w:tc>
          <w:tcPr>
            <w:tcW w:type="dxa" w:w="1701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/>
          </w:p>
        </w:tc>
        <w:tc>
          <w:tcPr>
            <w:tcW w:type="dxa" w:w="1644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/>
          </w:p>
        </w:tc>
      </w:tr>
      <w:tr>
        <w:tc>
          <w:tcPr>
            <w:tcW w:type="dxa" w:w="454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/>
          </w:p>
        </w:tc>
        <w:tc>
          <w:tcPr>
            <w:tcW w:type="dxa" w:w="1701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/>
          </w:p>
        </w:tc>
        <w:tc>
          <w:tcPr>
            <w:tcW w:type="dxa" w:w="1587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/>
          </w:p>
        </w:tc>
        <w:tc>
          <w:tcPr>
            <w:tcW w:type="dxa" w:w="2268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/>
          </w:p>
        </w:tc>
        <w:tc>
          <w:tcPr>
            <w:tcW w:type="dxa" w:w="1701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/>
          </w:p>
        </w:tc>
        <w:tc>
          <w:tcPr>
            <w:tcW w:type="dxa" w:w="1644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/>
          </w:p>
        </w:tc>
      </w:tr>
      <w:tr>
        <w:tc>
          <w:tcPr>
            <w:tcW w:type="dxa" w:w="454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/>
          </w:p>
        </w:tc>
        <w:tc>
          <w:tcPr>
            <w:tcW w:type="dxa" w:w="1701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/>
          </w:p>
        </w:tc>
        <w:tc>
          <w:tcPr>
            <w:tcW w:type="dxa" w:w="1587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/>
          </w:p>
        </w:tc>
        <w:tc>
          <w:tcPr>
            <w:tcW w:type="dxa" w:w="2268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/>
          </w:p>
        </w:tc>
        <w:tc>
          <w:tcPr>
            <w:tcW w:type="dxa" w:w="1701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/>
          </w:p>
        </w:tc>
        <w:tc>
          <w:tcPr>
            <w:tcW w:type="dxa" w:w="1644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/>
          </w:p>
        </w:tc>
      </w:tr>
    </w:tbl>
    <w:p>
      <w:pPr>
        <w:spacing w:before="280" w:after="80"/>
        <w:pBdr>
          <w:bottom w:val="single" w:sz="8" w:space="1" w:color="BDD4F5"/>
        </w:pBdr>
      </w:pPr>
      <w:r>
        <w:rPr>
          <w:rFonts w:ascii="Calibri" w:hAnsi="Calibri"/>
          <w:b/>
          <w:color w:val="004AAC"/>
          <w:sz w:val="28"/>
        </w:rPr>
        <w:t>3. Strategy Logic Clarity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680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4AAC"/>
                <w:sz w:val="28"/>
              </w:rPr>
              <w:t>☐</w:t>
            </w:r>
          </w:p>
        </w:tc>
        <w:tc>
          <w:tcPr>
            <w:tcW w:type="dxa" w:w="8674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>
              <w:rPr>
                <w:rFonts w:ascii="Calibri" w:hAnsi="Calibri"/>
                <w:b w:val="0"/>
                <w:color w:val="1A1A1A"/>
                <w:sz w:val="20"/>
              </w:rPr>
              <w:t>Entry rules are written as deterministic, ordered conditions (no discretion words like "usually", "sometimes").</w:t>
            </w:r>
          </w:p>
        </w:tc>
      </w:tr>
      <w:tr>
        <w:tc>
          <w:tcPr>
            <w:tcW w:type="dxa" w:w="680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4AAC"/>
                <w:sz w:val="28"/>
              </w:rPr>
              <w:t>☐</w:t>
            </w:r>
          </w:p>
        </w:tc>
        <w:tc>
          <w:tcPr>
            <w:tcW w:type="dxa" w:w="8674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>
              <w:rPr>
                <w:rFonts w:ascii="Calibri" w:hAnsi="Calibri"/>
                <w:b w:val="0"/>
                <w:color w:val="1A1A1A"/>
                <w:sz w:val="20"/>
              </w:rPr>
              <w:t>Exit rules are fully specified: stop loss, take profit, time-based exit, trailing logic.</w:t>
            </w:r>
          </w:p>
        </w:tc>
      </w:tr>
      <w:tr>
        <w:tc>
          <w:tcPr>
            <w:tcW w:type="dxa" w:w="680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4AAC"/>
                <w:sz w:val="28"/>
              </w:rPr>
              <w:t>☐</w:t>
            </w:r>
          </w:p>
        </w:tc>
        <w:tc>
          <w:tcPr>
            <w:tcW w:type="dxa" w:w="8674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>
              <w:rPr>
                <w:rFonts w:ascii="Calibri" w:hAnsi="Calibri"/>
                <w:b w:val="0"/>
                <w:color w:val="1A1A1A"/>
                <w:sz w:val="20"/>
              </w:rPr>
              <w:t>Trade direction logic (long-only / short-only / both) is explicit.</w:t>
            </w:r>
          </w:p>
        </w:tc>
      </w:tr>
      <w:tr>
        <w:tc>
          <w:tcPr>
            <w:tcW w:type="dxa" w:w="680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4AAC"/>
                <w:sz w:val="28"/>
              </w:rPr>
              <w:t>☐</w:t>
            </w:r>
          </w:p>
        </w:tc>
        <w:tc>
          <w:tcPr>
            <w:tcW w:type="dxa" w:w="8674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>
              <w:rPr>
                <w:rFonts w:ascii="Calibri" w:hAnsi="Calibri"/>
                <w:b w:val="0"/>
                <w:color w:val="1A1A1A"/>
                <w:sz w:val="20"/>
              </w:rPr>
              <w:t>Confluence / filter conditions are listed in the order they are evaluated.</w:t>
            </w:r>
          </w:p>
        </w:tc>
      </w:tr>
      <w:tr>
        <w:tc>
          <w:tcPr>
            <w:tcW w:type="dxa" w:w="680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4AAC"/>
                <w:sz w:val="28"/>
              </w:rPr>
              <w:t>☐</w:t>
            </w:r>
          </w:p>
        </w:tc>
        <w:tc>
          <w:tcPr>
            <w:tcW w:type="dxa" w:w="8674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>
              <w:rPr>
                <w:rFonts w:ascii="Calibri" w:hAnsi="Calibri"/>
                <w:b w:val="0"/>
                <w:color w:val="1A1A1A"/>
                <w:sz w:val="20"/>
              </w:rPr>
              <w:t>Every parameter has a default value AND an allowed range.</w:t>
            </w:r>
          </w:p>
        </w:tc>
      </w:tr>
      <w:tr>
        <w:tc>
          <w:tcPr>
            <w:tcW w:type="dxa" w:w="680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4AAC"/>
                <w:sz w:val="28"/>
              </w:rPr>
              <w:t>☐</w:t>
            </w:r>
          </w:p>
        </w:tc>
        <w:tc>
          <w:tcPr>
            <w:tcW w:type="dxa" w:w="8674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>
              <w:rPr>
                <w:rFonts w:ascii="Calibri" w:hAnsi="Calibri"/>
                <w:b w:val="0"/>
                <w:color w:val="1A1A1A"/>
                <w:sz w:val="20"/>
              </w:rPr>
              <w:t>Edge cases documented: gaps, news, holidays, partial fills, missing data.</w:t>
            </w:r>
          </w:p>
        </w:tc>
      </w:tr>
      <w:tr>
        <w:tc>
          <w:tcPr>
            <w:tcW w:type="dxa" w:w="680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4AAC"/>
                <w:sz w:val="28"/>
              </w:rPr>
              <w:t>☐</w:t>
            </w:r>
          </w:p>
        </w:tc>
        <w:tc>
          <w:tcPr>
            <w:tcW w:type="dxa" w:w="8674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>
              <w:rPr>
                <w:rFonts w:ascii="Calibri" w:hAnsi="Calibri"/>
                <w:b w:val="0"/>
                <w:color w:val="1A1A1A"/>
                <w:sz w:val="20"/>
              </w:rPr>
              <w:t>A worked example trade is attached (chart + numbered steps).</w:t>
            </w:r>
          </w:p>
        </w:tc>
      </w:tr>
    </w:tbl>
    <w:p>
      <w:pPr>
        <w:spacing w:after="40"/>
      </w:pPr>
      <w:r>
        <w:rPr>
          <w:rFonts w:ascii="Calibri" w:hAnsi="Calibri"/>
          <w:b/>
          <w:color w:val="1A1A1A"/>
          <w:sz w:val="22"/>
        </w:rPr>
        <w:t>Entry rules:</w:t>
      </w:r>
    </w:p>
    <w:p>
      <w:pPr>
        <w:spacing w:after="120"/>
      </w:pPr>
      <w:r>
        <w:rPr>
          <w:rFonts w:ascii="Calibri" w:hAnsi="Calibri"/>
          <w:b w:val="0"/>
          <w:color w:val="6B7280"/>
          <w:sz w:val="20"/>
        </w:rPr>
        <w:t>&lt;step-by-step entry conditions&gt;</w:t>
      </w:r>
    </w:p>
    <w:p>
      <w:pPr>
        <w:spacing w:after="40"/>
      </w:pPr>
      <w:r>
        <w:rPr>
          <w:rFonts w:ascii="Calibri" w:hAnsi="Calibri"/>
          <w:b/>
          <w:color w:val="1A1A1A"/>
          <w:sz w:val="22"/>
        </w:rPr>
        <w:t>Exit rules:</w:t>
      </w:r>
    </w:p>
    <w:p>
      <w:pPr>
        <w:spacing w:after="120"/>
      </w:pPr>
      <w:r>
        <w:rPr>
          <w:rFonts w:ascii="Calibri" w:hAnsi="Calibri"/>
          <w:b w:val="0"/>
          <w:color w:val="6B7280"/>
          <w:sz w:val="20"/>
        </w:rPr>
        <w:t>&lt;stop loss / take profit / trailing / time-based exits&gt;</w:t>
      </w:r>
    </w:p>
    <w:p>
      <w:pPr>
        <w:spacing w:after="40"/>
      </w:pPr>
      <w:r>
        <w:rPr>
          <w:rFonts w:ascii="Calibri" w:hAnsi="Calibri"/>
          <w:b/>
          <w:color w:val="1A1A1A"/>
          <w:sz w:val="22"/>
        </w:rPr>
        <w:t>Filters &amp; confluences:</w:t>
      </w:r>
    </w:p>
    <w:p>
      <w:pPr>
        <w:spacing w:after="120"/>
      </w:pPr>
      <w:r>
        <w:rPr>
          <w:rFonts w:ascii="Calibri" w:hAnsi="Calibri"/>
          <w:b w:val="0"/>
          <w:color w:val="6B7280"/>
          <w:sz w:val="20"/>
        </w:rPr>
        <w:t>&lt;HTF bias, session, volatility, news avoidance, etc.&gt;</w:t>
      </w:r>
    </w:p>
    <w:p>
      <w:pPr>
        <w:spacing w:before="280" w:after="80"/>
        <w:pBdr>
          <w:bottom w:val="single" w:sz="8" w:space="1" w:color="BDD4F5"/>
        </w:pBdr>
      </w:pPr>
      <w:r>
        <w:rPr>
          <w:rFonts w:ascii="Calibri" w:hAnsi="Calibri"/>
          <w:b/>
          <w:color w:val="004AAC"/>
          <w:sz w:val="28"/>
        </w:rPr>
        <w:t>4. Risk &amp; Money Management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color="auto" w:fill="F4F7FC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  <w:vAlign w:val="center"/>
          </w:tcPr>
          <w:p>
            <w:r>
              <w:rPr>
                <w:rFonts w:ascii="Calibri" w:hAnsi="Calibri"/>
                <w:b/>
                <w:color w:val="004AAC"/>
                <w:sz w:val="20"/>
              </w:rPr>
              <w:t>Risk per trade</w:t>
            </w:r>
          </w:p>
        </w:tc>
        <w:tc>
          <w:tcPr>
            <w:tcW w:type="dxa" w:w="6520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  <w:vAlign w:val="center"/>
          </w:tcPr>
          <w:p>
            <w:r>
              <w:rPr>
                <w:rFonts w:ascii="Calibri" w:hAnsi="Calibri"/>
                <w:b w:val="0"/>
                <w:color w:val="6B7280"/>
                <w:sz w:val="20"/>
              </w:rPr>
              <w:t>&lt;e.g. 0.5% of equity&gt;</w:t>
            </w:r>
          </w:p>
        </w:tc>
      </w:tr>
      <w:tr>
        <w:tc>
          <w:tcPr>
            <w:tcW w:type="dxa" w:w="2835"/>
            <w:shd w:val="clear" w:color="auto" w:fill="F4F7FC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  <w:vAlign w:val="center"/>
          </w:tcPr>
          <w:p>
            <w:r>
              <w:rPr>
                <w:rFonts w:ascii="Calibri" w:hAnsi="Calibri"/>
                <w:b/>
                <w:color w:val="004AAC"/>
                <w:sz w:val="20"/>
              </w:rPr>
              <w:t>Position sizing rule</w:t>
            </w:r>
          </w:p>
        </w:tc>
        <w:tc>
          <w:tcPr>
            <w:tcW w:type="dxa" w:w="6520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  <w:vAlign w:val="center"/>
          </w:tcPr>
          <w:p>
            <w:r>
              <w:rPr>
                <w:rFonts w:ascii="Calibri" w:hAnsi="Calibri"/>
                <w:b w:val="0"/>
                <w:color w:val="6B7280"/>
                <w:sz w:val="20"/>
              </w:rPr>
              <w:t>&lt;fixed lot / % equity / volatility-based&gt;</w:t>
            </w:r>
          </w:p>
        </w:tc>
      </w:tr>
      <w:tr>
        <w:tc>
          <w:tcPr>
            <w:tcW w:type="dxa" w:w="2835"/>
            <w:shd w:val="clear" w:color="auto" w:fill="F4F7FC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  <w:vAlign w:val="center"/>
          </w:tcPr>
          <w:p>
            <w:r>
              <w:rPr>
                <w:rFonts w:ascii="Calibri" w:hAnsi="Calibri"/>
                <w:b/>
                <w:color w:val="004AAC"/>
                <w:sz w:val="20"/>
              </w:rPr>
              <w:t>Max concurrent positions</w:t>
            </w:r>
          </w:p>
        </w:tc>
        <w:tc>
          <w:tcPr>
            <w:tcW w:type="dxa" w:w="6520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  <w:vAlign w:val="center"/>
          </w:tcPr>
          <w:p>
            <w:r>
              <w:rPr>
                <w:rFonts w:ascii="Calibri" w:hAnsi="Calibri"/>
                <w:b w:val="0"/>
                <w:color w:val="6B7280"/>
                <w:sz w:val="20"/>
              </w:rPr>
              <w:t>&lt;e.g. 2&gt;</w:t>
            </w:r>
          </w:p>
        </w:tc>
      </w:tr>
      <w:tr>
        <w:tc>
          <w:tcPr>
            <w:tcW w:type="dxa" w:w="2835"/>
            <w:shd w:val="clear" w:color="auto" w:fill="F4F7FC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  <w:vAlign w:val="center"/>
          </w:tcPr>
          <w:p>
            <w:r>
              <w:rPr>
                <w:rFonts w:ascii="Calibri" w:hAnsi="Calibri"/>
                <w:b/>
                <w:color w:val="004AAC"/>
                <w:sz w:val="20"/>
              </w:rPr>
              <w:t>Max daily loss</w:t>
            </w:r>
          </w:p>
        </w:tc>
        <w:tc>
          <w:tcPr>
            <w:tcW w:type="dxa" w:w="6520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  <w:vAlign w:val="center"/>
          </w:tcPr>
          <w:p>
            <w:r>
              <w:rPr>
                <w:rFonts w:ascii="Calibri" w:hAnsi="Calibri"/>
                <w:b w:val="0"/>
                <w:color w:val="6B7280"/>
                <w:sz w:val="20"/>
              </w:rPr>
              <w:t>&lt;e.g. 2% / hard cutoff&gt;</w:t>
            </w:r>
          </w:p>
        </w:tc>
      </w:tr>
      <w:tr>
        <w:tc>
          <w:tcPr>
            <w:tcW w:type="dxa" w:w="2835"/>
            <w:shd w:val="clear" w:color="auto" w:fill="F4F7FC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  <w:vAlign w:val="center"/>
          </w:tcPr>
          <w:p>
            <w:r>
              <w:rPr>
                <w:rFonts w:ascii="Calibri" w:hAnsi="Calibri"/>
                <w:b/>
                <w:color w:val="004AAC"/>
                <w:sz w:val="20"/>
              </w:rPr>
              <w:t>Max drawdown stop</w:t>
            </w:r>
          </w:p>
        </w:tc>
        <w:tc>
          <w:tcPr>
            <w:tcW w:type="dxa" w:w="6520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  <w:vAlign w:val="center"/>
          </w:tcPr>
          <w:p>
            <w:r>
              <w:rPr>
                <w:rFonts w:ascii="Calibri" w:hAnsi="Calibri"/>
                <w:b w:val="0"/>
                <w:color w:val="6B7280"/>
                <w:sz w:val="20"/>
              </w:rPr>
              <w:t>&lt;e.g. 8% pause-and-review&gt;</w:t>
            </w:r>
          </w:p>
        </w:tc>
      </w:tr>
      <w:tr>
        <w:tc>
          <w:tcPr>
            <w:tcW w:type="dxa" w:w="2835"/>
            <w:shd w:val="clear" w:color="auto" w:fill="F4F7FC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  <w:vAlign w:val="center"/>
          </w:tcPr>
          <w:p>
            <w:r>
              <w:rPr>
                <w:rFonts w:ascii="Calibri" w:hAnsi="Calibri"/>
                <w:b/>
                <w:color w:val="004AAC"/>
                <w:sz w:val="20"/>
              </w:rPr>
              <w:t>Correlation rules</w:t>
            </w:r>
          </w:p>
        </w:tc>
        <w:tc>
          <w:tcPr>
            <w:tcW w:type="dxa" w:w="6520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  <w:vAlign w:val="center"/>
          </w:tcPr>
          <w:p>
            <w:r>
              <w:rPr>
                <w:rFonts w:ascii="Calibri" w:hAnsi="Calibri"/>
                <w:b w:val="0"/>
                <w:color w:val="6B7280"/>
                <w:sz w:val="20"/>
              </w:rPr>
              <w:t>&lt;no two longs on correlated instruments&gt;</w:t>
            </w:r>
          </w:p>
        </w:tc>
      </w:tr>
      <w:tr>
        <w:tc>
          <w:tcPr>
            <w:tcW w:type="dxa" w:w="2835"/>
            <w:shd w:val="clear" w:color="auto" w:fill="F4F7FC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  <w:vAlign w:val="center"/>
          </w:tcPr>
          <w:p>
            <w:r>
              <w:rPr>
                <w:rFonts w:ascii="Calibri" w:hAnsi="Calibri"/>
                <w:b/>
                <w:color w:val="004AAC"/>
                <w:sz w:val="20"/>
              </w:rPr>
              <w:t>Leverage cap</w:t>
            </w:r>
          </w:p>
        </w:tc>
        <w:tc>
          <w:tcPr>
            <w:tcW w:type="dxa" w:w="6520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  <w:vAlign w:val="center"/>
          </w:tcPr>
          <w:p>
            <w:r>
              <w:rPr>
                <w:rFonts w:ascii="Calibri" w:hAnsi="Calibri"/>
                <w:b w:val="0"/>
                <w:color w:val="6B7280"/>
                <w:sz w:val="20"/>
              </w:rPr>
              <w:t>&lt;e.g. 1:10&gt;</w:t>
            </w:r>
          </w:p>
        </w:tc>
      </w:tr>
    </w:tbl>
    <w:p>
      <w:pPr>
        <w:spacing w:before="280" w:after="80"/>
        <w:pBdr>
          <w:bottom w:val="single" w:sz="8" w:space="1" w:color="BDD4F5"/>
        </w:pBdr>
      </w:pPr>
      <w:r>
        <w:rPr>
          <w:rFonts w:ascii="Calibri" w:hAnsi="Calibri"/>
          <w:b/>
          <w:color w:val="004AAC"/>
          <w:sz w:val="28"/>
        </w:rPr>
        <w:t>5. Backtest Performance (Minimum Bar)</w:t>
      </w:r>
    </w:p>
    <w:p>
      <w:pPr>
        <w:spacing w:after="120"/>
      </w:pPr>
      <w:r>
        <w:rPr>
          <w:rFonts w:ascii="Calibri" w:hAnsi="Calibri"/>
          <w:b w:val="0"/>
          <w:color w:val="6B7280"/>
          <w:sz w:val="20"/>
        </w:rPr>
        <w:t>The strategy must clear ALL minimum thresholds below on a clean, out-of-sample backtest before handoff.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3118"/>
            <w:shd w:val="clear" w:color="auto" w:fill="004AAC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2268"/>
            <w:shd w:val="clear" w:color="auto" w:fill="004AAC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Minimum required</w:t>
            </w:r>
          </w:p>
        </w:tc>
        <w:tc>
          <w:tcPr>
            <w:tcW w:type="dxa" w:w="2268"/>
            <w:shd w:val="clear" w:color="auto" w:fill="004AAC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Reported value</w:t>
            </w:r>
          </w:p>
        </w:tc>
        <w:tc>
          <w:tcPr>
            <w:tcW w:type="dxa" w:w="1701"/>
            <w:shd w:val="clear" w:color="auto" w:fill="004AAC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Pass / Fail</w:t>
            </w:r>
          </w:p>
        </w:tc>
      </w:tr>
      <w:tr>
        <w:tc>
          <w:tcPr>
            <w:tcW w:type="dxa" w:w="3118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/>
          </w:p>
        </w:tc>
        <w:tc>
          <w:tcPr>
            <w:tcW w:type="dxa" w:w="2268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/>
          </w:p>
        </w:tc>
        <w:tc>
          <w:tcPr>
            <w:tcW w:type="dxa" w:w="2268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/>
          </w:p>
        </w:tc>
        <w:tc>
          <w:tcPr>
            <w:tcW w:type="dxa" w:w="1701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/>
          </w:p>
        </w:tc>
      </w:tr>
      <w:tr>
        <w:tc>
          <w:tcPr>
            <w:tcW w:type="dxa" w:w="3118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/>
          </w:p>
        </w:tc>
        <w:tc>
          <w:tcPr>
            <w:tcW w:type="dxa" w:w="2268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/>
          </w:p>
        </w:tc>
        <w:tc>
          <w:tcPr>
            <w:tcW w:type="dxa" w:w="2268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/>
          </w:p>
        </w:tc>
        <w:tc>
          <w:tcPr>
            <w:tcW w:type="dxa" w:w="1701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/>
          </w:p>
        </w:tc>
      </w:tr>
      <w:tr>
        <w:tc>
          <w:tcPr>
            <w:tcW w:type="dxa" w:w="3118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/>
          </w:p>
        </w:tc>
        <w:tc>
          <w:tcPr>
            <w:tcW w:type="dxa" w:w="2268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/>
          </w:p>
        </w:tc>
        <w:tc>
          <w:tcPr>
            <w:tcW w:type="dxa" w:w="2268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/>
          </w:p>
        </w:tc>
        <w:tc>
          <w:tcPr>
            <w:tcW w:type="dxa" w:w="1701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/>
          </w:p>
        </w:tc>
      </w:tr>
      <w:tr>
        <w:tc>
          <w:tcPr>
            <w:tcW w:type="dxa" w:w="3118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/>
          </w:p>
        </w:tc>
        <w:tc>
          <w:tcPr>
            <w:tcW w:type="dxa" w:w="2268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/>
          </w:p>
        </w:tc>
        <w:tc>
          <w:tcPr>
            <w:tcW w:type="dxa" w:w="2268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/>
          </w:p>
        </w:tc>
        <w:tc>
          <w:tcPr>
            <w:tcW w:type="dxa" w:w="1701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/>
          </w:p>
        </w:tc>
      </w:tr>
      <w:tr>
        <w:tc>
          <w:tcPr>
            <w:tcW w:type="dxa" w:w="3118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/>
          </w:p>
        </w:tc>
        <w:tc>
          <w:tcPr>
            <w:tcW w:type="dxa" w:w="2268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/>
          </w:p>
        </w:tc>
        <w:tc>
          <w:tcPr>
            <w:tcW w:type="dxa" w:w="2268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/>
          </w:p>
        </w:tc>
        <w:tc>
          <w:tcPr>
            <w:tcW w:type="dxa" w:w="1701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/>
          </w:p>
        </w:tc>
      </w:tr>
      <w:tr>
        <w:tc>
          <w:tcPr>
            <w:tcW w:type="dxa" w:w="3118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/>
          </w:p>
        </w:tc>
        <w:tc>
          <w:tcPr>
            <w:tcW w:type="dxa" w:w="2268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/>
          </w:p>
        </w:tc>
        <w:tc>
          <w:tcPr>
            <w:tcW w:type="dxa" w:w="2268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/>
          </w:p>
        </w:tc>
        <w:tc>
          <w:tcPr>
            <w:tcW w:type="dxa" w:w="1701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/>
          </w:p>
        </w:tc>
      </w:tr>
      <w:tr>
        <w:tc>
          <w:tcPr>
            <w:tcW w:type="dxa" w:w="3118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/>
          </w:p>
        </w:tc>
        <w:tc>
          <w:tcPr>
            <w:tcW w:type="dxa" w:w="2268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/>
          </w:p>
        </w:tc>
        <w:tc>
          <w:tcPr>
            <w:tcW w:type="dxa" w:w="2268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/>
          </w:p>
        </w:tc>
        <w:tc>
          <w:tcPr>
            <w:tcW w:type="dxa" w:w="1701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/>
          </w:p>
        </w:tc>
      </w:tr>
      <w:tr>
        <w:tc>
          <w:tcPr>
            <w:tcW w:type="dxa" w:w="3118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/>
          </w:p>
        </w:tc>
        <w:tc>
          <w:tcPr>
            <w:tcW w:type="dxa" w:w="2268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/>
          </w:p>
        </w:tc>
        <w:tc>
          <w:tcPr>
            <w:tcW w:type="dxa" w:w="2268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/>
          </w:p>
        </w:tc>
        <w:tc>
          <w:tcPr>
            <w:tcW w:type="dxa" w:w="1701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/>
          </w:p>
        </w:tc>
      </w:tr>
      <w:tr>
        <w:tc>
          <w:tcPr>
            <w:tcW w:type="dxa" w:w="3118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/>
          </w:p>
        </w:tc>
        <w:tc>
          <w:tcPr>
            <w:tcW w:type="dxa" w:w="2268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/>
          </w:p>
        </w:tc>
        <w:tc>
          <w:tcPr>
            <w:tcW w:type="dxa" w:w="2268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/>
          </w:p>
        </w:tc>
        <w:tc>
          <w:tcPr>
            <w:tcW w:type="dxa" w:w="1701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/>
          </w:p>
        </w:tc>
      </w:tr>
      <w:tr>
        <w:tc>
          <w:tcPr>
            <w:tcW w:type="dxa" w:w="3118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/>
          </w:p>
        </w:tc>
        <w:tc>
          <w:tcPr>
            <w:tcW w:type="dxa" w:w="2268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/>
          </w:p>
        </w:tc>
        <w:tc>
          <w:tcPr>
            <w:tcW w:type="dxa" w:w="2268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/>
          </w:p>
        </w:tc>
        <w:tc>
          <w:tcPr>
            <w:tcW w:type="dxa" w:w="1701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/>
          </w:p>
        </w:tc>
      </w:tr>
    </w:tbl>
    <w:p>
      <w:pPr>
        <w:spacing w:after="40"/>
      </w:pPr>
      <w:r>
        <w:rPr>
          <w:rFonts w:ascii="Calibri" w:hAnsi="Calibri"/>
          <w:b/>
          <w:color w:val="1A1A1A"/>
          <w:sz w:val="20"/>
        </w:rPr>
        <w:t>Suggested metrics to populate above:</w:t>
      </w:r>
    </w:p>
    <w:p>
      <w:pPr>
        <w:spacing w:after="120"/>
      </w:pPr>
      <w:r>
        <w:rPr>
          <w:rFonts w:ascii="Calibri" w:hAnsi="Calibri"/>
          <w:b w:val="0"/>
          <w:color w:val="6B7280"/>
          <w:sz w:val="20"/>
        </w:rPr>
        <w:t>Sample size (≥ 100 trades)  •  Win rate  •  Profit factor (≥ 1.5)  •  Expectancy per trade  •  Max drawdown (≤ 15%)  •  Sharpe ratio (≥ 1.0)  •  Avg R:R  •  Longest losing streak  •  Out-of-sample period covered  •  Walk-forward stability</w:t>
      </w:r>
    </w:p>
    <w:p>
      <w:pPr>
        <w:spacing w:before="280" w:after="80"/>
        <w:pBdr>
          <w:bottom w:val="single" w:sz="8" w:space="1" w:color="BDD4F5"/>
        </w:pBdr>
      </w:pPr>
      <w:r>
        <w:rPr>
          <w:rFonts w:ascii="Calibri" w:hAnsi="Calibri"/>
          <w:b/>
          <w:color w:val="004AAC"/>
          <w:sz w:val="28"/>
        </w:rPr>
        <w:t>6. Operational Readiness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color="auto" w:fill="F4F7FC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  <w:vAlign w:val="center"/>
          </w:tcPr>
          <w:p>
            <w:r>
              <w:rPr>
                <w:rFonts w:ascii="Calibri" w:hAnsi="Calibri"/>
                <w:b/>
                <w:color w:val="004AAC"/>
                <w:sz w:val="20"/>
              </w:rPr>
              <w:t>Broker(s) supported</w:t>
            </w:r>
          </w:p>
        </w:tc>
        <w:tc>
          <w:tcPr>
            <w:tcW w:type="dxa" w:w="6520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  <w:vAlign w:val="center"/>
          </w:tcPr>
          <w:p>
            <w:r>
              <w:rPr>
                <w:rFonts w:ascii="Calibri" w:hAnsi="Calibri"/>
                <w:b w:val="0"/>
                <w:color w:val="6B7280"/>
                <w:sz w:val="20"/>
              </w:rPr>
              <w:t>&lt;e.g. ICMarkets, Zerodha, IBKR&gt;</w:t>
            </w:r>
          </w:p>
        </w:tc>
      </w:tr>
      <w:tr>
        <w:tc>
          <w:tcPr>
            <w:tcW w:type="dxa" w:w="2835"/>
            <w:shd w:val="clear" w:color="auto" w:fill="F4F7FC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  <w:vAlign w:val="center"/>
          </w:tcPr>
          <w:p>
            <w:r>
              <w:rPr>
                <w:rFonts w:ascii="Calibri" w:hAnsi="Calibri"/>
                <w:b/>
                <w:color w:val="004AAC"/>
                <w:sz w:val="20"/>
              </w:rPr>
              <w:t>Data feed assumed</w:t>
            </w:r>
          </w:p>
        </w:tc>
        <w:tc>
          <w:tcPr>
            <w:tcW w:type="dxa" w:w="6520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  <w:vAlign w:val="center"/>
          </w:tcPr>
          <w:p>
            <w:r>
              <w:rPr>
                <w:rFonts w:ascii="Calibri" w:hAnsi="Calibri"/>
                <w:b w:val="0"/>
                <w:color w:val="6B7280"/>
                <w:sz w:val="20"/>
              </w:rPr>
              <w:t>&lt;broker feed / external&gt;</w:t>
            </w:r>
          </w:p>
        </w:tc>
      </w:tr>
      <w:tr>
        <w:tc>
          <w:tcPr>
            <w:tcW w:type="dxa" w:w="2835"/>
            <w:shd w:val="clear" w:color="auto" w:fill="F4F7FC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  <w:vAlign w:val="center"/>
          </w:tcPr>
          <w:p>
            <w:r>
              <w:rPr>
                <w:rFonts w:ascii="Calibri" w:hAnsi="Calibri"/>
                <w:b/>
                <w:color w:val="004AAC"/>
                <w:sz w:val="20"/>
              </w:rPr>
              <w:t>Spread assumption</w:t>
            </w:r>
          </w:p>
        </w:tc>
        <w:tc>
          <w:tcPr>
            <w:tcW w:type="dxa" w:w="6520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  <w:vAlign w:val="center"/>
          </w:tcPr>
          <w:p>
            <w:r>
              <w:rPr>
                <w:rFonts w:ascii="Calibri" w:hAnsi="Calibri"/>
                <w:b w:val="0"/>
                <w:color w:val="6B7280"/>
                <w:sz w:val="20"/>
              </w:rPr>
              <w:t>&lt;e.g. ≤ 1.2 pips&gt;</w:t>
            </w:r>
          </w:p>
        </w:tc>
      </w:tr>
      <w:tr>
        <w:tc>
          <w:tcPr>
            <w:tcW w:type="dxa" w:w="2835"/>
            <w:shd w:val="clear" w:color="auto" w:fill="F4F7FC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  <w:vAlign w:val="center"/>
          </w:tcPr>
          <w:p>
            <w:r>
              <w:rPr>
                <w:rFonts w:ascii="Calibri" w:hAnsi="Calibri"/>
                <w:b/>
                <w:color w:val="004AAC"/>
                <w:sz w:val="20"/>
              </w:rPr>
              <w:t>Slippage assumption</w:t>
            </w:r>
          </w:p>
        </w:tc>
        <w:tc>
          <w:tcPr>
            <w:tcW w:type="dxa" w:w="6520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  <w:vAlign w:val="center"/>
          </w:tcPr>
          <w:p>
            <w:r>
              <w:rPr>
                <w:rFonts w:ascii="Calibri" w:hAnsi="Calibri"/>
                <w:b w:val="0"/>
                <w:color w:val="6B7280"/>
                <w:sz w:val="20"/>
              </w:rPr>
              <w:t>&lt;e.g. 0.5 pip / 1 tick&gt;</w:t>
            </w:r>
          </w:p>
        </w:tc>
      </w:tr>
      <w:tr>
        <w:tc>
          <w:tcPr>
            <w:tcW w:type="dxa" w:w="2835"/>
            <w:shd w:val="clear" w:color="auto" w:fill="F4F7FC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  <w:vAlign w:val="center"/>
          </w:tcPr>
          <w:p>
            <w:r>
              <w:rPr>
                <w:rFonts w:ascii="Calibri" w:hAnsi="Calibri"/>
                <w:b/>
                <w:color w:val="004AAC"/>
                <w:sz w:val="20"/>
              </w:rPr>
              <w:t>Commission model</w:t>
            </w:r>
          </w:p>
        </w:tc>
        <w:tc>
          <w:tcPr>
            <w:tcW w:type="dxa" w:w="6520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  <w:vAlign w:val="center"/>
          </w:tcPr>
          <w:p>
            <w:r>
              <w:rPr>
                <w:rFonts w:ascii="Calibri" w:hAnsi="Calibri"/>
                <w:b w:val="0"/>
                <w:color w:val="6B7280"/>
                <w:sz w:val="20"/>
              </w:rPr>
              <w:t>&lt;per lot / per side&gt;</w:t>
            </w:r>
          </w:p>
        </w:tc>
      </w:tr>
      <w:tr>
        <w:tc>
          <w:tcPr>
            <w:tcW w:type="dxa" w:w="2835"/>
            <w:shd w:val="clear" w:color="auto" w:fill="F4F7FC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  <w:vAlign w:val="center"/>
          </w:tcPr>
          <w:p>
            <w:r>
              <w:rPr>
                <w:rFonts w:ascii="Calibri" w:hAnsi="Calibri"/>
                <w:b/>
                <w:color w:val="004AAC"/>
                <w:sz w:val="20"/>
              </w:rPr>
              <w:t>Latency tolerance</w:t>
            </w:r>
          </w:p>
        </w:tc>
        <w:tc>
          <w:tcPr>
            <w:tcW w:type="dxa" w:w="6520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  <w:vAlign w:val="center"/>
          </w:tcPr>
          <w:p>
            <w:r>
              <w:rPr>
                <w:rFonts w:ascii="Calibri" w:hAnsi="Calibri"/>
                <w:b w:val="0"/>
                <w:color w:val="6B7280"/>
                <w:sz w:val="20"/>
              </w:rPr>
              <w:t>&lt;e.g. ≤ 200ms&gt;</w:t>
            </w:r>
          </w:p>
        </w:tc>
      </w:tr>
      <w:tr>
        <w:tc>
          <w:tcPr>
            <w:tcW w:type="dxa" w:w="2835"/>
            <w:shd w:val="clear" w:color="auto" w:fill="F4F7FC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  <w:vAlign w:val="center"/>
          </w:tcPr>
          <w:p>
            <w:r>
              <w:rPr>
                <w:rFonts w:ascii="Calibri" w:hAnsi="Calibri"/>
                <w:b/>
                <w:color w:val="004AAC"/>
                <w:sz w:val="20"/>
              </w:rPr>
              <w:t>Required platform features</w:t>
            </w:r>
          </w:p>
        </w:tc>
        <w:tc>
          <w:tcPr>
            <w:tcW w:type="dxa" w:w="6520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  <w:vAlign w:val="center"/>
          </w:tcPr>
          <w:p>
            <w:r>
              <w:rPr>
                <w:rFonts w:ascii="Calibri" w:hAnsi="Calibri"/>
                <w:b w:val="0"/>
                <w:color w:val="6B7280"/>
                <w:sz w:val="20"/>
              </w:rPr>
              <w:t>&lt;MT5, hedging on/off, OCO, etc.&gt;</w:t>
            </w:r>
          </w:p>
        </w:tc>
      </w:tr>
    </w:tbl>
    <w:p>
      <w:pPr>
        <w:spacing w:before="280" w:after="80"/>
        <w:pBdr>
          <w:bottom w:val="single" w:sz="8" w:space="1" w:color="BDD4F5"/>
        </w:pBdr>
      </w:pPr>
      <w:r>
        <w:rPr>
          <w:rFonts w:ascii="Calibri" w:hAnsi="Calibri"/>
          <w:b/>
          <w:color w:val="004AAC"/>
          <w:sz w:val="28"/>
        </w:rPr>
        <w:t>7. Stage 1 Sign-off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835"/>
            <w:shd w:val="clear" w:color="auto" w:fill="004AAC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2268"/>
            <w:shd w:val="clear" w:color="auto" w:fill="004AAC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1984"/>
            <w:shd w:val="clear" w:color="auto" w:fill="004AAC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2268"/>
            <w:shd w:val="clear" w:color="auto" w:fill="004AAC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Signature</w:t>
            </w:r>
          </w:p>
        </w:tc>
      </w:tr>
      <w:tr>
        <w:tc>
          <w:tcPr>
            <w:tcW w:type="dxa" w:w="2835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/>
          </w:p>
        </w:tc>
        <w:tc>
          <w:tcPr>
            <w:tcW w:type="dxa" w:w="2268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/>
          </w:p>
        </w:tc>
        <w:tc>
          <w:tcPr>
            <w:tcW w:type="dxa" w:w="1984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/>
          </w:p>
        </w:tc>
        <w:tc>
          <w:tcPr>
            <w:tcW w:type="dxa" w:w="2268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/>
          </w:p>
        </w:tc>
      </w:tr>
      <w:tr>
        <w:tc>
          <w:tcPr>
            <w:tcW w:type="dxa" w:w="2835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/>
          </w:p>
        </w:tc>
        <w:tc>
          <w:tcPr>
            <w:tcW w:type="dxa" w:w="2268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/>
          </w:p>
        </w:tc>
        <w:tc>
          <w:tcPr>
            <w:tcW w:type="dxa" w:w="1984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/>
          </w:p>
        </w:tc>
        <w:tc>
          <w:tcPr>
            <w:tcW w:type="dxa" w:w="2268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/>
          </w:p>
        </w:tc>
      </w:tr>
      <w:tr>
        <w:tc>
          <w:tcPr>
            <w:tcW w:type="dxa" w:w="2835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/>
          </w:p>
        </w:tc>
        <w:tc>
          <w:tcPr>
            <w:tcW w:type="dxa" w:w="2268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/>
          </w:p>
        </w:tc>
        <w:tc>
          <w:tcPr>
            <w:tcW w:type="dxa" w:w="1984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/>
          </w:p>
        </w:tc>
        <w:tc>
          <w:tcPr>
            <w:tcW w:type="dxa" w:w="2268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/>
          </w:p>
        </w:tc>
      </w:tr>
    </w:tbl>
    <w:p>
      <w:pPr>
        <w:spacing w:after="120"/>
      </w:pPr>
      <w:r>
        <w:rPr>
          <w:rFonts w:ascii="Calibri" w:hAnsi="Calibri"/>
          <w:b w:val="0"/>
          <w:color w:val="6B7280"/>
          <w:sz w:val="18"/>
        </w:rPr>
        <w:t>Required signers: Manual team lead (submitter) • Automation team lead (acceptor) • Risk reviewer</w:t>
      </w:r>
    </w:p>
    <w:p>
      <w:r>
        <w:br w:type="page"/>
      </w:r>
    </w:p>
    <w:p>
      <w:pPr>
        <w:spacing w:before="280" w:after="80"/>
        <w:pBdr>
          <w:bottom w:val="single" w:sz="8" w:space="1" w:color="BDD4F5"/>
        </w:pBdr>
      </w:pPr>
      <w:r>
        <w:rPr>
          <w:rFonts w:ascii="Calibri" w:hAnsi="Calibri"/>
          <w:b/>
          <w:color w:val="004AAC"/>
          <w:sz w:val="28"/>
        </w:rPr>
        <w:t>Stage 2 — Go-Live Acceptance Criteria</w:t>
      </w:r>
    </w:p>
    <w:p>
      <w:pPr>
        <w:spacing w:after="120"/>
      </w:pPr>
      <w:r>
        <w:rPr>
          <w:rFonts w:ascii="Calibri" w:hAnsi="Calibri"/>
          <w:b w:val="0"/>
          <w:color w:val="6B7280"/>
          <w:sz w:val="20"/>
        </w:rPr>
        <w:t>Goal: the automated implementation matches the spec, has been independently validated, and is operationally safe to run with real capital.</w:t>
      </w:r>
    </w:p>
    <w:p>
      <w:pPr>
        <w:spacing w:before="280" w:after="80"/>
        <w:pBdr>
          <w:bottom w:val="single" w:sz="8" w:space="1" w:color="BDD4F5"/>
        </w:pBdr>
      </w:pPr>
      <w:r>
        <w:rPr>
          <w:rFonts w:ascii="Calibri" w:hAnsi="Calibri"/>
          <w:b/>
          <w:color w:val="004AAC"/>
          <w:sz w:val="28"/>
        </w:rPr>
        <w:t>8. Implementation Verification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680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4AAC"/>
                <w:sz w:val="28"/>
              </w:rPr>
              <w:t>☐</w:t>
            </w:r>
          </w:p>
        </w:tc>
        <w:tc>
          <w:tcPr>
            <w:tcW w:type="dxa" w:w="8674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>
              <w:rPr>
                <w:rFonts w:ascii="Calibri" w:hAnsi="Calibri"/>
                <w:b w:val="0"/>
                <w:color w:val="1A1A1A"/>
                <w:sz w:val="20"/>
              </w:rPr>
              <w:t>Code is committed to the repo with a link to this document.</w:t>
            </w:r>
          </w:p>
        </w:tc>
      </w:tr>
      <w:tr>
        <w:tc>
          <w:tcPr>
            <w:tcW w:type="dxa" w:w="680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4AAC"/>
                <w:sz w:val="28"/>
              </w:rPr>
              <w:t>☐</w:t>
            </w:r>
          </w:p>
        </w:tc>
        <w:tc>
          <w:tcPr>
            <w:tcW w:type="dxa" w:w="8674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>
              <w:rPr>
                <w:rFonts w:ascii="Calibri" w:hAnsi="Calibri"/>
                <w:b w:val="0"/>
                <w:color w:val="1A1A1A"/>
                <w:sz w:val="20"/>
              </w:rPr>
              <w:t>Implementation reviewed by a second engineer (4-eyes).</w:t>
            </w:r>
          </w:p>
        </w:tc>
      </w:tr>
      <w:tr>
        <w:tc>
          <w:tcPr>
            <w:tcW w:type="dxa" w:w="680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4AAC"/>
                <w:sz w:val="28"/>
              </w:rPr>
              <w:t>☐</w:t>
            </w:r>
          </w:p>
        </w:tc>
        <w:tc>
          <w:tcPr>
            <w:tcW w:type="dxa" w:w="8674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>
              <w:rPr>
                <w:rFonts w:ascii="Calibri" w:hAnsi="Calibri"/>
                <w:b w:val="0"/>
                <w:color w:val="1A1A1A"/>
                <w:sz w:val="20"/>
              </w:rPr>
              <w:t>Unit tests cover all entry, exit, and filter conditions.</w:t>
            </w:r>
          </w:p>
        </w:tc>
      </w:tr>
      <w:tr>
        <w:tc>
          <w:tcPr>
            <w:tcW w:type="dxa" w:w="680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4AAC"/>
                <w:sz w:val="28"/>
              </w:rPr>
              <w:t>☐</w:t>
            </w:r>
          </w:p>
        </w:tc>
        <w:tc>
          <w:tcPr>
            <w:tcW w:type="dxa" w:w="8674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>
              <w:rPr>
                <w:rFonts w:ascii="Calibri" w:hAnsi="Calibri"/>
                <w:b w:val="0"/>
                <w:color w:val="1A1A1A"/>
                <w:sz w:val="20"/>
              </w:rPr>
              <w:t>Indicator outputs match the manual team's reference values on a held-out sample (≥ 50 bars).</w:t>
            </w:r>
          </w:p>
        </w:tc>
      </w:tr>
      <w:tr>
        <w:tc>
          <w:tcPr>
            <w:tcW w:type="dxa" w:w="680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4AAC"/>
                <w:sz w:val="28"/>
              </w:rPr>
              <w:t>☐</w:t>
            </w:r>
          </w:p>
        </w:tc>
        <w:tc>
          <w:tcPr>
            <w:tcW w:type="dxa" w:w="8674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>
              <w:rPr>
                <w:rFonts w:ascii="Calibri" w:hAnsi="Calibri"/>
                <w:b w:val="0"/>
                <w:color w:val="1A1A1A"/>
                <w:sz w:val="20"/>
              </w:rPr>
              <w:t>Worked example trade from Section 3 reproduces identically end-to-end in code.</w:t>
            </w:r>
          </w:p>
        </w:tc>
      </w:tr>
    </w:tbl>
    <w:p>
      <w:pPr>
        <w:spacing w:before="280" w:after="80"/>
        <w:pBdr>
          <w:bottom w:val="single" w:sz="8" w:space="1" w:color="BDD4F5"/>
        </w:pBdr>
      </w:pPr>
      <w:r>
        <w:rPr>
          <w:rFonts w:ascii="Calibri" w:hAnsi="Calibri"/>
          <w:b/>
          <w:color w:val="004AAC"/>
          <w:sz w:val="28"/>
        </w:rPr>
        <w:t>9. Re-Backtest Parity vs. Manual Spec</w:t>
      </w:r>
    </w:p>
    <w:p>
      <w:pPr>
        <w:spacing w:after="120"/>
      </w:pPr>
      <w:r>
        <w:rPr>
          <w:rFonts w:ascii="Calibri" w:hAnsi="Calibri"/>
          <w:b w:val="0"/>
          <w:color w:val="6B7280"/>
          <w:sz w:val="20"/>
        </w:rPr>
        <w:t>The automated backtest must reproduce the manual team's reported numbers within tolerance.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2268"/>
            <w:shd w:val="clear" w:color="auto" w:fill="004AAC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1984"/>
            <w:shd w:val="clear" w:color="auto" w:fill="004AAC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Manual reported</w:t>
            </w:r>
          </w:p>
        </w:tc>
        <w:tc>
          <w:tcPr>
            <w:tcW w:type="dxa" w:w="1984"/>
            <w:shd w:val="clear" w:color="auto" w:fill="004AAC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Automated reproduced</w:t>
            </w:r>
          </w:p>
        </w:tc>
        <w:tc>
          <w:tcPr>
            <w:tcW w:type="dxa" w:w="1417"/>
            <w:shd w:val="clear" w:color="auto" w:fill="004AAC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Delta</w:t>
            </w:r>
          </w:p>
        </w:tc>
        <w:tc>
          <w:tcPr>
            <w:tcW w:type="dxa" w:w="1701"/>
            <w:shd w:val="clear" w:color="auto" w:fill="004AAC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Within tolerance?</w:t>
            </w:r>
          </w:p>
        </w:tc>
      </w:tr>
      <w:tr>
        <w:tc>
          <w:tcPr>
            <w:tcW w:type="dxa" w:w="2268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/>
          </w:p>
        </w:tc>
        <w:tc>
          <w:tcPr>
            <w:tcW w:type="dxa" w:w="1984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/>
          </w:p>
        </w:tc>
        <w:tc>
          <w:tcPr>
            <w:tcW w:type="dxa" w:w="1984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/>
          </w:p>
        </w:tc>
        <w:tc>
          <w:tcPr>
            <w:tcW w:type="dxa" w:w="1417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/>
          </w:p>
        </w:tc>
        <w:tc>
          <w:tcPr>
            <w:tcW w:type="dxa" w:w="1701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/>
          </w:p>
        </w:tc>
      </w:tr>
      <w:tr>
        <w:tc>
          <w:tcPr>
            <w:tcW w:type="dxa" w:w="2268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/>
          </w:p>
        </w:tc>
        <w:tc>
          <w:tcPr>
            <w:tcW w:type="dxa" w:w="1984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/>
          </w:p>
        </w:tc>
        <w:tc>
          <w:tcPr>
            <w:tcW w:type="dxa" w:w="1984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/>
          </w:p>
        </w:tc>
        <w:tc>
          <w:tcPr>
            <w:tcW w:type="dxa" w:w="1417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/>
          </w:p>
        </w:tc>
        <w:tc>
          <w:tcPr>
            <w:tcW w:type="dxa" w:w="1701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/>
          </w:p>
        </w:tc>
      </w:tr>
      <w:tr>
        <w:tc>
          <w:tcPr>
            <w:tcW w:type="dxa" w:w="2268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/>
          </w:p>
        </w:tc>
        <w:tc>
          <w:tcPr>
            <w:tcW w:type="dxa" w:w="1984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/>
          </w:p>
        </w:tc>
        <w:tc>
          <w:tcPr>
            <w:tcW w:type="dxa" w:w="1984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/>
          </w:p>
        </w:tc>
        <w:tc>
          <w:tcPr>
            <w:tcW w:type="dxa" w:w="1417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/>
          </w:p>
        </w:tc>
        <w:tc>
          <w:tcPr>
            <w:tcW w:type="dxa" w:w="1701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/>
          </w:p>
        </w:tc>
      </w:tr>
      <w:tr>
        <w:tc>
          <w:tcPr>
            <w:tcW w:type="dxa" w:w="2268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/>
          </w:p>
        </w:tc>
        <w:tc>
          <w:tcPr>
            <w:tcW w:type="dxa" w:w="1984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/>
          </w:p>
        </w:tc>
        <w:tc>
          <w:tcPr>
            <w:tcW w:type="dxa" w:w="1984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/>
          </w:p>
        </w:tc>
        <w:tc>
          <w:tcPr>
            <w:tcW w:type="dxa" w:w="1417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/>
          </w:p>
        </w:tc>
        <w:tc>
          <w:tcPr>
            <w:tcW w:type="dxa" w:w="1701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/>
          </w:p>
        </w:tc>
      </w:tr>
      <w:tr>
        <w:tc>
          <w:tcPr>
            <w:tcW w:type="dxa" w:w="2268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/>
          </w:p>
        </w:tc>
        <w:tc>
          <w:tcPr>
            <w:tcW w:type="dxa" w:w="1984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/>
          </w:p>
        </w:tc>
        <w:tc>
          <w:tcPr>
            <w:tcW w:type="dxa" w:w="1984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/>
          </w:p>
        </w:tc>
        <w:tc>
          <w:tcPr>
            <w:tcW w:type="dxa" w:w="1417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/>
          </w:p>
        </w:tc>
        <w:tc>
          <w:tcPr>
            <w:tcW w:type="dxa" w:w="1701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/>
          </w:p>
        </w:tc>
      </w:tr>
      <w:tr>
        <w:tc>
          <w:tcPr>
            <w:tcW w:type="dxa" w:w="2268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/>
          </w:p>
        </w:tc>
        <w:tc>
          <w:tcPr>
            <w:tcW w:type="dxa" w:w="1984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/>
          </w:p>
        </w:tc>
        <w:tc>
          <w:tcPr>
            <w:tcW w:type="dxa" w:w="1984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/>
          </w:p>
        </w:tc>
        <w:tc>
          <w:tcPr>
            <w:tcW w:type="dxa" w:w="1417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/>
          </w:p>
        </w:tc>
        <w:tc>
          <w:tcPr>
            <w:tcW w:type="dxa" w:w="1701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/>
          </w:p>
        </w:tc>
      </w:tr>
    </w:tbl>
    <w:p>
      <w:pPr>
        <w:spacing w:before="280" w:after="80"/>
        <w:pBdr>
          <w:bottom w:val="single" w:sz="8" w:space="1" w:color="BDD4F5"/>
        </w:pBdr>
      </w:pPr>
      <w:r>
        <w:rPr>
          <w:rFonts w:ascii="Calibri" w:hAnsi="Calibri"/>
          <w:b/>
          <w:color w:val="004AAC"/>
          <w:sz w:val="28"/>
        </w:rPr>
        <w:t>10. Forward Test on Demo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color="auto" w:fill="F4F7FC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  <w:vAlign w:val="center"/>
          </w:tcPr>
          <w:p>
            <w:r>
              <w:rPr>
                <w:rFonts w:ascii="Calibri" w:hAnsi="Calibri"/>
                <w:b/>
                <w:color w:val="004AAC"/>
                <w:sz w:val="20"/>
              </w:rPr>
              <w:t>Demo period start</w:t>
            </w:r>
          </w:p>
        </w:tc>
        <w:tc>
          <w:tcPr>
            <w:tcW w:type="dxa" w:w="6520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  <w:vAlign w:val="center"/>
          </w:tcPr>
          <w:p>
            <w:r>
              <w:rPr>
                <w:rFonts w:ascii="Calibri" w:hAnsi="Calibri"/>
                <w:b w:val="0"/>
                <w:color w:val="6B7280"/>
                <w:sz w:val="20"/>
              </w:rPr>
              <w:t>&lt;YYYY-MM-DD&gt;</w:t>
            </w:r>
          </w:p>
        </w:tc>
      </w:tr>
      <w:tr>
        <w:tc>
          <w:tcPr>
            <w:tcW w:type="dxa" w:w="2835"/>
            <w:shd w:val="clear" w:color="auto" w:fill="F4F7FC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  <w:vAlign w:val="center"/>
          </w:tcPr>
          <w:p>
            <w:r>
              <w:rPr>
                <w:rFonts w:ascii="Calibri" w:hAnsi="Calibri"/>
                <w:b/>
                <w:color w:val="004AAC"/>
                <w:sz w:val="20"/>
              </w:rPr>
              <w:t>Demo period end</w:t>
            </w:r>
          </w:p>
        </w:tc>
        <w:tc>
          <w:tcPr>
            <w:tcW w:type="dxa" w:w="6520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  <w:vAlign w:val="center"/>
          </w:tcPr>
          <w:p>
            <w:r>
              <w:rPr>
                <w:rFonts w:ascii="Calibri" w:hAnsi="Calibri"/>
                <w:b w:val="0"/>
                <w:color w:val="6B7280"/>
                <w:sz w:val="20"/>
              </w:rPr>
              <w:t>&lt;YYYY-MM-DD&gt;</w:t>
            </w:r>
          </w:p>
        </w:tc>
      </w:tr>
      <w:tr>
        <w:tc>
          <w:tcPr>
            <w:tcW w:type="dxa" w:w="2835"/>
            <w:shd w:val="clear" w:color="auto" w:fill="F4F7FC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  <w:vAlign w:val="center"/>
          </w:tcPr>
          <w:p>
            <w:r>
              <w:rPr>
                <w:rFonts w:ascii="Calibri" w:hAnsi="Calibri"/>
                <w:b/>
                <w:color w:val="004AAC"/>
                <w:sz w:val="20"/>
              </w:rPr>
              <w:t>Trades executed</w:t>
            </w:r>
          </w:p>
        </w:tc>
        <w:tc>
          <w:tcPr>
            <w:tcW w:type="dxa" w:w="6520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  <w:vAlign w:val="center"/>
          </w:tcPr>
          <w:p>
            <w:r>
              <w:rPr>
                <w:rFonts w:ascii="Calibri" w:hAnsi="Calibri"/>
                <w:b w:val="0"/>
                <w:color w:val="6B7280"/>
                <w:sz w:val="20"/>
              </w:rPr>
              <w:t>&lt;count&gt;</w:t>
            </w:r>
          </w:p>
        </w:tc>
      </w:tr>
      <w:tr>
        <w:tc>
          <w:tcPr>
            <w:tcW w:type="dxa" w:w="2835"/>
            <w:shd w:val="clear" w:color="auto" w:fill="F4F7FC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  <w:vAlign w:val="center"/>
          </w:tcPr>
          <w:p>
            <w:r>
              <w:rPr>
                <w:rFonts w:ascii="Calibri" w:hAnsi="Calibri"/>
                <w:b/>
                <w:color w:val="004AAC"/>
                <w:sz w:val="20"/>
              </w:rPr>
              <w:t>Realized expectancy vs. backtest</w:t>
            </w:r>
          </w:p>
        </w:tc>
        <w:tc>
          <w:tcPr>
            <w:tcW w:type="dxa" w:w="6520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  <w:vAlign w:val="center"/>
          </w:tcPr>
          <w:p>
            <w:r>
              <w:rPr>
                <w:rFonts w:ascii="Calibri" w:hAnsi="Calibri"/>
                <w:b w:val="0"/>
                <w:color w:val="6B7280"/>
                <w:sz w:val="20"/>
              </w:rPr>
              <w:t>&lt;within X% tolerance&gt;</w:t>
            </w:r>
          </w:p>
        </w:tc>
      </w:tr>
      <w:tr>
        <w:tc>
          <w:tcPr>
            <w:tcW w:type="dxa" w:w="2835"/>
            <w:shd w:val="clear" w:color="auto" w:fill="F4F7FC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  <w:vAlign w:val="center"/>
          </w:tcPr>
          <w:p>
            <w:r>
              <w:rPr>
                <w:rFonts w:ascii="Calibri" w:hAnsi="Calibri"/>
                <w:b/>
                <w:color w:val="004AAC"/>
                <w:sz w:val="20"/>
              </w:rPr>
              <w:t>Slippage observed vs. assumed</w:t>
            </w:r>
          </w:p>
        </w:tc>
        <w:tc>
          <w:tcPr>
            <w:tcW w:type="dxa" w:w="6520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  <w:vAlign w:val="center"/>
          </w:tcPr>
          <w:p>
            <w:r>
              <w:rPr>
                <w:rFonts w:ascii="Calibri" w:hAnsi="Calibri"/>
                <w:b w:val="0"/>
                <w:color w:val="6B7280"/>
                <w:sz w:val="20"/>
              </w:rPr>
              <w:t>&lt;delta&gt;</w:t>
            </w:r>
          </w:p>
        </w:tc>
      </w:tr>
      <w:tr>
        <w:tc>
          <w:tcPr>
            <w:tcW w:type="dxa" w:w="2835"/>
            <w:shd w:val="clear" w:color="auto" w:fill="F4F7FC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  <w:vAlign w:val="center"/>
          </w:tcPr>
          <w:p>
            <w:r>
              <w:rPr>
                <w:rFonts w:ascii="Calibri" w:hAnsi="Calibri"/>
                <w:b/>
                <w:color w:val="004AAC"/>
                <w:sz w:val="20"/>
              </w:rPr>
              <w:t>Errors / interventions during run</w:t>
            </w:r>
          </w:p>
        </w:tc>
        <w:tc>
          <w:tcPr>
            <w:tcW w:type="dxa" w:w="6520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  <w:vAlign w:val="center"/>
          </w:tcPr>
          <w:p>
            <w:r>
              <w:rPr>
                <w:rFonts w:ascii="Calibri" w:hAnsi="Calibri"/>
                <w:b w:val="0"/>
                <w:color w:val="6B7280"/>
                <w:sz w:val="20"/>
              </w:rPr>
              <w:t>&lt;list any&gt;</w:t>
            </w:r>
          </w:p>
        </w:tc>
      </w:tr>
    </w:tbl>
    <w:p>
      <w:pPr>
        <w:spacing w:before="280" w:after="80"/>
        <w:pBdr>
          <w:bottom w:val="single" w:sz="8" w:space="1" w:color="BDD4F5"/>
        </w:pBdr>
      </w:pPr>
      <w:r>
        <w:rPr>
          <w:rFonts w:ascii="Calibri" w:hAnsi="Calibri"/>
          <w:b/>
          <w:color w:val="004AAC"/>
          <w:sz w:val="28"/>
        </w:rPr>
        <w:t>11. Operational Safeguards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680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4AAC"/>
                <w:sz w:val="28"/>
              </w:rPr>
              <w:t>☐</w:t>
            </w:r>
          </w:p>
        </w:tc>
        <w:tc>
          <w:tcPr>
            <w:tcW w:type="dxa" w:w="8674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>
              <w:rPr>
                <w:rFonts w:ascii="Calibri" w:hAnsi="Calibri"/>
                <w:b w:val="0"/>
                <w:color w:val="1A1A1A"/>
                <w:sz w:val="20"/>
              </w:rPr>
              <w:t>Kill-switch / pause command tested and documented.</w:t>
            </w:r>
          </w:p>
        </w:tc>
      </w:tr>
      <w:tr>
        <w:tc>
          <w:tcPr>
            <w:tcW w:type="dxa" w:w="680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4AAC"/>
                <w:sz w:val="28"/>
              </w:rPr>
              <w:t>☐</w:t>
            </w:r>
          </w:p>
        </w:tc>
        <w:tc>
          <w:tcPr>
            <w:tcW w:type="dxa" w:w="8674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>
              <w:rPr>
                <w:rFonts w:ascii="Calibri" w:hAnsi="Calibri"/>
                <w:b w:val="0"/>
                <w:color w:val="1A1A1A"/>
                <w:sz w:val="20"/>
              </w:rPr>
              <w:t>Daily-loss cutoff implemented and alert-tested.</w:t>
            </w:r>
          </w:p>
        </w:tc>
      </w:tr>
      <w:tr>
        <w:tc>
          <w:tcPr>
            <w:tcW w:type="dxa" w:w="680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4AAC"/>
                <w:sz w:val="28"/>
              </w:rPr>
              <w:t>☐</w:t>
            </w:r>
          </w:p>
        </w:tc>
        <w:tc>
          <w:tcPr>
            <w:tcW w:type="dxa" w:w="8674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>
              <w:rPr>
                <w:rFonts w:ascii="Calibri" w:hAnsi="Calibri"/>
                <w:b w:val="0"/>
                <w:color w:val="1A1A1A"/>
                <w:sz w:val="20"/>
              </w:rPr>
              <w:t>Position-size cap enforced in code (not just config).</w:t>
            </w:r>
          </w:p>
        </w:tc>
      </w:tr>
      <w:tr>
        <w:tc>
          <w:tcPr>
            <w:tcW w:type="dxa" w:w="680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4AAC"/>
                <w:sz w:val="28"/>
              </w:rPr>
              <w:t>☐</w:t>
            </w:r>
          </w:p>
        </w:tc>
        <w:tc>
          <w:tcPr>
            <w:tcW w:type="dxa" w:w="8674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>
              <w:rPr>
                <w:rFonts w:ascii="Calibri" w:hAnsi="Calibri"/>
                <w:b w:val="0"/>
                <w:color w:val="1A1A1A"/>
                <w:sz w:val="20"/>
              </w:rPr>
              <w:t>Logging covers every order, fill, rejection, and error with timestamps.</w:t>
            </w:r>
          </w:p>
        </w:tc>
      </w:tr>
      <w:tr>
        <w:tc>
          <w:tcPr>
            <w:tcW w:type="dxa" w:w="680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4AAC"/>
                <w:sz w:val="28"/>
              </w:rPr>
              <w:t>☐</w:t>
            </w:r>
          </w:p>
        </w:tc>
        <w:tc>
          <w:tcPr>
            <w:tcW w:type="dxa" w:w="8674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>
              <w:rPr>
                <w:rFonts w:ascii="Calibri" w:hAnsi="Calibri"/>
                <w:b w:val="0"/>
                <w:color w:val="1A1A1A"/>
                <w:sz w:val="20"/>
              </w:rPr>
              <w:t>Monitoring dashboard shows the strategy P&amp;L, open positions, and last heartbeat.</w:t>
            </w:r>
          </w:p>
        </w:tc>
      </w:tr>
      <w:tr>
        <w:tc>
          <w:tcPr>
            <w:tcW w:type="dxa" w:w="680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4AAC"/>
                <w:sz w:val="28"/>
              </w:rPr>
              <w:t>☐</w:t>
            </w:r>
          </w:p>
        </w:tc>
        <w:tc>
          <w:tcPr>
            <w:tcW w:type="dxa" w:w="8674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>
              <w:rPr>
                <w:rFonts w:ascii="Calibri" w:hAnsi="Calibri"/>
                <w:b w:val="0"/>
                <w:color w:val="1A1A1A"/>
                <w:sz w:val="20"/>
              </w:rPr>
              <w:t>On-call runbook written: who responds, what to check, how to halt.</w:t>
            </w:r>
          </w:p>
        </w:tc>
      </w:tr>
      <w:tr>
        <w:tc>
          <w:tcPr>
            <w:tcW w:type="dxa" w:w="680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4AAC"/>
                <w:sz w:val="28"/>
              </w:rPr>
              <w:t>☐</w:t>
            </w:r>
          </w:p>
        </w:tc>
        <w:tc>
          <w:tcPr>
            <w:tcW w:type="dxa" w:w="8674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>
              <w:rPr>
                <w:rFonts w:ascii="Calibri" w:hAnsi="Calibri"/>
                <w:b w:val="0"/>
                <w:color w:val="1A1A1A"/>
                <w:sz w:val="20"/>
              </w:rPr>
              <w:t>Disaster scenarios rehearsed: broker disconnect, data outage, server restart.</w:t>
            </w:r>
          </w:p>
        </w:tc>
      </w:tr>
      <w:tr>
        <w:tc>
          <w:tcPr>
            <w:tcW w:type="dxa" w:w="680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4AAC"/>
                <w:sz w:val="28"/>
              </w:rPr>
              <w:t>☐</w:t>
            </w:r>
          </w:p>
        </w:tc>
        <w:tc>
          <w:tcPr>
            <w:tcW w:type="dxa" w:w="8674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>
              <w:rPr>
                <w:rFonts w:ascii="Calibri" w:hAnsi="Calibri"/>
                <w:b w:val="0"/>
                <w:color w:val="1A1A1A"/>
                <w:sz w:val="20"/>
              </w:rPr>
              <w:t>Capital allocation for go-live agreed and documented.</w:t>
            </w:r>
          </w:p>
        </w:tc>
      </w:tr>
    </w:tbl>
    <w:p>
      <w:pPr>
        <w:spacing w:before="280" w:after="80"/>
        <w:pBdr>
          <w:bottom w:val="single" w:sz="8" w:space="1" w:color="BDD4F5"/>
        </w:pBdr>
      </w:pPr>
      <w:r>
        <w:rPr>
          <w:rFonts w:ascii="Calibri" w:hAnsi="Calibri"/>
          <w:b/>
          <w:color w:val="004AAC"/>
          <w:sz w:val="28"/>
        </w:rPr>
        <w:t>12. Go-Live Decision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color="auto" w:fill="F4F7FC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  <w:vAlign w:val="center"/>
          </w:tcPr>
          <w:p>
            <w:r>
              <w:rPr>
                <w:rFonts w:ascii="Calibri" w:hAnsi="Calibri"/>
                <w:b/>
                <w:color w:val="004AAC"/>
                <w:sz w:val="20"/>
              </w:rPr>
              <w:t>Initial capital allocation</w:t>
            </w:r>
          </w:p>
        </w:tc>
        <w:tc>
          <w:tcPr>
            <w:tcW w:type="dxa" w:w="6520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  <w:vAlign w:val="center"/>
          </w:tcPr>
          <w:p>
            <w:r>
              <w:rPr>
                <w:rFonts w:ascii="Calibri" w:hAnsi="Calibri"/>
                <w:b w:val="0"/>
                <w:color w:val="6B7280"/>
                <w:sz w:val="20"/>
              </w:rPr>
              <w:t>&lt;amount or %&gt;</w:t>
            </w:r>
          </w:p>
        </w:tc>
      </w:tr>
      <w:tr>
        <w:tc>
          <w:tcPr>
            <w:tcW w:type="dxa" w:w="2835"/>
            <w:shd w:val="clear" w:color="auto" w:fill="F4F7FC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  <w:vAlign w:val="center"/>
          </w:tcPr>
          <w:p>
            <w:r>
              <w:rPr>
                <w:rFonts w:ascii="Calibri" w:hAnsi="Calibri"/>
                <w:b/>
                <w:color w:val="004AAC"/>
                <w:sz w:val="20"/>
              </w:rPr>
              <w:t>Ramp-up plan</w:t>
            </w:r>
          </w:p>
        </w:tc>
        <w:tc>
          <w:tcPr>
            <w:tcW w:type="dxa" w:w="6520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  <w:vAlign w:val="center"/>
          </w:tcPr>
          <w:p>
            <w:r>
              <w:rPr>
                <w:rFonts w:ascii="Calibri" w:hAnsi="Calibri"/>
                <w:b w:val="0"/>
                <w:color w:val="6B7280"/>
                <w:sz w:val="20"/>
              </w:rPr>
              <w:t>&lt;e.g. 25% → 50% → 100% over 4 weeks&gt;</w:t>
            </w:r>
          </w:p>
        </w:tc>
      </w:tr>
      <w:tr>
        <w:tc>
          <w:tcPr>
            <w:tcW w:type="dxa" w:w="2835"/>
            <w:shd w:val="clear" w:color="auto" w:fill="F4F7FC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  <w:vAlign w:val="center"/>
          </w:tcPr>
          <w:p>
            <w:r>
              <w:rPr>
                <w:rFonts w:ascii="Calibri" w:hAnsi="Calibri"/>
                <w:b/>
                <w:color w:val="004AAC"/>
                <w:sz w:val="20"/>
              </w:rPr>
              <w:t>Review checkpoint date</w:t>
            </w:r>
          </w:p>
        </w:tc>
        <w:tc>
          <w:tcPr>
            <w:tcW w:type="dxa" w:w="6520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  <w:vAlign w:val="center"/>
          </w:tcPr>
          <w:p>
            <w:r>
              <w:rPr>
                <w:rFonts w:ascii="Calibri" w:hAnsi="Calibri"/>
                <w:b w:val="0"/>
                <w:color w:val="6B7280"/>
                <w:sz w:val="20"/>
              </w:rPr>
              <w:t>&lt;YYYY-MM-DD&gt;</w:t>
            </w:r>
          </w:p>
        </w:tc>
      </w:tr>
      <w:tr>
        <w:tc>
          <w:tcPr>
            <w:tcW w:type="dxa" w:w="2835"/>
            <w:shd w:val="clear" w:color="auto" w:fill="F4F7FC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  <w:vAlign w:val="center"/>
          </w:tcPr>
          <w:p>
            <w:r>
              <w:rPr>
                <w:rFonts w:ascii="Calibri" w:hAnsi="Calibri"/>
                <w:b/>
                <w:color w:val="004AAC"/>
                <w:sz w:val="20"/>
              </w:rPr>
              <w:t>Decommission criteria</w:t>
            </w:r>
          </w:p>
        </w:tc>
        <w:tc>
          <w:tcPr>
            <w:tcW w:type="dxa" w:w="6520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  <w:vAlign w:val="center"/>
          </w:tcPr>
          <w:p>
            <w:r>
              <w:rPr>
                <w:rFonts w:ascii="Calibri" w:hAnsi="Calibri"/>
                <w:b w:val="0"/>
                <w:color w:val="6B7280"/>
                <w:sz w:val="20"/>
              </w:rPr>
              <w:t>&lt;e.g. drawdown &gt; 10% or 20 losing trades&gt;</w:t>
            </w:r>
          </w:p>
        </w:tc>
      </w:tr>
    </w:tbl>
    <w:p>
      <w:pPr>
        <w:spacing w:before="280" w:after="80"/>
        <w:pBdr>
          <w:bottom w:val="single" w:sz="8" w:space="1" w:color="BDD4F5"/>
        </w:pBdr>
      </w:pPr>
      <w:r>
        <w:rPr>
          <w:rFonts w:ascii="Calibri" w:hAnsi="Calibri"/>
          <w:b/>
          <w:color w:val="004AAC"/>
          <w:sz w:val="28"/>
        </w:rPr>
        <w:t>13. Stage 2 Sign-off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835"/>
            <w:shd w:val="clear" w:color="auto" w:fill="004AAC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2268"/>
            <w:shd w:val="clear" w:color="auto" w:fill="004AAC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1984"/>
            <w:shd w:val="clear" w:color="auto" w:fill="004AAC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2268"/>
            <w:shd w:val="clear" w:color="auto" w:fill="004AAC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Signature</w:t>
            </w:r>
          </w:p>
        </w:tc>
      </w:tr>
      <w:tr>
        <w:tc>
          <w:tcPr>
            <w:tcW w:type="dxa" w:w="2835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/>
          </w:p>
        </w:tc>
        <w:tc>
          <w:tcPr>
            <w:tcW w:type="dxa" w:w="2268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/>
          </w:p>
        </w:tc>
        <w:tc>
          <w:tcPr>
            <w:tcW w:type="dxa" w:w="1984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/>
          </w:p>
        </w:tc>
        <w:tc>
          <w:tcPr>
            <w:tcW w:type="dxa" w:w="2268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/>
          </w:p>
        </w:tc>
      </w:tr>
      <w:tr>
        <w:tc>
          <w:tcPr>
            <w:tcW w:type="dxa" w:w="2835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/>
          </w:p>
        </w:tc>
        <w:tc>
          <w:tcPr>
            <w:tcW w:type="dxa" w:w="2268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/>
          </w:p>
        </w:tc>
        <w:tc>
          <w:tcPr>
            <w:tcW w:type="dxa" w:w="1984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/>
          </w:p>
        </w:tc>
        <w:tc>
          <w:tcPr>
            <w:tcW w:type="dxa" w:w="2268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/>
          </w:p>
        </w:tc>
      </w:tr>
      <w:tr>
        <w:tc>
          <w:tcPr>
            <w:tcW w:type="dxa" w:w="2835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/>
          </w:p>
        </w:tc>
        <w:tc>
          <w:tcPr>
            <w:tcW w:type="dxa" w:w="2268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/>
          </w:p>
        </w:tc>
        <w:tc>
          <w:tcPr>
            <w:tcW w:type="dxa" w:w="1984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/>
          </w:p>
        </w:tc>
        <w:tc>
          <w:tcPr>
            <w:tcW w:type="dxa" w:w="2268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/>
          </w:p>
        </w:tc>
      </w:tr>
      <w:tr>
        <w:tc>
          <w:tcPr>
            <w:tcW w:type="dxa" w:w="2835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/>
          </w:p>
        </w:tc>
        <w:tc>
          <w:tcPr>
            <w:tcW w:type="dxa" w:w="2268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/>
          </w:p>
        </w:tc>
        <w:tc>
          <w:tcPr>
            <w:tcW w:type="dxa" w:w="1984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/>
          </w:p>
        </w:tc>
        <w:tc>
          <w:tcPr>
            <w:tcW w:type="dxa" w:w="2268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/>
          </w:p>
        </w:tc>
      </w:tr>
    </w:tbl>
    <w:p>
      <w:pPr>
        <w:spacing w:after="120"/>
      </w:pPr>
      <w:r>
        <w:rPr>
          <w:rFonts w:ascii="Calibri" w:hAnsi="Calibri"/>
          <w:b w:val="0"/>
          <w:color w:val="6B7280"/>
          <w:sz w:val="18"/>
        </w:rPr>
        <w:t>Required signers: Manual team lead • Automation team lead • Risk reviewer • Head of Trading</w:t>
      </w:r>
    </w:p>
    <w:p>
      <w:r>
        <w:br w:type="page"/>
      </w:r>
    </w:p>
    <w:p>
      <w:pPr>
        <w:spacing w:before="280" w:after="80"/>
        <w:pBdr>
          <w:bottom w:val="single" w:sz="8" w:space="1" w:color="BDD4F5"/>
        </w:pBdr>
      </w:pPr>
      <w:r>
        <w:rPr>
          <w:rFonts w:ascii="Calibri" w:hAnsi="Calibri"/>
          <w:b/>
          <w:color w:val="004AAC"/>
          <w:sz w:val="28"/>
        </w:rPr>
        <w:t>Appendix A — Attachments Checklist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680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4AAC"/>
                <w:sz w:val="28"/>
              </w:rPr>
              <w:t>☐</w:t>
            </w:r>
          </w:p>
        </w:tc>
        <w:tc>
          <w:tcPr>
            <w:tcW w:type="dxa" w:w="8674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>
              <w:rPr>
                <w:rFonts w:ascii="Calibri" w:hAnsi="Calibri"/>
                <w:b w:val="0"/>
                <w:color w:val="1A1A1A"/>
                <w:sz w:val="20"/>
              </w:rPr>
              <w:t>Strategy logic document (PDF or DOCX).</w:t>
            </w:r>
          </w:p>
        </w:tc>
      </w:tr>
      <w:tr>
        <w:tc>
          <w:tcPr>
            <w:tcW w:type="dxa" w:w="680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4AAC"/>
                <w:sz w:val="28"/>
              </w:rPr>
              <w:t>☐</w:t>
            </w:r>
          </w:p>
        </w:tc>
        <w:tc>
          <w:tcPr>
            <w:tcW w:type="dxa" w:w="8674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>
              <w:rPr>
                <w:rFonts w:ascii="Calibri" w:hAnsi="Calibri"/>
                <w:b w:val="0"/>
                <w:color w:val="1A1A1A"/>
                <w:sz w:val="20"/>
              </w:rPr>
              <w:t>Backtest report (full equity curve, trade list, drawdown chart).</w:t>
            </w:r>
          </w:p>
        </w:tc>
      </w:tr>
      <w:tr>
        <w:tc>
          <w:tcPr>
            <w:tcW w:type="dxa" w:w="680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4AAC"/>
                <w:sz w:val="28"/>
              </w:rPr>
              <w:t>☐</w:t>
            </w:r>
          </w:p>
        </w:tc>
        <w:tc>
          <w:tcPr>
            <w:tcW w:type="dxa" w:w="8674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>
              <w:rPr>
                <w:rFonts w:ascii="Calibri" w:hAnsi="Calibri"/>
                <w:b w:val="0"/>
                <w:color w:val="1A1A1A"/>
                <w:sz w:val="20"/>
              </w:rPr>
              <w:t>Out-of-sample / walk-forward report.</w:t>
            </w:r>
          </w:p>
        </w:tc>
      </w:tr>
      <w:tr>
        <w:tc>
          <w:tcPr>
            <w:tcW w:type="dxa" w:w="680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4AAC"/>
                <w:sz w:val="28"/>
              </w:rPr>
              <w:t>☐</w:t>
            </w:r>
          </w:p>
        </w:tc>
        <w:tc>
          <w:tcPr>
            <w:tcW w:type="dxa" w:w="8674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>
              <w:rPr>
                <w:rFonts w:ascii="Calibri" w:hAnsi="Calibri"/>
                <w:b w:val="0"/>
                <w:color w:val="1A1A1A"/>
                <w:sz w:val="20"/>
              </w:rPr>
              <w:t>Annotated chart screenshots showing 3+ example trades.</w:t>
            </w:r>
          </w:p>
        </w:tc>
      </w:tr>
      <w:tr>
        <w:tc>
          <w:tcPr>
            <w:tcW w:type="dxa" w:w="680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4AAC"/>
                <w:sz w:val="28"/>
              </w:rPr>
              <w:t>☐</w:t>
            </w:r>
          </w:p>
        </w:tc>
        <w:tc>
          <w:tcPr>
            <w:tcW w:type="dxa" w:w="8674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>
              <w:rPr>
                <w:rFonts w:ascii="Calibri" w:hAnsi="Calibri"/>
                <w:b w:val="0"/>
                <w:color w:val="1A1A1A"/>
                <w:sz w:val="20"/>
              </w:rPr>
              <w:t>Indicator source code or formulas.</w:t>
            </w:r>
          </w:p>
        </w:tc>
      </w:tr>
      <w:tr>
        <w:tc>
          <w:tcPr>
            <w:tcW w:type="dxa" w:w="680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4AAC"/>
                <w:sz w:val="28"/>
              </w:rPr>
              <w:t>☐</w:t>
            </w:r>
          </w:p>
        </w:tc>
        <w:tc>
          <w:tcPr>
            <w:tcW w:type="dxa" w:w="8674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>
              <w:rPr>
                <w:rFonts w:ascii="Calibri" w:hAnsi="Calibri"/>
                <w:b w:val="0"/>
                <w:color w:val="1A1A1A"/>
                <w:sz w:val="20"/>
              </w:rPr>
              <w:t>Risk model spreadsheet.</w:t>
            </w:r>
          </w:p>
        </w:tc>
      </w:tr>
    </w:tbl>
    <w:p>
      <w:pPr>
        <w:spacing w:before="280" w:after="80"/>
        <w:pBdr>
          <w:bottom w:val="single" w:sz="8" w:space="1" w:color="BDD4F5"/>
        </w:pBdr>
      </w:pPr>
      <w:r>
        <w:rPr>
          <w:rFonts w:ascii="Calibri" w:hAnsi="Calibri"/>
          <w:b/>
          <w:color w:val="004AAC"/>
          <w:sz w:val="28"/>
        </w:rPr>
        <w:t>Appendix B — Revision History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134"/>
            <w:shd w:val="clear" w:color="auto" w:fill="004AAC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1701"/>
            <w:shd w:val="clear" w:color="auto" w:fill="004AAC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2268"/>
            <w:shd w:val="clear" w:color="auto" w:fill="004AAC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4252"/>
            <w:shd w:val="clear" w:color="auto" w:fill="004AAC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Change summary</w:t>
            </w:r>
          </w:p>
        </w:tc>
      </w:tr>
      <w:tr>
        <w:tc>
          <w:tcPr>
            <w:tcW w:type="dxa" w:w="1134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/>
          </w:p>
        </w:tc>
        <w:tc>
          <w:tcPr>
            <w:tcW w:type="dxa" w:w="1701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/>
          </w:p>
        </w:tc>
        <w:tc>
          <w:tcPr>
            <w:tcW w:type="dxa" w:w="2268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/>
          </w:p>
        </w:tc>
        <w:tc>
          <w:tcPr>
            <w:tcW w:type="dxa" w:w="4252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/>
          </w:p>
        </w:tc>
      </w:tr>
      <w:tr>
        <w:tc>
          <w:tcPr>
            <w:tcW w:type="dxa" w:w="1134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/>
          </w:p>
        </w:tc>
        <w:tc>
          <w:tcPr>
            <w:tcW w:type="dxa" w:w="1701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/>
          </w:p>
        </w:tc>
        <w:tc>
          <w:tcPr>
            <w:tcW w:type="dxa" w:w="2268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/>
          </w:p>
        </w:tc>
        <w:tc>
          <w:tcPr>
            <w:tcW w:type="dxa" w:w="4252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/>
          </w:p>
        </w:tc>
      </w:tr>
      <w:tr>
        <w:tc>
          <w:tcPr>
            <w:tcW w:type="dxa" w:w="1134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/>
          </w:p>
        </w:tc>
        <w:tc>
          <w:tcPr>
            <w:tcW w:type="dxa" w:w="1701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/>
          </w:p>
        </w:tc>
        <w:tc>
          <w:tcPr>
            <w:tcW w:type="dxa" w:w="2268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/>
          </w:p>
        </w:tc>
        <w:tc>
          <w:tcPr>
            <w:tcW w:type="dxa" w:w="4252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/>
          </w:p>
        </w:tc>
      </w:tr>
      <w:tr>
        <w:tc>
          <w:tcPr>
            <w:tcW w:type="dxa" w:w="1134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/>
          </w:p>
        </w:tc>
        <w:tc>
          <w:tcPr>
            <w:tcW w:type="dxa" w:w="1701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/>
          </w:p>
        </w:tc>
        <w:tc>
          <w:tcPr>
            <w:tcW w:type="dxa" w:w="2268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/>
          </w:p>
        </w:tc>
        <w:tc>
          <w:tcPr>
            <w:tcW w:type="dxa" w:w="4252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/>
          </w:p>
        </w:tc>
      </w:tr>
      <w:tr>
        <w:tc>
          <w:tcPr>
            <w:tcW w:type="dxa" w:w="1134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/>
          </w:p>
        </w:tc>
        <w:tc>
          <w:tcPr>
            <w:tcW w:type="dxa" w:w="1701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/>
          </w:p>
        </w:tc>
        <w:tc>
          <w:tcPr>
            <w:tcW w:type="dxa" w:w="2268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/>
          </w:p>
        </w:tc>
        <w:tc>
          <w:tcPr>
            <w:tcW w:type="dxa" w:w="4252"/>
            <w:tcBorders>
              <w:top w:val="single" w:sz="6" w:color="BFCBDB"/>
              <w:left w:val="single" w:sz="6" w:color="BFCBDB"/>
              <w:bottom w:val="single" w:sz="6" w:color="BFCBDB"/>
              <w:right w:val="single" w:sz="6" w:color="BFCBDB"/>
            </w:tcBorders>
          </w:tcPr>
          <w:p>
            <w:r/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color w:val="6B7280"/>
        <w:sz w:val="18"/>
      </w:rPr>
      <w:t>Rey Capital  •  Smart Investments  •  Internal Use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463040" cy="40565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ReyCapital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63040" cy="405655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</w:pPr>
    <w:r>
      <w:rPr>
        <w:rFonts w:ascii="Calibri" w:hAnsi="Calibri"/>
        <w:b/>
        <w:color w:val="004AAC"/>
        <w:sz w:val="20"/>
      </w:rPr>
      <w:t>Strategy Handoff &amp; Go-Live Acceptance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