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748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Capital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4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 w:val="0"/>
          <w:color w:val="404040"/>
          <w:sz w:val="2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9972"/>
      </w:tblGrid>
      <w:tr>
        <w:tc>
          <w:tcPr>
            <w:tcW w:type="dxa" w:w="9972"/>
            <w:shd w:val="clear" w:color="auto" w:fill="FDE7E9"/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C00000"/>
                <w:sz w:val="22"/>
              </w:rPr>
              <w:t>CONFIDENTIAL — REY CAPITAL INTERNAL USE ONLY  |  DO NOT DISTRIBUTE</w:t>
            </w:r>
          </w:p>
        </w:tc>
      </w:tr>
    </w:tbl>
    <w:p>
      <w:r>
        <w:rPr>
          <w:rFonts w:ascii="Calibri" w:hAnsi="Calibri"/>
          <w:b w:val="0"/>
          <w:i w:val="0"/>
          <w:color w:val="40404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0267A"/>
          </w:tcPr>
          <w:p>
            <w:pPr>
              <w:jc w:val="center"/>
              <w:spacing w:before="120" w:after="120"/>
            </w:pPr>
            <w:r>
              <w:rPr>
                <w:rFonts w:ascii="Calibri" w:hAnsi="Calibri"/>
                <w:b/>
                <w:color w:val="FFFFFF"/>
                <w:sz w:val="40"/>
              </w:rPr>
              <w:t>CFD STRATEGY SPECIFICATION DOCUMENT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2"/>
        </w:rPr>
        <w:t>Rey Capital | Smart Investments — Manual Trader → Automation Intake</w:t>
      </w:r>
    </w:p>
    <w:p>
      <w:r>
        <w:rPr>
          <w:rFonts w:ascii="Calibri" w:hAnsi="Calibri"/>
          <w:b w:val="0"/>
          <w:i w:val="0"/>
          <w:color w:val="40404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E3FAE"/>
          </w:tcPr>
          <w:p>
            <w:pPr>
              <w:jc w:val="center"/>
              <w:spacing w:before="120" w:after="120"/>
            </w:pPr>
            <w:r>
              <w:rPr>
                <w:rFonts w:ascii="Calibri" w:hAnsi="Calibri"/>
                <w:b/>
                <w:color w:val="FFFFFF"/>
                <w:sz w:val="40"/>
              </w:rPr>
              <w:t>STRATEGY METADATA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Strategy Name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EMA 9-21 Crossover (FX &amp; Indices)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Strategy Code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CFD_EMA_9_21_v1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1.0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Author / PM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Ninad Kulkarni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Desk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Systematic FX Desk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Submission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2026-04-20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Strategy Category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Trend-Following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Direction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Both (Long &amp; Short)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Base Currency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USD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Primary Timeframe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H1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Companion Excel File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CFD_Strategy_Params_SAMPLE_EMA_9_21_Crossover.xlsx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Document Status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DRAFT — Pending Sign-off</w:t>
            </w:r>
          </w:p>
        </w:tc>
      </w:tr>
    </w:tbl>
    <w:p>
      <w:r>
        <w:rPr>
          <w:rFonts w:ascii="Calibri" w:hAnsi="Calibri"/>
          <w:b w:val="0"/>
          <w:i w:val="0"/>
          <w:color w:val="404040"/>
          <w:sz w:val="22"/>
        </w:rPr>
      </w:r>
    </w:p>
    <w:p>
      <w:r>
        <w:rPr>
          <w:rFonts w:ascii="Calibri" w:hAnsi="Calibri"/>
          <w:b w:val="0"/>
          <w:i/>
          <w:color w:val="404040"/>
          <w:sz w:val="20"/>
        </w:rPr>
        <w:t>Fill every field. Ambiguous, vague, or missing sections will cause the automation team to reject this specification. If a section does not apply, write 'N/A' with a brief justification. This document is the contract between the trader and the automation team — rules stated here are what will be coded. Anything not stated here will NOT be implemented.</w:t>
      </w:r>
    </w:p>
    <w:p>
      <w:r>
        <w:br w:type="page"/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1. Strategy Identification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1.1 Core Thesis</w:t>
      </w:r>
    </w:p>
    <w:p>
      <w:r>
        <w:rPr>
          <w:rFonts w:ascii="Calibri" w:hAnsi="Calibri"/>
          <w:b w:val="0"/>
          <w:i w:val="0"/>
          <w:color w:val="404040"/>
          <w:sz w:val="22"/>
        </w:rPr>
        <w:t>Markets exhibit persistent short-to-medium term momentum on liquid FX majors and equity indices. When the 9-period EMA crosses the 21-period EMA on the H1 timeframe, it signals a shift in short-term momentum that, when filtered by session and volatility regime, captures 1R–3R directional moves before mean-reversion sets in. Edge is strongest during London and London-NY overlap sessions when institutional flow dominates.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1.2 Edge Source &amp; Academic Support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Momentum anomaly (Jegadeesh &amp; Titman, 1993) — cross-asset.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Session-based volatility clustering — London/NY overlap provides highest signal-to-noise.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Moving-average crossover as trend filter — reduces false signals in ranging markets.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2. Market &amp; Instrument Scope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2.1 Asset Classes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FX Majors (high liquidity, tight spreads)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Commodity CFDs (Gold only)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Index CFDs (US and EU cash indices)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2.2 Instrument Universe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1984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Asset Class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Typical Spread</w:t>
            </w:r>
          </w:p>
        </w:tc>
        <w:tc>
          <w:tcPr>
            <w:tcW w:type="dxa" w:w="3969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Why Included</w:t>
            </w:r>
          </w:p>
        </w:tc>
      </w:tr>
      <w:tr>
        <w:tc>
          <w:tcPr>
            <w:tcW w:type="dxa" w:w="1417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EURUSD</w:t>
            </w:r>
          </w:p>
        </w:tc>
        <w:tc>
          <w:tcPr>
            <w:tcW w:type="dxa" w:w="1984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FX Major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0.8 pips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Highest FX liquidity, lowest cost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GBPUSD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FX Major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1.2 pips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Strong trends during London</w:t>
            </w:r>
          </w:p>
        </w:tc>
      </w:tr>
      <w:tr>
        <w:tc>
          <w:tcPr>
            <w:tcW w:type="dxa" w:w="1417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USDJPY</w:t>
            </w:r>
          </w:p>
        </w:tc>
        <w:tc>
          <w:tcPr>
            <w:tcW w:type="dxa" w:w="1984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FX Major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1.0 pips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Carry &amp; BoJ-driven trends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XAUUSD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Commodity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3.0 pips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Persistent macro trends</w:t>
            </w:r>
          </w:p>
        </w:tc>
      </w:tr>
      <w:tr>
        <w:tc>
          <w:tcPr>
            <w:tcW w:type="dxa" w:w="1417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US30</w:t>
            </w:r>
          </w:p>
        </w:tc>
        <w:tc>
          <w:tcPr>
            <w:tcW w:type="dxa" w:w="1984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Index CFD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2.5 pts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US equity momentum proxy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GER40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Index CFD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1.8 pts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EU equity momentum proxy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0"/>
        </w:rPr>
        <w:t>Full per-symbol specs: see Params.xlsx → Instruments tab.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2.3 Liquidity Filters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Minimum 10 billion USD average daily volume (FX).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Spread must be within 1.5x of typical spread at time of signal.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No trading in first/last 15 minutes of any session.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3. Timeframe &amp; Session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Primary Timeframe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H1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Confirmation Timeframe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H4 (trend alignment)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Session Window (GMT)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07:00 – 20:00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Preferred Sessions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London, London-NY Overlap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No-Entry Window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14:25–14:35 GMT (US data releases)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Holding Period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Intraday to 3 days max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Weekly Square-Off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21:00 GMT Friday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Blackout Dates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FOMC days, NFP, CPI, ECB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4. Entry Logic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4.1 Indicators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Indicator</w:t>
            </w:r>
          </w:p>
        </w:tc>
        <w:tc>
          <w:tcPr>
            <w:tcW w:type="dxa" w:w="2835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Parameters</w:t>
            </w:r>
          </w:p>
        </w:tc>
        <w:tc>
          <w:tcPr>
            <w:tcW w:type="dxa" w:w="3969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Source / Price Input</w:t>
            </w:r>
          </w:p>
        </w:tc>
      </w:tr>
      <w:tr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EMA (fast)</w:t>
            </w:r>
          </w:p>
        </w:tc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Period = 9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Close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EMA (slow)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Period = 21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Close</w:t>
            </w:r>
          </w:p>
        </w:tc>
      </w:tr>
      <w:tr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ATR</w:t>
            </w:r>
          </w:p>
        </w:tc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Period = 14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High-Low-Close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EMA (trend filter)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Period = 200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Close (on H4)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4.2 Long Entry Rules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1: EMA(9) crosses ABOVE EMA(21) on current H1 bar close.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2: Close price is ABOVE EMA(200) on H4 (trend filter).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3: ATR(14) &gt; 70% of 20-day average ATR (volatility filter — skip dead markets).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4: Current time is within preferred session window (07:00–20:00 GMT).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5: Spread at signal time ≤ 1.5× typical spread.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Order placed at next bar open.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4.3 Short Entry Rules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1: EMA(9) crosses BELOW EMA(21) on current H1 bar close.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 2: Close price is BELOW EMA(200) on H4.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Conditions 3–5: Same as long (volatility, session, spread filters).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Order placed at next bar open.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4.4 Worked Example</w:t>
      </w:r>
    </w:p>
    <w:p>
      <w:r>
        <w:rPr>
          <w:rFonts w:ascii="Calibri" w:hAnsi="Calibri"/>
          <w:b w:val="0"/>
          <w:i w:val="0"/>
          <w:color w:val="404040"/>
          <w:sz w:val="22"/>
        </w:rPr>
        <w:t>EURUSD H1 bar closing 2026-03-15 09:00 GMT: EMA(9)=1.0845, EMA(21)=1.0842 — bullish crossover. H4 EMA(200)=1.0801, close=1.0845 (above filter). ATR(14)=0.0032 vs 20-day avg ATR=0.0028 (1.14× — pass). Spread=0.9 pips (≤ 1.5×0.8=1.2 pips). Time=09:00 GMT (London session). ALL CONDITIONS MET. Long entry at next bar open (10:00 GMT) at 1.0847.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5. Exit Logic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Initial Stop-Loss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MAX(30 pips, 1.5 × ATR(14))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Take-Profit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2R (2× initial stop distance)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Trailing Stop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Activated at 1R profit; trail 1× ATR(14) from high/low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Reverse Signal Exit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Close immediately if opposite EMA crossover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Time-Based Exit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Close at 21:00 GMT Friday regardless of P&amp;L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Emergency Exit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Close if spread widens to &gt; 3× typical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6. Position Sizing &amp; Risk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Capital Allocation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1% of NAV risk per trade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Sizing Formula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Lot Size = (Equity × 0.01) / (Stop Pips × Pip Value)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Concurrent Positions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4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Daily Loss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3% of NAV (kill-switch triggers)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Drawdown Tolerance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15% peak-to-trough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Leverage Cap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30:1 (retail) / 100:1 (prof)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Correlation Cap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Max 2 open positions in correlated cluster (e.g., EURUSD+GBPUSD)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Sector / Cluster Groups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FX-USD / Precious Metals / US Indices / EU Indices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0"/>
        </w:rPr>
        <w:t>Full sizing matrix: see Params.xlsx → PositionSizing tab.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7. Order Execution 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Order Type (Entry)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Market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Order Type (Stop)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SL-M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Order Type (Target)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Limit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Slippage Tolerance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1.0 pips FX / 2.0 pts indices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Partial Fill Handling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Accept any fill ≥ 50% of requested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Rejection Retry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3 retries at 200ms intervals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Smart Order Routing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Prefer lowest-spread venue; fallback to primary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8. Edge Cases &amp; Exceptions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6236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Handling Rule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Circuit limit / halt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Cancel pending; hold existing until reopen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Gap opening &gt; 1%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Skip signal; wait for next bar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Missing / stale tick &gt; 5s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Pause strategy; alert ops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Corporate action (index)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Flatten 1 day before; resume after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CFD swap charge (22:00 GMT)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Account for in PnL; triple swap Wednesday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Broker connectivity loss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Attempt reconnect 5×; else market-close all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Weekend gap (Sunday open)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No new Friday entries after 19:00 GMT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High-impact news within 30min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Block new entries; trail stop tight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9. Backtest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Backtest Period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2020-01-01 to 2025-12-31 (6 years)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Out-of-Sample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2024-01 to 2025-12 (2 years)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Data Source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Dukascopy M1 aggregated to H1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Costs Modeled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Spread + commission + swap + 0.5pip slippage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Portfolio Sharpe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2.18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Sortino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2.94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Drawdown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7.1%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CAGR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16.2%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Win Rate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52.5%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Profit Factor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1.68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Total Trades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1,959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0"/>
        </w:rPr>
        <w:t>Per-symbol metrics &amp; trade log: see Params.xlsx → BacktestMetrics tab.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10. Go-Live &amp; Monitoring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10.1 Ramp-Up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Capital</w:t>
            </w:r>
          </w:p>
        </w:tc>
        <w:tc>
          <w:tcPr>
            <w:tcW w:type="dxa" w:w="3969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Gate to Next Phase</w:t>
            </w:r>
          </w:p>
        </w:tc>
      </w:tr>
      <w:tr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Paper Trading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6 weeks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0% (simulated)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Live slippage &amp; fill rate tracking backtest ±15%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Pilot Live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4 weeks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10% of target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Live Sharpe ≥ 1.0 and DD &lt; 5%</w:t>
            </w:r>
          </w:p>
        </w:tc>
      </w:tr>
      <w:tr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Scale-Up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4 weeks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50% of target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Live Sharpe ≥ backtest × 0.7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Full Allocation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Ongoing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100%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Quarterly review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10.2 Daily Monitoring KPIs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Realized vs expected PnL deviation (threshold: ±2σ over 20 trades).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Slippage vs backtest assumption (threshold: +50%).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Fill rate (threshold: &lt; 90% triggers review).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Average holding time vs backtest (threshold: ±30%).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10.3 Kill-Switch Triggers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Daily loss &gt; 3% of allocation → halt for the day.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Weekly loss &gt; 7% → halt pending PM + risk review.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5 consecutive stop-outs → halt &amp; diagnose.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Broker latency &gt; 500ms sustained &gt; 2 min → halt.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10.4 Alerting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All kill-switch events: page PM + Risk + Ops (Slack + SMS).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Daily PnL summary emailed 22:30 GMT.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Weekly performance review meeting, Mondays 09:30 IST.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11. Sign-offs</w:t>
      </w:r>
    </w:p>
    <w:p>
      <w:r>
        <w:rPr>
          <w:rFonts w:ascii="Calibri" w:hAnsi="Calibri"/>
          <w:b w:val="0"/>
          <w:i/>
          <w:color w:val="404040"/>
          <w:sz w:val="20"/>
        </w:rPr>
        <w:t>This strategy may not proceed to paper trading until all signatures are captured.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2268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type="dxa" w:w="3118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Signature / Date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55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Trader / PM</w:t>
            </w:r>
          </w:p>
        </w:tc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Ninad Kulkarni</w:t>
            </w:r>
          </w:p>
        </w:tc>
        <w:tc>
          <w:tcPr>
            <w:tcW w:type="dxa" w:w="311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 / 2026-04-20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Pending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Automation Lead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 / 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Pending</w:t>
            </w:r>
          </w:p>
        </w:tc>
      </w:tr>
      <w:tr>
        <w:tc>
          <w:tcPr>
            <w:tcW w:type="dxa" w:w="255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Risk Manager</w:t>
            </w:r>
          </w:p>
        </w:tc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 / 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Pending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Compliance Officer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 / 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Pending</w:t>
            </w:r>
          </w:p>
        </w:tc>
      </w:tr>
      <w:tr>
        <w:tc>
          <w:tcPr>
            <w:tcW w:type="dxa" w:w="255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Head of Desk</w:t>
            </w:r>
          </w:p>
        </w:tc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 / 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404040"/>
        <w:sz w:val="18"/>
      </w:rPr>
      <w:t>Rey Capital — CONFIDENTIAL — CFD Strategy Spec v1.0  |  Do not distribute.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color="1E3FAE"/>
      </w:pBdr>
    </w:pPr>
    <w:r>
      <w:rPr>
        <w:rFonts w:ascii="Calibri" w:hAnsi="Calibri"/>
        <w:b/>
        <w:color w:val="1E3FAE"/>
        <w:sz w:val="18"/>
      </w:rPr>
      <w:t xml:space="preserve">REY CAPITAL  |  </w:t>
    </w:r>
    <w:r>
      <w:rPr>
        <w:rFonts w:ascii="Calibri" w:hAnsi="Calibri"/>
        <w:b/>
        <w:i/>
        <w:color w:val="C00000"/>
        <w:sz w:val="18"/>
      </w:rPr>
      <w:t>CONFIDENTIAL —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CFD Strategy Specification — Rey Capital</dc:title>
  <dc:subject/>
  <dc:creator>Rey Capital</dc:creator>
  <cp:keywords>CONFIDENTIAL, CFD, Strategy, Rey Capital</cp:keywords>
  <dc:description>Confidential — Rey Capital internal use only.</dc:description>
  <cp:lastModifiedBy/>
  <cp:revision>1</cp:revision>
  <dcterms:created xsi:type="dcterms:W3CDTF">2013-12-23T23:15:00Z</dcterms:created>
  <dcterms:modified xsi:type="dcterms:W3CDTF">2013-12-23T23:15:00Z</dcterms:modified>
  <cp:category>CONFIDENTIAL</cp:category>
</cp:coreProperties>
</file>