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748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Capital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748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 w:val="0"/>
          <w:color w:val="404040"/>
          <w:sz w:val="2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9972"/>
      </w:tblGrid>
      <w:tr>
        <w:tc>
          <w:tcPr>
            <w:tcW w:type="dxa" w:w="9972"/>
            <w:shd w:val="clear" w:color="auto" w:fill="FDE7E9"/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C00000"/>
                <w:sz w:val="22"/>
              </w:rPr>
              <w:t>CONFIDENTIAL — REY CAPITAL INTERNAL USE ONLY  |  DO NOT DISTRIBUTE</w:t>
            </w:r>
          </w:p>
        </w:tc>
      </w:tr>
    </w:tbl>
    <w:p>
      <w:r>
        <w:rPr>
          <w:rFonts w:ascii="Calibri" w:hAnsi="Calibri"/>
          <w:b w:val="0"/>
          <w:i w:val="0"/>
          <w:color w:val="404040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10267A"/>
          </w:tcPr>
          <w:p>
            <w:pPr>
              <w:jc w:val="center"/>
              <w:spacing w:before="120" w:after="120"/>
            </w:pPr>
            <w:r>
              <w:rPr>
                <w:rFonts w:ascii="Calibri" w:hAnsi="Calibri"/>
                <w:b/>
                <w:color w:val="FFFFFF"/>
                <w:sz w:val="40"/>
              </w:rPr>
              <w:t>CFD STRATEGY SPECIFICATION DOCUMENT</w:t>
            </w:r>
          </w:p>
        </w:tc>
      </w:tr>
    </w:tbl>
    <w:p>
      <w:r>
        <w:rPr>
          <w:rFonts w:ascii="Calibri" w:hAnsi="Calibri"/>
          <w:b w:val="0"/>
          <w:i/>
          <w:color w:val="404040"/>
          <w:sz w:val="22"/>
        </w:rPr>
        <w:t>Rey Capital | Smart Investments — Manual Trader → Automation Intake</w:t>
      </w:r>
    </w:p>
    <w:p>
      <w:r>
        <w:rPr>
          <w:rFonts w:ascii="Calibri" w:hAnsi="Calibri"/>
          <w:b w:val="0"/>
          <w:i w:val="0"/>
          <w:color w:val="404040"/>
          <w:sz w:val="2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val="clear" w:color="auto" w:fill="1E3FAE"/>
          </w:tcPr>
          <w:p>
            <w:pPr>
              <w:jc w:val="center"/>
              <w:spacing w:before="120" w:after="120"/>
            </w:pPr>
            <w:r>
              <w:rPr>
                <w:rFonts w:ascii="Calibri" w:hAnsi="Calibri"/>
                <w:b/>
                <w:color w:val="FFFFFF"/>
                <w:sz w:val="40"/>
              </w:rPr>
              <w:t>STRATEGY METADATA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4986"/>
        <w:gridCol w:w="4986"/>
      </w:tblGrid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Strategy Name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Strategy Code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Version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Author / PM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Desk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Submission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Strategy Category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Direction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Base Currency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Primary Timeframe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Companion Excel File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CFD_Strategy_Params_v1.xlsx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Document Status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BLANK TEMPLATE</w:t>
            </w:r>
          </w:p>
        </w:tc>
      </w:tr>
    </w:tbl>
    <w:p>
      <w:r>
        <w:rPr>
          <w:rFonts w:ascii="Calibri" w:hAnsi="Calibri"/>
          <w:b w:val="0"/>
          <w:i w:val="0"/>
          <w:color w:val="404040"/>
          <w:sz w:val="22"/>
        </w:rPr>
      </w:r>
    </w:p>
    <w:p>
      <w:r>
        <w:rPr>
          <w:rFonts w:ascii="Calibri" w:hAnsi="Calibri"/>
          <w:b w:val="0"/>
          <w:i/>
          <w:color w:val="404040"/>
          <w:sz w:val="20"/>
        </w:rPr>
        <w:t>Fill every field. Ambiguous, vague, or missing sections will cause the automation team to reject this specification. If a section does not apply, write 'N/A' with a brief justification. This document is the contract between the trader and the automation team — rules stated here are what will be coded. Anything not stated here will NOT be implemented.</w:t>
      </w:r>
    </w:p>
    <w:p>
      <w:r>
        <w:br w:type="page"/>
      </w:r>
    </w:p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1. Strategy Identification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1.1 Core Thesis</w:t>
      </w:r>
    </w:p>
    <w:p>
      <w:r>
        <w:rPr>
          <w:rFonts w:ascii="Calibri" w:hAnsi="Calibri"/>
          <w:b w:val="0"/>
          <w:i/>
          <w:color w:val="404040"/>
          <w:sz w:val="22"/>
        </w:rPr>
        <w:t>[ One-line thesis — why does this strategy make money? What is the edge hypothesis? ]</w:t>
      </w:r>
    </w:p>
    <w:p>
      <w:r>
        <w:rPr>
          <w:rFonts w:ascii="Calibri" w:hAnsi="Calibri"/>
          <w:b w:val="0"/>
          <w:i w:val="0"/>
          <w:color w:val="404040"/>
          <w:sz w:val="22"/>
        </w:rPr>
        <w:t>__________________________</w:t>
      </w:r>
    </w:p>
    <w:p>
      <w:r>
        <w:rPr>
          <w:rFonts w:ascii="Calibri" w:hAnsi="Calibri"/>
          <w:b w:val="0"/>
          <w:i w:val="0"/>
          <w:color w:val="404040"/>
          <w:sz w:val="22"/>
        </w:rPr>
        <w:t>__________________________</w:t>
      </w:r>
    </w:p>
    <w:p>
      <w:r>
        <w:rPr>
          <w:rFonts w:ascii="Calibri" w:hAnsi="Calibri"/>
          <w:b w:val="0"/>
          <w:i w:val="0"/>
          <w:color w:val="404040"/>
          <w:sz w:val="22"/>
        </w:rPr>
        <w:t>__________________________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1.2 Edge Source &amp; Academic Support</w:t>
      </w:r>
    </w:p>
    <w:p>
      <w:r>
        <w:rPr>
          <w:rFonts w:ascii="Calibri" w:hAnsi="Calibri"/>
          <w:b w:val="0"/>
          <w:i/>
          <w:color w:val="404040"/>
          <w:sz w:val="22"/>
        </w:rPr>
        <w:t>[ Cite papers, prior research, or internal evidence of edge. ]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2. Market &amp; Instrument Scope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2.1 Asset Classes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2.2 Instrument Universe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Symbol</w:t>
            </w:r>
          </w:p>
        </w:tc>
        <w:tc>
          <w:tcPr>
            <w:tcW w:type="dxa" w:w="1984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Asset Class</w:t>
            </w:r>
          </w:p>
        </w:tc>
        <w:tc>
          <w:tcPr>
            <w:tcW w:type="dxa" w:w="1701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Typical Spread</w:t>
            </w:r>
          </w:p>
        </w:tc>
        <w:tc>
          <w:tcPr>
            <w:tcW w:type="dxa" w:w="3969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Why Included</w:t>
            </w:r>
          </w:p>
        </w:tc>
      </w:tr>
      <w:tr>
        <w:tc>
          <w:tcPr>
            <w:tcW w:type="dxa" w:w="1417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984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969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1417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984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969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1417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984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969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2.3 Liquidity Filters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3. Timeframe &amp; Session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4986"/>
        <w:gridCol w:w="4986"/>
      </w:tblGrid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Primary Timeframe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Confirmation Timeframe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Session Window (GMT)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Preferred Sessions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No-Entry Window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Holding Period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Weekly Square-Off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Blackout Dates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</w:tbl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4. Entry Logic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4.1 Indicators Used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Indicator</w:t>
            </w:r>
          </w:p>
        </w:tc>
        <w:tc>
          <w:tcPr>
            <w:tcW w:type="dxa" w:w="2835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Parameters</w:t>
            </w:r>
          </w:p>
        </w:tc>
        <w:tc>
          <w:tcPr>
            <w:tcW w:type="dxa" w:w="3969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Source / Price Input</w:t>
            </w:r>
          </w:p>
        </w:tc>
      </w:tr>
      <w:tr>
        <w:tc>
          <w:tcPr>
            <w:tcW w:type="dxa" w:w="2835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2835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969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2835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2835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969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4.2 Long Entry Rules</w:t>
      </w:r>
    </w:p>
    <w:p>
      <w:r>
        <w:rPr>
          <w:rFonts w:ascii="Calibri" w:hAnsi="Calibri"/>
          <w:b w:val="0"/>
          <w:i/>
          <w:color w:val="404040"/>
          <w:sz w:val="22"/>
        </w:rPr>
        <w:t>[ List ALL conditions that must be true simultaneously for a long entry. Be unambiguous. ]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4.3 Short Entry Rules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4.4 Worked Example</w:t>
      </w:r>
    </w:p>
    <w:p>
      <w:r>
        <w:rPr>
          <w:rFonts w:ascii="Calibri" w:hAnsi="Calibri"/>
          <w:b w:val="0"/>
          <w:i/>
          <w:color w:val="404040"/>
          <w:sz w:val="22"/>
        </w:rPr>
        <w:t>[ Provide one worked example using real historical bar values showing every condition check. ]</w:t>
      </w:r>
    </w:p>
    <w:p>
      <w:r>
        <w:rPr>
          <w:rFonts w:ascii="Calibri" w:hAnsi="Calibri"/>
          <w:b w:val="0"/>
          <w:i w:val="0"/>
          <w:color w:val="404040"/>
          <w:sz w:val="22"/>
        </w:rPr>
        <w:t>__________________________</w:t>
      </w:r>
    </w:p>
    <w:p>
      <w:r>
        <w:rPr>
          <w:rFonts w:ascii="Calibri" w:hAnsi="Calibri"/>
          <w:b w:val="0"/>
          <w:i w:val="0"/>
          <w:color w:val="404040"/>
          <w:sz w:val="22"/>
        </w:rPr>
        <w:t>__________________________</w:t>
      </w:r>
    </w:p>
    <w:p>
      <w:r>
        <w:rPr>
          <w:rFonts w:ascii="Calibri" w:hAnsi="Calibri"/>
          <w:b w:val="0"/>
          <w:i w:val="0"/>
          <w:color w:val="404040"/>
          <w:sz w:val="22"/>
        </w:rPr>
        <w:t>__________________________</w:t>
      </w:r>
    </w:p>
    <w:p>
      <w:r>
        <w:rPr>
          <w:rFonts w:ascii="Calibri" w:hAnsi="Calibri"/>
          <w:b w:val="0"/>
          <w:i w:val="0"/>
          <w:color w:val="404040"/>
          <w:sz w:val="22"/>
        </w:rPr>
        <w:t>__________________________</w:t>
      </w:r>
    </w:p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5. Exit Logic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4986"/>
        <w:gridCol w:w="4986"/>
      </w:tblGrid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Initial Stop-Loss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Take-Profit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Trailing Stop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Reverse Signal Exit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Time-Based Exit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Emergency Exit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</w:tbl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6. Position Sizing &amp; Risk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4986"/>
        <w:gridCol w:w="4986"/>
      </w:tblGrid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Capital Allocation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Sizing Formula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Max Concurrent Positions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Max Daily Loss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Max Drawdown Tolerance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Leverage Cap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Correlation Cap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Sector / Cluster Groups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</w:tbl>
    <w:p>
      <w:r>
        <w:rPr>
          <w:rFonts w:ascii="Calibri" w:hAnsi="Calibri"/>
          <w:b w:val="0"/>
          <w:i/>
          <w:color w:val="404040"/>
          <w:sz w:val="20"/>
        </w:rPr>
        <w:t>Full sizing matrix: see Params.xlsx → PositionSizing tab.</w:t>
      </w:r>
    </w:p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7. Order Execution Rules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4986"/>
        <w:gridCol w:w="4986"/>
      </w:tblGrid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Order Type (Entry)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Order Type (Stop)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Order Type (Target)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Slippage Tolerance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Partial Fill Handling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Rejection Retry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Smart Order Routing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</w:tbl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8. Edge Cases &amp; Exceptions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4986"/>
        <w:gridCol w:w="4986"/>
      </w:tblGrid>
      <w:tr>
        <w:tc>
          <w:tcPr>
            <w:tcW w:type="dxa" w:w="3402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Scenario</w:t>
            </w:r>
          </w:p>
        </w:tc>
        <w:tc>
          <w:tcPr>
            <w:tcW w:type="dxa" w:w="6236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Handling Rule</w:t>
            </w:r>
          </w:p>
        </w:tc>
      </w:tr>
      <w:tr>
        <w:tc>
          <w:tcPr>
            <w:tcW w:type="dxa" w:w="3402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6236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6236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6236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6236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</w:tbl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9. Backtest Evidence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4986"/>
        <w:gridCol w:w="4986"/>
      </w:tblGrid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Backtest Period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Out-of-Sample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Data Source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Costs Modeled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Portfolio Sharpe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Sortino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Max Drawdown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CAGR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Win Rate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Profit Factor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  <w:tr>
        <w:tc>
          <w:tcPr>
            <w:tcW w:type="dxa" w:w="3402"/>
            <w:shd w:val="clear" w:color="auto" w:fill="1E3FAE"/>
            <w:vAlign w:val="center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Total Trades</w:t>
            </w:r>
          </w:p>
        </w:tc>
        <w:tc>
          <w:tcPr>
            <w:tcW w:type="dxa" w:w="6236"/>
            <w:shd w:val="clear" w:color="auto" w:fill="E4EAFB"/>
            <w:vAlign w:val="center"/>
          </w:tcPr>
          <w:p>
            <w:r>
              <w:rPr>
                <w:rFonts w:ascii="Calibri" w:hAnsi="Calibri"/>
                <w:b w:val="0"/>
                <w:color w:val="404040"/>
                <w:sz w:val="21"/>
              </w:rPr>
              <w:t>__________________________</w:t>
            </w:r>
          </w:p>
        </w:tc>
      </w:tr>
    </w:tbl>
    <w:p>
      <w:r>
        <w:rPr>
          <w:rFonts w:ascii="Calibri" w:hAnsi="Calibri"/>
          <w:b w:val="0"/>
          <w:i/>
          <w:color w:val="404040"/>
          <w:sz w:val="20"/>
        </w:rPr>
        <w:t>Per-symbol metrics &amp; trade log: see Params.xlsx → BacktestMetrics tab.</w:t>
      </w:r>
    </w:p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10. Go-Live &amp; Monitoring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10.1 Ramp-Up Schedule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Phase</w:t>
            </w:r>
          </w:p>
        </w:tc>
        <w:tc>
          <w:tcPr>
            <w:tcW w:type="dxa" w:w="1701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Duration</w:t>
            </w:r>
          </w:p>
        </w:tc>
        <w:tc>
          <w:tcPr>
            <w:tcW w:type="dxa" w:w="1701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Capital</w:t>
            </w:r>
          </w:p>
        </w:tc>
        <w:tc>
          <w:tcPr>
            <w:tcW w:type="dxa" w:w="3969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Gate to Next Phase</w:t>
            </w:r>
          </w:p>
        </w:tc>
      </w:tr>
      <w:tr>
        <w:tc>
          <w:tcPr>
            <w:tcW w:type="dxa" w:w="2268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969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2268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969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10.2 Daily Monitoring KPIs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10.3 Kill-Switch Triggers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spacing w:before="200" w:after="80"/>
      </w:pPr>
      <w:r>
        <w:rPr>
          <w:rFonts w:ascii="Calibri" w:hAnsi="Calibri"/>
          <w:b/>
          <w:color w:val="3457C7"/>
          <w:sz w:val="26"/>
        </w:rPr>
        <w:t>10.4 Alerting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pStyle w:val="ListBullet"/>
      </w:pPr>
      <w:r>
        <w:rPr>
          <w:rFonts w:ascii="Calibri" w:hAnsi="Calibri"/>
          <w:b w:val="0"/>
          <w:color w:val="404040"/>
          <w:sz w:val="22"/>
        </w:rPr>
        <w:t>__________________________</w:t>
      </w:r>
    </w:p>
    <w:p>
      <w:pPr>
        <w:spacing w:before="360" w:after="120"/>
        <w:pBdr>
          <w:bottom w:val="single" w:sz="12" w:color="1E3FAE"/>
        </w:pBdr>
      </w:pPr>
      <w:r>
        <w:rPr>
          <w:rFonts w:ascii="Calibri" w:hAnsi="Calibri"/>
          <w:b/>
          <w:color w:val="1E3FAE"/>
          <w:sz w:val="32"/>
        </w:rPr>
        <w:t>11. Sign-offs</w:t>
      </w:r>
    </w:p>
    <w:p>
      <w:r>
        <w:rPr>
          <w:rFonts w:ascii="Calibri" w:hAnsi="Calibri"/>
          <w:b w:val="0"/>
          <w:i/>
          <w:color w:val="404040"/>
          <w:sz w:val="20"/>
        </w:rPr>
        <w:t>This strategy may not proceed to paper trading until all signatures are captured.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4B4B4"/>
          <w:left w:val="single" w:sz="4" w:color="B4B4B4"/>
          <w:bottom w:val="single" w:sz="4" w:color="B4B4B4"/>
          <w:right w:val="single" w:sz="4" w:color="B4B4B4"/>
          <w:insideH w:val="single" w:sz="4" w:color="B4B4B4"/>
          <w:insideV w:val="single" w:sz="4" w:color="B4B4B4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  <w:tc>
          <w:tcPr>
            <w:tcW w:type="dxa" w:w="2268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Name</w:t>
            </w:r>
          </w:p>
        </w:tc>
        <w:tc>
          <w:tcPr>
            <w:tcW w:type="dxa" w:w="3118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Signature / Date</w:t>
            </w:r>
          </w:p>
        </w:tc>
        <w:tc>
          <w:tcPr>
            <w:tcW w:type="dxa" w:w="1701"/>
            <w:shd w:val="clear" w:color="auto" w:fill="1E3FA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255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2268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118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255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2268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118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  <w:tr>
        <w:tc>
          <w:tcPr>
            <w:tcW w:type="dxa" w:w="255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2268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3118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  <w:tc>
          <w:tcPr>
            <w:tcW w:type="dxa" w:w="1701"/>
            <w:shd w:val="clear" w:color="auto" w:fill="E4EAFB"/>
          </w:tcPr>
          <w:p>
            <w:r>
              <w:rPr>
                <w:rFonts w:ascii="Calibri" w:hAnsi="Calibri"/>
                <w:b w:val="0"/>
                <w:color w:val="404040"/>
                <w:sz w:val="20"/>
              </w:rPr>
              <w:t>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1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404040"/>
        <w:sz w:val="18"/>
      </w:rPr>
      <w:t>Rey Capital — CONFIDENTIAL — CFD Strategy Spec v1.0  |  Do not distribute.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color="1E3FAE"/>
      </w:pBdr>
    </w:pPr>
    <w:r>
      <w:rPr>
        <w:rFonts w:ascii="Calibri" w:hAnsi="Calibri"/>
        <w:b/>
        <w:color w:val="1E3FAE"/>
        <w:sz w:val="18"/>
      </w:rPr>
      <w:t xml:space="preserve">REY CAPITAL  |  </w:t>
    </w:r>
    <w:r>
      <w:rPr>
        <w:rFonts w:ascii="Calibri" w:hAnsi="Calibri"/>
        <w:b/>
        <w:i/>
        <w:color w:val="C00000"/>
        <w:sz w:val="18"/>
      </w:rPr>
      <w:t>CONFIDENTIAL — INTERNAL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CFD Strategy Specification — Rey Capital</dc:title>
  <dc:subject/>
  <dc:creator>Rey Capital</dc:creator>
  <cp:keywords>CONFIDENTIAL, CFD, Strategy, Rey Capital</cp:keywords>
  <dc:description>Confidential — Rey Capital internal use only.</dc:description>
  <cp:lastModifiedBy/>
  <cp:revision>1</cp:revision>
  <dcterms:created xsi:type="dcterms:W3CDTF">2013-12-23T23:15:00Z</dcterms:created>
  <dcterms:modified xsi:type="dcterms:W3CDTF">2013-12-23T23:15:00Z</dcterms:modified>
  <cp:category>CONFIDENTIAL</cp:category>
</cp:coreProperties>
</file>