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F4E79"/>
          <w:sz w:val="56"/>
          <w:szCs w:val="56"/>
        </w:rPr>
        <w:t xml:space="preserve">US STOCK SCANNER</w:t>
      </w:r>
    </w:p>
    <w:p>
      <w:pPr>
        <w:spacing w:after="100"/>
        <w:jc w:val="center"/>
      </w:pPr>
      <w:r>
        <w:rPr>
          <w:rFonts w:ascii="Arial" w:cs="Arial" w:eastAsia="Arial" w:hAnsi="Arial"/>
          <w:color w:val="666666"/>
          <w:sz w:val="40"/>
          <w:szCs w:val="40"/>
        </w:rPr>
        <w:t xml:space="preserve">User Guide</w:t>
      </w:r>
    </w:p>
    <w:p>
      <w:pPr>
        <w:spacing w:after="80"/>
      </w:pPr>
    </w:p>
    <w:p>
      <w:pPr>
        <w:pBdr>
          <w:top w:val="single" w:color="1F4E79" w:sz="6" w:space="1"/>
        </w:pBdr>
        <w:spacing w:after="200" w:before="200"/>
        <w:jc w:val="center"/>
      </w:pPr>
    </w:p>
    <w:p>
      <w:pPr>
        <w:spacing w:after="80"/>
      </w:pPr>
    </w:p>
    <w:p>
      <w:pPr>
        <w:spacing w:after="80"/>
        <w:jc w:val="center"/>
      </w:pPr>
      <w:r>
        <w:rPr>
          <w:rFonts w:ascii="Arial" w:cs="Arial" w:eastAsia="Arial" w:hAnsi="Arial"/>
          <w:color w:val="555555"/>
          <w:sz w:val="28"/>
          <w:szCs w:val="28"/>
        </w:rPr>
        <w:t xml:space="preserve">Market Sentiment Dashboard</w:t>
      </w:r>
    </w:p>
    <w:p>
      <w:pPr>
        <w:spacing w:after="80"/>
        <w:jc w:val="center"/>
      </w:pPr>
      <w:r>
        <w:rPr>
          <w:rFonts w:ascii="Arial" w:cs="Arial" w:eastAsia="Arial" w:hAnsi="Arial"/>
          <w:color w:val="777777"/>
          <w:sz w:val="24"/>
          <w:szCs w:val="24"/>
        </w:rPr>
        <w:t xml:space="preserve">AlgoStrategies</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color w:val="999999"/>
          <w:sz w:val="20"/>
          <w:szCs w:val="20"/>
        </w:rPr>
        <w:t xml:space="preserve">Version 1.0  |  March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1. Overview</w:t>
      </w:r>
    </w:p>
    <w:p>
      <w:pPr>
        <w:spacing w:after="120"/>
        <w:jc w:val="left"/>
      </w:pPr>
      <w:r>
        <w:rPr>
          <w:rFonts w:ascii="Arial" w:cs="Arial" w:eastAsia="Arial" w:hAnsi="Arial"/>
          <w:color w:val="333333"/>
          <w:sz w:val="20"/>
          <w:szCs w:val="20"/>
        </w:rPr>
        <w:t xml:space="preserve">The US Stock Scanner is an integrated module within the Market Sentiment Dashboard that automatically scans the entire US stock market daily, scoring thousands of stocks across four investment categories. It runs as a background service within the FastAPI dashboard, with automated daily scanning at 8:30 AM ET on weekdays.</w:t>
      </w:r>
    </w:p>
    <w:p>
      <w:pPr>
        <w:spacing w:after="80"/>
      </w:pPr>
    </w:p>
    <w:p>
      <w:pPr>
        <w:spacing w:after="120"/>
        <w:jc w:val="left"/>
      </w:pPr>
      <w:r>
        <w:rPr>
          <w:rFonts w:ascii="Arial" w:cs="Arial" w:eastAsia="Arial" w:hAnsi="Arial"/>
          <w:b/>
          <w:bCs/>
          <w:color w:val="333333"/>
          <w:sz w:val="20"/>
          <w:szCs w:val="20"/>
        </w:rPr>
        <w:t xml:space="preserve">Key Capabilities:</w:t>
      </w:r>
    </w:p>
    <w:p>
      <w:pPr>
        <w:pStyle w:val="ListParagraph"/>
        <w:numPr>
          <w:ilvl w:val="0"/>
          <w:numId w:val="2"/>
        </w:numPr>
        <w:spacing w:after="60"/>
      </w:pPr>
      <w:r>
        <w:rPr>
          <w:rFonts w:ascii="Arial" w:cs="Arial" w:eastAsia="Arial" w:hAnsi="Arial"/>
          <w:color w:val="333333"/>
          <w:sz w:val="20"/>
          <w:szCs w:val="20"/>
        </w:rPr>
        <w:t xml:space="preserve">Scans up to 10,000+ US-listed stocks daily</w:t>
      </w:r>
    </w:p>
    <w:p>
      <w:pPr>
        <w:pStyle w:val="ListParagraph"/>
        <w:numPr>
          <w:ilvl w:val="0"/>
          <w:numId w:val="2"/>
        </w:numPr>
        <w:spacing w:after="60"/>
      </w:pPr>
      <w:r>
        <w:rPr>
          <w:rFonts w:ascii="Arial" w:cs="Arial" w:eastAsia="Arial" w:hAnsi="Arial"/>
          <w:color w:val="333333"/>
          <w:sz w:val="20"/>
          <w:szCs w:val="20"/>
        </w:rPr>
        <w:t xml:space="preserve">Multi-source symbol universe (Yahoo Finance Screener, SEC EDGAR, curated fallback)</w:t>
      </w:r>
    </w:p>
    <w:p>
      <w:pPr>
        <w:pStyle w:val="ListParagraph"/>
        <w:numPr>
          <w:ilvl w:val="0"/>
          <w:numId w:val="2"/>
        </w:numPr>
        <w:spacing w:after="60"/>
      </w:pPr>
      <w:r>
        <w:rPr>
          <w:rFonts w:ascii="Arial" w:cs="Arial" w:eastAsia="Arial" w:hAnsi="Arial"/>
          <w:color w:val="333333"/>
          <w:sz w:val="20"/>
          <w:szCs w:val="20"/>
        </w:rPr>
        <w:t xml:space="preserve">7-phase scanning pipeline with real-time progress tracking</w:t>
      </w:r>
    </w:p>
    <w:p>
      <w:pPr>
        <w:pStyle w:val="ListParagraph"/>
        <w:numPr>
          <w:ilvl w:val="0"/>
          <w:numId w:val="2"/>
        </w:numPr>
        <w:spacing w:after="60"/>
      </w:pPr>
      <w:r>
        <w:rPr>
          <w:rFonts w:ascii="Arial" w:cs="Arial" w:eastAsia="Arial" w:hAnsi="Arial"/>
          <w:color w:val="333333"/>
          <w:sz w:val="20"/>
          <w:szCs w:val="20"/>
        </w:rPr>
        <w:t xml:space="preserve">Four scoring categories: Swing Short, Swing Medium, Investment, Multibagger</w:t>
      </w:r>
    </w:p>
    <w:p>
      <w:pPr>
        <w:pStyle w:val="ListParagraph"/>
        <w:numPr>
          <w:ilvl w:val="0"/>
          <w:numId w:val="2"/>
        </w:numPr>
        <w:spacing w:after="60"/>
      </w:pPr>
      <w:r>
        <w:rPr>
          <w:rFonts w:ascii="Arial" w:cs="Arial" w:eastAsia="Arial" w:hAnsi="Arial"/>
          <w:color w:val="333333"/>
          <w:sz w:val="20"/>
          <w:szCs w:val="20"/>
        </w:rPr>
        <w:t xml:space="preserve">AI-powered investment theses for top multibagger candidates</w:t>
      </w:r>
    </w:p>
    <w:p>
      <w:pPr>
        <w:pStyle w:val="ListParagraph"/>
        <w:numPr>
          <w:ilvl w:val="0"/>
          <w:numId w:val="2"/>
        </w:numPr>
        <w:spacing w:after="60"/>
      </w:pPr>
      <w:r>
        <w:rPr>
          <w:rFonts w:ascii="Arial" w:cs="Arial" w:eastAsia="Arial" w:hAnsi="Arial"/>
          <w:color w:val="333333"/>
          <w:sz w:val="20"/>
          <w:szCs w:val="20"/>
        </w:rPr>
        <w:t xml:space="preserve">SQLite database persistence with historical session tracking</w:t>
      </w:r>
    </w:p>
    <w:p>
      <w:pPr>
        <w:pStyle w:val="ListParagraph"/>
        <w:numPr>
          <w:ilvl w:val="0"/>
          <w:numId w:val="2"/>
        </w:numPr>
        <w:spacing w:after="60"/>
      </w:pPr>
      <w:r>
        <w:rPr>
          <w:rFonts w:ascii="Arial" w:cs="Arial" w:eastAsia="Arial" w:hAnsi="Arial"/>
          <w:color w:val="333333"/>
          <w:sz w:val="20"/>
          <w:szCs w:val="20"/>
        </w:rPr>
        <w:t xml:space="preserve">REST API with paginated, filterable results</w:t>
      </w:r>
    </w:p>
    <w:p>
      <w:pPr>
        <w:spacing w:after="80"/>
      </w:pPr>
    </w:p>
    <w:p>
      <w:pPr>
        <w:spacing w:after="120"/>
        <w:jc w:val="left"/>
      </w:pPr>
      <w:r>
        <w:rPr>
          <w:rFonts w:ascii="Arial" w:cs="Arial" w:eastAsia="Arial" w:hAnsi="Arial"/>
          <w:b/>
          <w:bCs/>
          <w:color w:val="333333"/>
          <w:sz w:val="20"/>
          <w:szCs w:val="20"/>
        </w:rPr>
        <w:t xml:space="preserve">Category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560"/>
        <w:gridCol w:w="380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Use Case</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Timeframe</w:t>
            </w:r>
          </w:p>
        </w:tc>
        <w:tc>
          <w:tcPr>
            <w:tcW w:type="dxa" w:w="3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Key Metrics</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Swing Short</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Momentum bounce trades</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2-3 days</w:t>
            </w:r>
          </w:p>
        </w:tc>
        <w:tc>
          <w:tcPr>
            <w:tcW w:type="dxa" w:w="3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RSI bounce, volume spike, support, EMA20</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Swing Medium</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Positional swings</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2-3 weeks</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Stage 2, 52W breakout, RS vs SPY, VCP</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Investment</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Long-term growth</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12+ months</w:t>
            </w:r>
          </w:p>
        </w:tc>
        <w:tc>
          <w:tcPr>
            <w:tcW w:type="dxa" w:w="3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Revenue growth, margins, debt, EPS trend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Multibagger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5-10x return potential</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18-36 months</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Revenue 40%+, insider buying, Stage 2, small cap</w:t>
            </w:r>
          </w:p>
        </w:tc>
      </w:tr>
    </w:tbl>
    <w:p>
      <w:r>
        <w:br w:type="page"/>
      </w:r>
    </w:p>
    <w:p>
      <w:pPr>
        <w:pStyle w:val="Heading1"/>
        <w:spacing w:after="200" w:before="360"/>
      </w:pPr>
      <w:r>
        <w:rPr>
          <w:rFonts w:ascii="Arial" w:cs="Arial" w:eastAsia="Arial" w:hAnsi="Arial"/>
          <w:b/>
          <w:bCs/>
          <w:color w:val="1F4E79"/>
          <w:sz w:val="32"/>
          <w:szCs w:val="32"/>
        </w:rPr>
        <w:t xml:space="preserve">2. Scanning Pipeline (7 Phases)</w:t>
      </w:r>
    </w:p>
    <w:p>
      <w:pPr>
        <w:spacing w:after="120"/>
        <w:jc w:val="left"/>
      </w:pPr>
      <w:r>
        <w:rPr>
          <w:rFonts w:ascii="Arial" w:cs="Arial" w:eastAsia="Arial" w:hAnsi="Arial"/>
          <w:color w:val="333333"/>
          <w:sz w:val="20"/>
          <w:szCs w:val="20"/>
        </w:rPr>
        <w:t xml:space="preserve">The scanner executes a comprehensive 7-phase pipeline that progressively filters and analyzes the US stock universe.</w:t>
      </w:r>
    </w:p>
    <w:p>
      <w:pPr>
        <w:spacing w:after="80"/>
      </w:pPr>
    </w:p>
    <w:p>
      <w:pPr>
        <w:pStyle w:val="Heading3"/>
        <w:spacing w:after="120" w:before="200"/>
      </w:pPr>
      <w:r>
        <w:rPr>
          <w:rFonts w:ascii="Arial" w:cs="Arial" w:eastAsia="Arial" w:hAnsi="Arial"/>
          <w:b/>
          <w:bCs/>
          <w:color w:val="2B5797"/>
          <w:sz w:val="22"/>
          <w:szCs w:val="22"/>
        </w:rPr>
        <w:t xml:space="preserve">Phase 1: Symbol Universe Download</w:t>
      </w:r>
    </w:p>
    <w:p>
      <w:pPr>
        <w:pStyle w:val="ListParagraph"/>
        <w:numPr>
          <w:ilvl w:val="0"/>
          <w:numId w:val="2"/>
        </w:numPr>
        <w:spacing w:after="60"/>
      </w:pPr>
      <w:r>
        <w:rPr>
          <w:rFonts w:ascii="Arial" w:cs="Arial" w:eastAsia="Arial" w:hAnsi="Arial"/>
          <w:b/>
          <w:bCs/>
          <w:color w:val="333333"/>
          <w:sz w:val="20"/>
          <w:szCs w:val="20"/>
        </w:rPr>
        <w:t xml:space="preserve">Primary: </w:t>
      </w:r>
      <w:r>
        <w:rPr>
          <w:rFonts w:ascii="Arial" w:cs="Arial" w:eastAsia="Arial" w:hAnsi="Arial"/>
          <w:color w:val="333333"/>
          <w:sz w:val="20"/>
          <w:szCs w:val="20"/>
        </w:rPr>
        <w:t xml:space="preserve">Yahoo Finance Screener API — exchanges: NASDAQ (NMS, NGM, NCM), NYSE (NYQ), AMEX (ASE), NYSE Arca (PCX). Filter: market cap ≥ $50M. Max 10,000 symbols.</w:t>
      </w:r>
    </w:p>
    <w:p>
      <w:pPr>
        <w:pStyle w:val="ListParagraph"/>
        <w:numPr>
          <w:ilvl w:val="0"/>
          <w:numId w:val="2"/>
        </w:numPr>
        <w:spacing w:after="60"/>
      </w:pPr>
      <w:r>
        <w:rPr>
          <w:rFonts w:ascii="Arial" w:cs="Arial" w:eastAsia="Arial" w:hAnsi="Arial"/>
          <w:b/>
          <w:bCs/>
          <w:color w:val="333333"/>
          <w:sz w:val="20"/>
          <w:szCs w:val="20"/>
        </w:rPr>
        <w:t xml:space="preserve">Fallback 1: </w:t>
      </w:r>
      <w:r>
        <w:rPr>
          <w:rFonts w:ascii="Arial" w:cs="Arial" w:eastAsia="Arial" w:hAnsi="Arial"/>
          <w:color w:val="333333"/>
          <w:sz w:val="20"/>
          <w:szCs w:val="20"/>
        </w:rPr>
        <w:t xml:space="preserve">SEC EDGAR official company_tickers.json (~10,000-13,000 symbols). Used if Yahoo Finance returns &lt; 100 symbols.</w:t>
      </w:r>
    </w:p>
    <w:p>
      <w:pPr>
        <w:pStyle w:val="ListParagraph"/>
        <w:numPr>
          <w:ilvl w:val="0"/>
          <w:numId w:val="2"/>
        </w:numPr>
        <w:spacing w:after="60"/>
      </w:pPr>
      <w:r>
        <w:rPr>
          <w:rFonts w:ascii="Arial" w:cs="Arial" w:eastAsia="Arial" w:hAnsi="Arial"/>
          <w:b/>
          <w:bCs/>
          <w:color w:val="333333"/>
          <w:sz w:val="20"/>
          <w:szCs w:val="20"/>
        </w:rPr>
        <w:t xml:space="preserve">Fallback 2: </w:t>
      </w:r>
      <w:r>
        <w:rPr>
          <w:rFonts w:ascii="Arial" w:cs="Arial" w:eastAsia="Arial" w:hAnsi="Arial"/>
          <w:color w:val="333333"/>
          <w:sz w:val="20"/>
          <w:szCs w:val="20"/>
        </w:rPr>
        <w:t xml:space="preserve">Hardcoded curated list of ~500 liquid stocks across all major sectors. Used if both sources above return &lt; 50 symbols.</w:t>
      </w:r>
    </w:p>
    <w:p>
      <w:pPr>
        <w:spacing w:after="80"/>
      </w:pPr>
    </w:p>
    <w:p>
      <w:pPr>
        <w:pStyle w:val="Heading3"/>
        <w:spacing w:after="120" w:before="200"/>
      </w:pPr>
      <w:r>
        <w:rPr>
          <w:rFonts w:ascii="Arial" w:cs="Arial" w:eastAsia="Arial" w:hAnsi="Arial"/>
          <w:b/>
          <w:bCs/>
          <w:color w:val="2B5797"/>
          <w:sz w:val="22"/>
          <w:szCs w:val="22"/>
        </w:rPr>
        <w:t xml:space="preserve">Phase 2: Price + Volume Pre-Filter</w:t>
      </w:r>
    </w:p>
    <w:p>
      <w:pPr>
        <w:pStyle w:val="ListParagraph"/>
        <w:numPr>
          <w:ilvl w:val="0"/>
          <w:numId w:val="2"/>
        </w:numPr>
        <w:spacing w:after="60"/>
      </w:pPr>
      <w:r>
        <w:rPr>
          <w:rFonts w:ascii="Arial" w:cs="Arial" w:eastAsia="Arial" w:hAnsi="Arial"/>
          <w:color w:val="333333"/>
          <w:sz w:val="20"/>
          <w:szCs w:val="20"/>
        </w:rPr>
        <w:t xml:space="preserve">Downloads 5-day prices in batches of 100 symbols</w:t>
      </w:r>
    </w:p>
    <w:p>
      <w:pPr>
        <w:pStyle w:val="ListParagraph"/>
        <w:numPr>
          <w:ilvl w:val="0"/>
          <w:numId w:val="2"/>
        </w:numPr>
        <w:spacing w:after="60"/>
      </w:pPr>
      <w:r>
        <w:rPr>
          <w:rFonts w:ascii="Arial" w:cs="Arial" w:eastAsia="Arial" w:hAnsi="Arial"/>
          <w:b/>
          <w:bCs/>
          <w:color w:val="333333"/>
          <w:sz w:val="20"/>
          <w:szCs w:val="20"/>
        </w:rPr>
        <w:t xml:space="preserve">Filters: </w:t>
      </w:r>
      <w:r>
        <w:rPr>
          <w:rFonts w:ascii="Arial" w:cs="Arial" w:eastAsia="Arial" w:hAnsi="Arial"/>
          <w:color w:val="333333"/>
          <w:sz w:val="20"/>
          <w:szCs w:val="20"/>
        </w:rPr>
        <w:t xml:space="preserve">Price ≥ $2.00, Average daily volume ≥ 200,000 shares</w:t>
      </w:r>
    </w:p>
    <w:p>
      <w:pPr>
        <w:pStyle w:val="ListParagraph"/>
        <w:numPr>
          <w:ilvl w:val="0"/>
          <w:numId w:val="2"/>
        </w:numPr>
        <w:spacing w:after="60"/>
      </w:pPr>
      <w:r>
        <w:rPr>
          <w:rFonts w:ascii="Arial" w:cs="Arial" w:eastAsia="Arial" w:hAnsi="Arial"/>
          <w:color w:val="333333"/>
          <w:sz w:val="20"/>
          <w:szCs w:val="20"/>
        </w:rPr>
        <w:t xml:space="preserve">Typical result: ~7,000 symbols pass this filter</w:t>
      </w:r>
    </w:p>
    <w:p>
      <w:pPr>
        <w:spacing w:after="80"/>
      </w:pPr>
    </w:p>
    <w:p>
      <w:pPr>
        <w:pStyle w:val="Heading3"/>
        <w:spacing w:after="120" w:before="200"/>
      </w:pPr>
      <w:r>
        <w:rPr>
          <w:rFonts w:ascii="Arial" w:cs="Arial" w:eastAsia="Arial" w:hAnsi="Arial"/>
          <w:b/>
          <w:bCs/>
          <w:color w:val="2B5797"/>
          <w:sz w:val="22"/>
          <w:szCs w:val="22"/>
        </w:rPr>
        <w:t xml:space="preserve">Phase 3: SPY Benchmark Download</w:t>
      </w:r>
    </w:p>
    <w:p>
      <w:pPr>
        <w:pStyle w:val="ListParagraph"/>
        <w:numPr>
          <w:ilvl w:val="0"/>
          <w:numId w:val="2"/>
        </w:numPr>
        <w:spacing w:after="60"/>
      </w:pPr>
      <w:r>
        <w:rPr>
          <w:rFonts w:ascii="Arial" w:cs="Arial" w:eastAsia="Arial" w:hAnsi="Arial"/>
          <w:color w:val="333333"/>
          <w:sz w:val="20"/>
          <w:szCs w:val="20"/>
        </w:rPr>
        <w:t xml:space="preserve">Downloads 1-year daily OHLCV data for SPY (S&amp;P 500 ETF)</w:t>
      </w:r>
    </w:p>
    <w:p>
      <w:pPr>
        <w:pStyle w:val="ListParagraph"/>
        <w:numPr>
          <w:ilvl w:val="0"/>
          <w:numId w:val="2"/>
        </w:numPr>
        <w:spacing w:after="60"/>
      </w:pPr>
      <w:r>
        <w:rPr>
          <w:rFonts w:ascii="Arial" w:cs="Arial" w:eastAsia="Arial" w:hAnsi="Arial"/>
          <w:color w:val="333333"/>
          <w:sz w:val="20"/>
          <w:szCs w:val="20"/>
        </w:rPr>
        <w:t xml:space="preserve">Used as benchmark for Relative Strength (RS) calculations</w:t>
      </w:r>
    </w:p>
    <w:p>
      <w:pPr>
        <w:spacing w:after="80"/>
      </w:pPr>
    </w:p>
    <w:p>
      <w:pPr>
        <w:pStyle w:val="Heading3"/>
        <w:spacing w:after="120" w:before="200"/>
      </w:pPr>
      <w:r>
        <w:rPr>
          <w:rFonts w:ascii="Arial" w:cs="Arial" w:eastAsia="Arial" w:hAnsi="Arial"/>
          <w:b/>
          <w:bCs/>
          <w:color w:val="2B5797"/>
          <w:sz w:val="22"/>
          <w:szCs w:val="22"/>
        </w:rPr>
        <w:t xml:space="preserve">Phase 4: Technical Analysis (1-Year OHLCV)</w:t>
      </w:r>
    </w:p>
    <w:p>
      <w:pPr>
        <w:pStyle w:val="ListParagraph"/>
        <w:numPr>
          <w:ilvl w:val="0"/>
          <w:numId w:val="2"/>
        </w:numPr>
        <w:spacing w:after="60"/>
      </w:pPr>
      <w:r>
        <w:rPr>
          <w:rFonts w:ascii="Arial" w:cs="Arial" w:eastAsia="Arial" w:hAnsi="Arial"/>
          <w:color w:val="333333"/>
          <w:sz w:val="20"/>
          <w:szCs w:val="20"/>
        </w:rPr>
        <w:t xml:space="preserve">Downloads 1-year daily data for all filtered symbols (batch size: 20, 2s sleep between batches)</w:t>
      </w:r>
    </w:p>
    <w:p>
      <w:pPr>
        <w:pStyle w:val="ListParagraph"/>
        <w:numPr>
          <w:ilvl w:val="0"/>
          <w:numId w:val="2"/>
        </w:numPr>
        <w:spacing w:after="60"/>
      </w:pPr>
      <w:r>
        <w:rPr>
          <w:rFonts w:ascii="Arial" w:cs="Arial" w:eastAsia="Arial" w:hAnsi="Arial"/>
          <w:color w:val="333333"/>
          <w:sz w:val="20"/>
          <w:szCs w:val="20"/>
        </w:rPr>
        <w:t xml:space="preserve">Computes all technical indicators: RSI, MACD, Stage Analysis, EMA layers, VCP, volume ratio, 52W position</w:t>
      </w:r>
    </w:p>
    <w:p>
      <w:pPr>
        <w:spacing w:after="80"/>
      </w:pPr>
    </w:p>
    <w:p>
      <w:pPr>
        <w:pStyle w:val="Heading3"/>
        <w:spacing w:after="120" w:before="200"/>
      </w:pPr>
      <w:r>
        <w:rPr>
          <w:rFonts w:ascii="Arial" w:cs="Arial" w:eastAsia="Arial" w:hAnsi="Arial"/>
          <w:b/>
          <w:bCs/>
          <w:color w:val="2B5797"/>
          <w:sz w:val="22"/>
          <w:szCs w:val="22"/>
        </w:rPr>
        <w:t xml:space="preserve">Phase 5: Fundamental Data (Top 800)</w:t>
      </w:r>
    </w:p>
    <w:p>
      <w:pPr>
        <w:pStyle w:val="ListParagraph"/>
        <w:numPr>
          <w:ilvl w:val="0"/>
          <w:numId w:val="2"/>
        </w:numPr>
        <w:spacing w:after="60"/>
      </w:pPr>
      <w:r>
        <w:rPr>
          <w:rFonts w:ascii="Arial" w:cs="Arial" w:eastAsia="Arial" w:hAnsi="Arial"/>
          <w:color w:val="333333"/>
          <w:sz w:val="20"/>
          <w:szCs w:val="20"/>
        </w:rPr>
        <w:t xml:space="preserve">Ranks all stocks by combined technical score (swing_short + swing_medium)</w:t>
      </w:r>
    </w:p>
    <w:p>
      <w:pPr>
        <w:pStyle w:val="ListParagraph"/>
        <w:numPr>
          <w:ilvl w:val="0"/>
          <w:numId w:val="2"/>
        </w:numPr>
        <w:spacing w:after="60"/>
      </w:pPr>
      <w:r>
        <w:rPr>
          <w:rFonts w:ascii="Arial" w:cs="Arial" w:eastAsia="Arial" w:hAnsi="Arial"/>
          <w:color w:val="333333"/>
          <w:sz w:val="20"/>
          <w:szCs w:val="20"/>
        </w:rPr>
        <w:t xml:space="preserve">Selects top 800 stocks for fundamental analysis</w:t>
      </w:r>
    </w:p>
    <w:p>
      <w:pPr>
        <w:pStyle w:val="ListParagraph"/>
        <w:numPr>
          <w:ilvl w:val="0"/>
          <w:numId w:val="2"/>
        </w:numPr>
        <w:spacing w:after="60"/>
      </w:pPr>
      <w:r>
        <w:rPr>
          <w:rFonts w:ascii="Arial" w:cs="Arial" w:eastAsia="Arial" w:hAnsi="Arial"/>
          <w:color w:val="333333"/>
          <w:sz w:val="20"/>
          <w:szCs w:val="20"/>
        </w:rPr>
        <w:t xml:space="preserve">Fetches fundamental data via yfinance with 0.12s rate limiting between symbols</w:t>
      </w:r>
    </w:p>
    <w:p>
      <w:pPr>
        <w:spacing w:after="80"/>
      </w:pPr>
    </w:p>
    <w:p>
      <w:pPr>
        <w:pStyle w:val="Heading3"/>
        <w:spacing w:after="120" w:before="200"/>
      </w:pPr>
      <w:r>
        <w:rPr>
          <w:rFonts w:ascii="Arial" w:cs="Arial" w:eastAsia="Arial" w:hAnsi="Arial"/>
          <w:b/>
          <w:bCs/>
          <w:color w:val="2B5797"/>
          <w:sz w:val="22"/>
          <w:szCs w:val="22"/>
        </w:rPr>
        <w:t xml:space="preserve">Phase 6: Score &amp; Persist</w:t>
      </w:r>
    </w:p>
    <w:p>
      <w:pPr>
        <w:pStyle w:val="ListParagraph"/>
        <w:numPr>
          <w:ilvl w:val="0"/>
          <w:numId w:val="2"/>
        </w:numPr>
        <w:spacing w:after="60"/>
      </w:pPr>
      <w:r>
        <w:rPr>
          <w:rFonts w:ascii="Arial" w:cs="Arial" w:eastAsia="Arial" w:hAnsi="Arial"/>
          <w:color w:val="333333"/>
          <w:sz w:val="20"/>
          <w:szCs w:val="20"/>
        </w:rPr>
        <w:t xml:space="preserve">Calculates all four composite scores for every analyzed stock</w:t>
      </w:r>
    </w:p>
    <w:p>
      <w:pPr>
        <w:pStyle w:val="ListParagraph"/>
        <w:numPr>
          <w:ilvl w:val="0"/>
          <w:numId w:val="2"/>
        </w:numPr>
        <w:spacing w:after="60"/>
      </w:pPr>
      <w:r>
        <w:rPr>
          <w:rFonts w:ascii="Arial" w:cs="Arial" w:eastAsia="Arial" w:hAnsi="Arial"/>
          <w:color w:val="333333"/>
          <w:sz w:val="20"/>
          <w:szCs w:val="20"/>
        </w:rPr>
        <w:t xml:space="preserve">Only stores stocks with maximum score ≥ 20 (out of 100) to reduce noise</w:t>
      </w:r>
    </w:p>
    <w:p>
      <w:pPr>
        <w:pStyle w:val="ListParagraph"/>
        <w:numPr>
          <w:ilvl w:val="0"/>
          <w:numId w:val="2"/>
        </w:numPr>
        <w:spacing w:after="60"/>
      </w:pPr>
      <w:r>
        <w:rPr>
          <w:rFonts w:ascii="Arial" w:cs="Arial" w:eastAsia="Arial" w:hAnsi="Arial"/>
          <w:color w:val="333333"/>
          <w:sz w:val="20"/>
          <w:szCs w:val="20"/>
        </w:rPr>
        <w:t xml:space="preserve">Persists complete records to SQLite database with full metadata</w:t>
      </w:r>
    </w:p>
    <w:p>
      <w:pPr>
        <w:spacing w:after="80"/>
      </w:pPr>
    </w:p>
    <w:p>
      <w:pPr>
        <w:pStyle w:val="Heading3"/>
        <w:spacing w:after="120" w:before="200"/>
      </w:pPr>
      <w:r>
        <w:rPr>
          <w:rFonts w:ascii="Arial" w:cs="Arial" w:eastAsia="Arial" w:hAnsi="Arial"/>
          <w:b/>
          <w:bCs/>
          <w:color w:val="2B5797"/>
          <w:sz w:val="22"/>
          <w:szCs w:val="22"/>
        </w:rPr>
        <w:t xml:space="preserve">Phase 7: AI Insights (Top 50 Multibaggers)</w:t>
      </w:r>
    </w:p>
    <w:p>
      <w:pPr>
        <w:pStyle w:val="ListParagraph"/>
        <w:numPr>
          <w:ilvl w:val="0"/>
          <w:numId w:val="2"/>
        </w:numPr>
        <w:spacing w:after="60"/>
      </w:pPr>
      <w:r>
        <w:rPr>
          <w:rFonts w:ascii="Arial" w:cs="Arial" w:eastAsia="Arial" w:hAnsi="Arial"/>
          <w:color w:val="333333"/>
          <w:sz w:val="20"/>
          <w:szCs w:val="20"/>
        </w:rPr>
        <w:t xml:space="preserve">Generates AI-powered investment theses for stocks with multibagger_score ≥ 50</w:t>
      </w:r>
    </w:p>
    <w:p>
      <w:pPr>
        <w:pStyle w:val="ListParagraph"/>
        <w:numPr>
          <w:ilvl w:val="0"/>
          <w:numId w:val="2"/>
        </w:numPr>
        <w:spacing w:after="60"/>
      </w:pPr>
      <w:r>
        <w:rPr>
          <w:rFonts w:ascii="Arial" w:cs="Arial" w:eastAsia="Arial" w:hAnsi="Arial"/>
          <w:color w:val="333333"/>
          <w:sz w:val="20"/>
          <w:szCs w:val="20"/>
        </w:rPr>
        <w:t xml:space="preserve">Limited to top 50 candidates with 1.5s rate limiting between API calls</w:t>
      </w:r>
    </w:p>
    <w:p>
      <w:pPr>
        <w:pStyle w:val="ListParagraph"/>
        <w:numPr>
          <w:ilvl w:val="0"/>
          <w:numId w:val="2"/>
        </w:numPr>
        <w:spacing w:after="60"/>
      </w:pPr>
      <w:r>
        <w:rPr>
          <w:rFonts w:ascii="Arial" w:cs="Arial" w:eastAsia="Arial" w:hAnsi="Arial"/>
          <w:color w:val="333333"/>
          <w:sz w:val="20"/>
          <w:szCs w:val="20"/>
        </w:rPr>
        <w:t xml:space="preserve">Results cached for 24 hours in SQLite</w:t>
      </w:r>
    </w:p>
    <w:p>
      <w:r>
        <w:br w:type="page"/>
      </w:r>
    </w:p>
    <w:p>
      <w:pPr>
        <w:pStyle w:val="Heading1"/>
        <w:spacing w:after="200" w:before="360"/>
      </w:pPr>
      <w:r>
        <w:rPr>
          <w:rFonts w:ascii="Arial" w:cs="Arial" w:eastAsia="Arial" w:hAnsi="Arial"/>
          <w:b/>
          <w:bCs/>
          <w:color w:val="1F4E79"/>
          <w:sz w:val="32"/>
          <w:szCs w:val="32"/>
        </w:rPr>
        <w:t xml:space="preserve">3. Technical Indicators</w:t>
      </w:r>
    </w:p>
    <w:p>
      <w:pPr>
        <w:spacing w:after="120"/>
        <w:jc w:val="left"/>
      </w:pPr>
      <w:r>
        <w:rPr>
          <w:rFonts w:ascii="Arial" w:cs="Arial" w:eastAsia="Arial" w:hAnsi="Arial"/>
          <w:color w:val="333333"/>
          <w:sz w:val="20"/>
          <w:szCs w:val="20"/>
        </w:rPr>
        <w:t xml:space="preserve">The scanner computes a comprehensive set of technical indicators for each stock using 1-year daily OHLCV data.</w:t>
      </w:r>
    </w:p>
    <w:p>
      <w:pPr>
        <w:spacing w:after="80"/>
      </w:pPr>
    </w:p>
    <w:p>
      <w:pPr>
        <w:pStyle w:val="Heading3"/>
        <w:spacing w:after="120" w:before="200"/>
      </w:pPr>
      <w:r>
        <w:rPr>
          <w:rFonts w:ascii="Arial" w:cs="Arial" w:eastAsia="Arial" w:hAnsi="Arial"/>
          <w:b/>
          <w:bCs/>
          <w:color w:val="2B5797"/>
          <w:sz w:val="22"/>
          <w:szCs w:val="22"/>
        </w:rPr>
        <w:t xml:space="preserve">RSI (Relative Strength Index) — 14-period</w:t>
      </w:r>
    </w:p>
    <w:p>
      <w:pPr>
        <w:pStyle w:val="ListParagraph"/>
        <w:numPr>
          <w:ilvl w:val="0"/>
          <w:numId w:val="2"/>
        </w:numPr>
        <w:spacing w:after="60"/>
      </w:pPr>
      <w:r>
        <w:rPr>
          <w:rFonts w:ascii="Arial" w:cs="Arial" w:eastAsia="Arial" w:hAnsi="Arial"/>
          <w:color w:val="333333"/>
          <w:sz w:val="20"/>
          <w:szCs w:val="20"/>
        </w:rPr>
        <w:t xml:space="preserve">Standard Wilder’s RSI calculation</w:t>
      </w:r>
    </w:p>
    <w:p>
      <w:pPr>
        <w:pStyle w:val="ListParagraph"/>
        <w:numPr>
          <w:ilvl w:val="0"/>
          <w:numId w:val="2"/>
        </w:numPr>
        <w:spacing w:after="60"/>
      </w:pPr>
      <w:r>
        <w:rPr>
          <w:rFonts w:ascii="Arial" w:cs="Arial" w:eastAsia="Arial" w:hAnsi="Arial"/>
          <w:color w:val="333333"/>
          <w:sz w:val="20"/>
          <w:szCs w:val="20"/>
        </w:rPr>
        <w:t xml:space="preserve">Returns default value of 50.0 if insufficient data</w:t>
      </w:r>
    </w:p>
    <w:p>
      <w:pPr>
        <w:pStyle w:val="ListParagraph"/>
        <w:numPr>
          <w:ilvl w:val="0"/>
          <w:numId w:val="2"/>
        </w:numPr>
        <w:spacing w:after="60"/>
      </w:pPr>
      <w:r>
        <w:rPr>
          <w:rFonts w:ascii="Arial" w:cs="Arial" w:eastAsia="Arial" w:hAnsi="Arial"/>
          <w:color w:val="333333"/>
          <w:sz w:val="20"/>
          <w:szCs w:val="20"/>
        </w:rPr>
        <w:t xml:space="preserve">Key zones: Oversold (&lt; 30), Neutral (30-70), Overbought (&gt; 70)</w:t>
      </w:r>
    </w:p>
    <w:p>
      <w:pPr>
        <w:spacing w:after="80"/>
      </w:pPr>
    </w:p>
    <w:p>
      <w:pPr>
        <w:pStyle w:val="Heading3"/>
        <w:spacing w:after="120" w:before="200"/>
      </w:pPr>
      <w:r>
        <w:rPr>
          <w:rFonts w:ascii="Arial" w:cs="Arial" w:eastAsia="Arial" w:hAnsi="Arial"/>
          <w:b/>
          <w:bCs/>
          <w:color w:val="2B5797"/>
          <w:sz w:val="22"/>
          <w:szCs w:val="22"/>
        </w:rPr>
        <w:t xml:space="preserve">MACD Direction (12, 26, 9)</w:t>
      </w:r>
    </w:p>
    <w:p>
      <w:pPr>
        <w:pStyle w:val="ListParagraph"/>
        <w:numPr>
          <w:ilvl w:val="0"/>
          <w:numId w:val="2"/>
        </w:numPr>
        <w:spacing w:after="60"/>
      </w:pPr>
      <w:r>
        <w:rPr>
          <w:rFonts w:ascii="Arial" w:cs="Arial" w:eastAsia="Arial" w:hAnsi="Arial"/>
          <w:b/>
          <w:bCs/>
          <w:color w:val="2E7D32"/>
          <w:sz w:val="20"/>
          <w:szCs w:val="20"/>
        </w:rPr>
        <w:t xml:space="preserve">BULLISH: </w:t>
      </w:r>
      <w:r>
        <w:rPr>
          <w:rFonts w:ascii="Arial" w:cs="Arial" w:eastAsia="Arial" w:hAnsi="Arial"/>
          <w:color w:val="333333"/>
          <w:sz w:val="20"/>
          <w:szCs w:val="20"/>
        </w:rPr>
        <w:t xml:space="preserve">MACD &gt; signal line AND MACD &gt; 0</w:t>
      </w:r>
    </w:p>
    <w:p>
      <w:pPr>
        <w:pStyle w:val="ListParagraph"/>
        <w:numPr>
          <w:ilvl w:val="0"/>
          <w:numId w:val="2"/>
        </w:numPr>
        <w:spacing w:after="60"/>
      </w:pPr>
      <w:r>
        <w:rPr>
          <w:rFonts w:ascii="Arial" w:cs="Arial" w:eastAsia="Arial" w:hAnsi="Arial"/>
          <w:b/>
          <w:bCs/>
          <w:color w:val="C62828"/>
          <w:sz w:val="20"/>
          <w:szCs w:val="20"/>
        </w:rPr>
        <w:t xml:space="preserve">BEARISH: </w:t>
      </w:r>
      <w:r>
        <w:rPr>
          <w:rFonts w:ascii="Arial" w:cs="Arial" w:eastAsia="Arial" w:hAnsi="Arial"/>
          <w:color w:val="333333"/>
          <w:sz w:val="20"/>
          <w:szCs w:val="20"/>
        </w:rPr>
        <w:t xml:space="preserve">MACD &lt; signal line AND MACD &lt; 0</w:t>
      </w:r>
    </w:p>
    <w:p>
      <w:pPr>
        <w:pStyle w:val="ListParagraph"/>
        <w:numPr>
          <w:ilvl w:val="0"/>
          <w:numId w:val="2"/>
        </w:numPr>
        <w:spacing w:after="60"/>
      </w:pPr>
      <w:r>
        <w:rPr>
          <w:rFonts w:ascii="Arial" w:cs="Arial" w:eastAsia="Arial" w:hAnsi="Arial"/>
          <w:b/>
          <w:bCs/>
          <w:color w:val="333333"/>
          <w:sz w:val="20"/>
          <w:szCs w:val="20"/>
        </w:rPr>
        <w:t xml:space="preserve">NEUTRAL: </w:t>
      </w:r>
      <w:r>
        <w:rPr>
          <w:rFonts w:ascii="Arial" w:cs="Arial" w:eastAsia="Arial" w:hAnsi="Arial"/>
          <w:color w:val="333333"/>
          <w:sz w:val="20"/>
          <w:szCs w:val="20"/>
        </w:rPr>
        <w:t xml:space="preserve">All other conditions</w:t>
      </w:r>
    </w:p>
    <w:p>
      <w:pPr>
        <w:spacing w:after="80"/>
      </w:pPr>
    </w:p>
    <w:p>
      <w:pPr>
        <w:pStyle w:val="Heading3"/>
        <w:spacing w:after="120" w:before="200"/>
      </w:pPr>
      <w:r>
        <w:rPr>
          <w:rFonts w:ascii="Arial" w:cs="Arial" w:eastAsia="Arial" w:hAnsi="Arial"/>
          <w:b/>
          <w:bCs/>
          <w:color w:val="2B5797"/>
          <w:sz w:val="22"/>
          <w:szCs w:val="22"/>
        </w:rPr>
        <w:t xml:space="preserve">Relative Strength vs SPY</w:t>
      </w:r>
    </w:p>
    <w:p>
      <w:pPr>
        <w:pStyle w:val="ListParagraph"/>
        <w:numPr>
          <w:ilvl w:val="0"/>
          <w:numId w:val="2"/>
        </w:numPr>
        <w:spacing w:after="60"/>
      </w:pPr>
      <w:r>
        <w:rPr>
          <w:rFonts w:ascii="Arial" w:cs="Arial" w:eastAsia="Arial" w:hAnsi="Arial"/>
          <w:color w:val="333333"/>
          <w:sz w:val="20"/>
          <w:szCs w:val="20"/>
        </w:rPr>
        <w:t xml:space="preserve">Compares 63-day (quarterly) returns: stock vs SPY</w:t>
      </w:r>
    </w:p>
    <w:p>
      <w:pPr>
        <w:pStyle w:val="ListParagraph"/>
        <w:numPr>
          <w:ilvl w:val="0"/>
          <w:numId w:val="2"/>
        </w:numPr>
        <w:spacing w:after="60"/>
      </w:pPr>
      <w:r>
        <w:rPr>
          <w:rFonts w:ascii="Arial" w:cs="Arial" w:eastAsia="Arial" w:hAnsi="Arial"/>
          <w:b/>
          <w:bCs/>
          <w:color w:val="333333"/>
          <w:sz w:val="20"/>
          <w:szCs w:val="20"/>
        </w:rPr>
        <w:t xml:space="preserve">Formula: </w:t>
      </w:r>
      <w:r>
        <w:rPr>
          <w:rFonts w:ascii="Arial" w:cs="Arial" w:eastAsia="Arial" w:hAnsi="Arial"/>
          <w:color w:val="333333"/>
          <w:sz w:val="20"/>
          <w:szCs w:val="20"/>
        </w:rPr>
        <w:t xml:space="preserve">RS = 1 + (stock_return - spy_return)</w:t>
      </w:r>
    </w:p>
    <w:p>
      <w:pPr>
        <w:pStyle w:val="ListParagraph"/>
        <w:numPr>
          <w:ilvl w:val="0"/>
          <w:numId w:val="2"/>
        </w:numPr>
        <w:spacing w:after="60"/>
      </w:pPr>
      <w:r>
        <w:rPr>
          <w:rFonts w:ascii="Arial" w:cs="Arial" w:eastAsia="Arial" w:hAnsi="Arial"/>
          <w:color w:val="333333"/>
          <w:sz w:val="20"/>
          <w:szCs w:val="20"/>
        </w:rPr>
        <w:t xml:space="preserve">RS &gt; 1.0 = outperforming the S&amp;P 500; RS &lt; 1.0 = underperforming</w:t>
      </w:r>
    </w:p>
    <w:p>
      <w:pPr>
        <w:spacing w:after="80"/>
      </w:pPr>
    </w:p>
    <w:p>
      <w:pPr>
        <w:pStyle w:val="Heading3"/>
        <w:spacing w:after="120" w:before="200"/>
      </w:pPr>
      <w:r>
        <w:rPr>
          <w:rFonts w:ascii="Arial" w:cs="Arial" w:eastAsia="Arial" w:hAnsi="Arial"/>
          <w:b/>
          <w:bCs/>
          <w:color w:val="2B5797"/>
          <w:sz w:val="22"/>
          <w:szCs w:val="22"/>
        </w:rPr>
        <w:t xml:space="preserve">Volume Ratio</w:t>
      </w:r>
    </w:p>
    <w:p>
      <w:pPr>
        <w:pStyle w:val="ListParagraph"/>
        <w:numPr>
          <w:ilvl w:val="0"/>
          <w:numId w:val="2"/>
        </w:numPr>
        <w:spacing w:after="60"/>
      </w:pPr>
      <w:r>
        <w:rPr>
          <w:rFonts w:ascii="Arial" w:cs="Arial" w:eastAsia="Arial" w:hAnsi="Arial"/>
          <w:b/>
          <w:bCs/>
          <w:color w:val="333333"/>
          <w:sz w:val="20"/>
          <w:szCs w:val="20"/>
        </w:rPr>
        <w:t xml:space="preserve">Formula: </w:t>
      </w:r>
      <w:r>
        <w:rPr>
          <w:rFonts w:ascii="Arial" w:cs="Arial" w:eastAsia="Arial" w:hAnsi="Arial"/>
          <w:color w:val="333333"/>
          <w:sz w:val="20"/>
          <w:szCs w:val="20"/>
        </w:rPr>
        <w:t xml:space="preserve">Today’s volume / 20-day average volume</w:t>
      </w:r>
    </w:p>
    <w:p>
      <w:pPr>
        <w:pStyle w:val="ListParagraph"/>
        <w:numPr>
          <w:ilvl w:val="0"/>
          <w:numId w:val="2"/>
        </w:numPr>
        <w:spacing w:after="60"/>
      </w:pPr>
      <w:r>
        <w:rPr>
          <w:rFonts w:ascii="Arial" w:cs="Arial" w:eastAsia="Arial" w:hAnsi="Arial"/>
          <w:color w:val="333333"/>
          <w:sz w:val="20"/>
          <w:szCs w:val="20"/>
        </w:rPr>
        <w:t xml:space="preserve">Tracks volume spikes that indicate momentum and institutional interest</w:t>
      </w:r>
    </w:p>
    <w:p>
      <w:pPr>
        <w:spacing w:after="80"/>
      </w:pPr>
    </w:p>
    <w:p>
      <w:pPr>
        <w:pStyle w:val="Heading3"/>
        <w:spacing w:after="120" w:before="200"/>
      </w:pPr>
      <w:r>
        <w:rPr>
          <w:rFonts w:ascii="Arial" w:cs="Arial" w:eastAsia="Arial" w:hAnsi="Arial"/>
          <w:b/>
          <w:bCs/>
          <w:color w:val="2B5797"/>
          <w:sz w:val="22"/>
          <w:szCs w:val="22"/>
        </w:rPr>
        <w:t xml:space="preserve">Weinstein Stage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Stage</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Name</w:t>
            </w:r>
          </w:p>
        </w:tc>
        <w:tc>
          <w:tcPr>
            <w:tcW w:type="dxa" w:w="5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Criteria</w:t>
            </w:r>
          </w:p>
        </w:tc>
      </w:tr>
      <w:tr>
        <w:tc>
          <w:tcPr>
            <w:tcW w:type="dxa" w:w="1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Stage 1</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Accumulation</w:t>
            </w:r>
          </w:p>
        </w:tc>
        <w:tc>
          <w:tcPr>
            <w:tcW w:type="dxa" w:w="57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Early foundation phase, base building</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2E7D32"/>
                <w:sz w:val="18"/>
                <w:szCs w:val="18"/>
              </w:rPr>
              <w:t xml:space="preserve">Stage 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Advance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Price &gt; EMA50 &gt; EMA150 &gt; EMA200, EMA200 slope rising (21-bar check)</w:t>
            </w:r>
          </w:p>
        </w:tc>
      </w:tr>
      <w:tr>
        <w:tc>
          <w:tcPr>
            <w:tcW w:type="dxa" w:w="1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E65100"/>
                <w:sz w:val="18"/>
                <w:szCs w:val="18"/>
              </w:rPr>
              <w:t xml:space="preserve">Stage 3</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Distribution</w:t>
            </w:r>
          </w:p>
        </w:tc>
        <w:tc>
          <w:tcPr>
            <w:tcW w:type="dxa" w:w="57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Topping phase, weakening momentum</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C62828"/>
                <w:sz w:val="18"/>
                <w:szCs w:val="18"/>
              </w:rPr>
              <w:t xml:space="preserve">Stage 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Decline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Price &lt; EMA50 &lt; EMA150 &lt; EMA200, negative slope</w:t>
            </w:r>
          </w:p>
        </w:tc>
      </w:tr>
    </w:tbl>
    <w:p>
      <w:pPr>
        <w:spacing w:after="80"/>
      </w:pPr>
    </w:p>
    <w:p>
      <w:pPr>
        <w:pStyle w:val="Heading3"/>
        <w:spacing w:after="120" w:before="200"/>
      </w:pPr>
      <w:r>
        <w:rPr>
          <w:rFonts w:ascii="Arial" w:cs="Arial" w:eastAsia="Arial" w:hAnsi="Arial"/>
          <w:b/>
          <w:bCs/>
          <w:color w:val="2B5797"/>
          <w:sz w:val="22"/>
          <w:szCs w:val="22"/>
        </w:rPr>
        <w:t xml:space="preserve">EMA Layers</w:t>
      </w:r>
    </w:p>
    <w:p>
      <w:pPr>
        <w:pStyle w:val="ListParagraph"/>
        <w:numPr>
          <w:ilvl w:val="0"/>
          <w:numId w:val="2"/>
        </w:numPr>
        <w:spacing w:after="60"/>
      </w:pPr>
      <w:r>
        <w:rPr>
          <w:rFonts w:ascii="Arial" w:cs="Arial" w:eastAsia="Arial" w:hAnsi="Arial"/>
          <w:color w:val="333333"/>
          <w:sz w:val="20"/>
          <w:szCs w:val="20"/>
        </w:rPr>
        <w:t xml:space="preserve">EMA20 (short-term), EMA50 (intermediate), EMA150 (longer-term), EMA200 (long-term trend)</w:t>
      </w:r>
    </w:p>
    <w:p>
      <w:pPr>
        <w:spacing w:after="80"/>
      </w:pPr>
    </w:p>
    <w:p>
      <w:pPr>
        <w:pStyle w:val="Heading3"/>
        <w:spacing w:after="120" w:before="200"/>
      </w:pPr>
      <w:r>
        <w:rPr>
          <w:rFonts w:ascii="Arial" w:cs="Arial" w:eastAsia="Arial" w:hAnsi="Arial"/>
          <w:b/>
          <w:bCs/>
          <w:color w:val="2B5797"/>
          <w:sz w:val="22"/>
          <w:szCs w:val="22"/>
        </w:rPr>
        <w:t xml:space="preserve">52-Week Position</w:t>
      </w:r>
    </w:p>
    <w:p>
      <w:pPr>
        <w:pStyle w:val="ListParagraph"/>
        <w:numPr>
          <w:ilvl w:val="0"/>
          <w:numId w:val="2"/>
        </w:numPr>
        <w:spacing w:after="60"/>
      </w:pPr>
      <w:r>
        <w:rPr>
          <w:rFonts w:ascii="Arial" w:cs="Arial" w:eastAsia="Arial" w:hAnsi="Arial"/>
          <w:color w:val="333333"/>
          <w:sz w:val="20"/>
          <w:szCs w:val="20"/>
        </w:rPr>
        <w:t xml:space="preserve">Tracks high/low over 252 trading days</w:t>
      </w:r>
    </w:p>
    <w:p>
      <w:pPr>
        <w:pStyle w:val="ListParagraph"/>
        <w:numPr>
          <w:ilvl w:val="0"/>
          <w:numId w:val="2"/>
        </w:numPr>
        <w:spacing w:after="60"/>
      </w:pPr>
      <w:r>
        <w:rPr>
          <w:rFonts w:ascii="Arial" w:cs="Arial" w:eastAsia="Arial" w:hAnsi="Arial"/>
          <w:color w:val="333333"/>
          <w:sz w:val="20"/>
          <w:szCs w:val="20"/>
        </w:rPr>
        <w:t xml:space="preserve">Calculates % from 52-week high and % from 52-week low</w:t>
      </w:r>
    </w:p>
    <w:p>
      <w:pPr>
        <w:spacing w:after="80"/>
      </w:pPr>
    </w:p>
    <w:p>
      <w:pPr>
        <w:pStyle w:val="Heading3"/>
        <w:spacing w:after="120" w:before="200"/>
      </w:pPr>
      <w:r>
        <w:rPr>
          <w:rFonts w:ascii="Arial" w:cs="Arial" w:eastAsia="Arial" w:hAnsi="Arial"/>
          <w:b/>
          <w:bCs/>
          <w:color w:val="2B5797"/>
          <w:sz w:val="22"/>
          <w:szCs w:val="22"/>
        </w:rPr>
        <w:t xml:space="preserve">VCP (Volatility Contraction Pattern)</w:t>
      </w:r>
    </w:p>
    <w:p>
      <w:pPr>
        <w:pStyle w:val="ListParagraph"/>
        <w:numPr>
          <w:ilvl w:val="0"/>
          <w:numId w:val="2"/>
        </w:numPr>
        <w:spacing w:after="60"/>
      </w:pPr>
      <w:r>
        <w:rPr>
          <w:rFonts w:ascii="Arial" w:cs="Arial" w:eastAsia="Arial" w:hAnsi="Arial"/>
          <w:color w:val="333333"/>
          <w:sz w:val="20"/>
          <w:szCs w:val="20"/>
        </w:rPr>
        <w:t xml:space="preserve">Analyzes 60-day window for tightening pivot ranges</w:t>
      </w:r>
    </w:p>
    <w:p>
      <w:pPr>
        <w:pStyle w:val="ListParagraph"/>
        <w:numPr>
          <w:ilvl w:val="0"/>
          <w:numId w:val="2"/>
        </w:numPr>
        <w:spacing w:after="60"/>
      </w:pPr>
      <w:r>
        <w:rPr>
          <w:rFonts w:ascii="Arial" w:cs="Arial" w:eastAsia="Arial" w:hAnsi="Arial"/>
          <w:color w:val="333333"/>
          <w:sz w:val="20"/>
          <w:szCs w:val="20"/>
        </w:rPr>
        <w:t xml:space="preserve">Uses 5-bar lookback windows to identify local highs/lows</w:t>
      </w:r>
    </w:p>
    <w:p>
      <w:pPr>
        <w:pStyle w:val="ListParagraph"/>
        <w:numPr>
          <w:ilvl w:val="0"/>
          <w:numId w:val="2"/>
        </w:numPr>
        <w:spacing w:after="60"/>
      </w:pPr>
      <w:r>
        <w:rPr>
          <w:rFonts w:ascii="Arial" w:cs="Arial" w:eastAsia="Arial" w:hAnsi="Arial"/>
          <w:color w:val="333333"/>
          <w:sz w:val="20"/>
          <w:szCs w:val="20"/>
        </w:rPr>
        <w:t xml:space="preserve">Requires at least 3 range measurements showing contraction</w:t>
      </w:r>
    </w:p>
    <w:p>
      <w:pPr>
        <w:spacing w:after="80"/>
      </w:pPr>
    </w:p>
    <w:p>
      <w:pPr>
        <w:pStyle w:val="Heading3"/>
        <w:spacing w:after="120" w:before="200"/>
      </w:pPr>
      <w:r>
        <w:rPr>
          <w:rFonts w:ascii="Arial" w:cs="Arial" w:eastAsia="Arial" w:hAnsi="Arial"/>
          <w:b/>
          <w:bCs/>
          <w:color w:val="2B5797"/>
          <w:sz w:val="22"/>
          <w:szCs w:val="22"/>
        </w:rPr>
        <w:t xml:space="preserve">Support Proximity</w:t>
      </w:r>
    </w:p>
    <w:p>
      <w:pPr>
        <w:pStyle w:val="ListParagraph"/>
        <w:numPr>
          <w:ilvl w:val="0"/>
          <w:numId w:val="2"/>
        </w:numPr>
        <w:spacing w:after="60"/>
      </w:pPr>
      <w:r>
        <w:rPr>
          <w:rFonts w:ascii="Arial" w:cs="Arial" w:eastAsia="Arial" w:hAnsi="Arial"/>
          <w:color w:val="333333"/>
          <w:sz w:val="20"/>
          <w:szCs w:val="20"/>
        </w:rPr>
        <w:t xml:space="preserve">Checks if current price is within 3% of the 20-day low</w:t>
      </w:r>
    </w:p>
    <w:p>
      <w:pPr>
        <w:spacing w:after="80"/>
      </w:pPr>
    </w:p>
    <w:p>
      <w:pPr>
        <w:pStyle w:val="Heading3"/>
        <w:spacing w:after="120" w:before="200"/>
      </w:pPr>
      <w:r>
        <w:rPr>
          <w:rFonts w:ascii="Arial" w:cs="Arial" w:eastAsia="Arial" w:hAnsi="Arial"/>
          <w:b/>
          <w:bCs/>
          <w:color w:val="2B5797"/>
          <w:sz w:val="22"/>
          <w:szCs w:val="22"/>
        </w:rPr>
        <w:t xml:space="preserve">Bullish Candle</w:t>
      </w:r>
    </w:p>
    <w:p>
      <w:pPr>
        <w:pStyle w:val="ListParagraph"/>
        <w:numPr>
          <w:ilvl w:val="0"/>
          <w:numId w:val="2"/>
        </w:numPr>
        <w:spacing w:after="60"/>
      </w:pPr>
      <w:r>
        <w:rPr>
          <w:rFonts w:ascii="Arial" w:cs="Arial" w:eastAsia="Arial" w:hAnsi="Arial"/>
          <w:color w:val="333333"/>
          <w:sz w:val="20"/>
          <w:szCs w:val="20"/>
        </w:rPr>
        <w:t xml:space="preserve">Close &gt; Open AND close in upper third of the bar range (≥ 67%)</w:t>
      </w:r>
    </w:p>
    <w:p>
      <w:r>
        <w:br w:type="page"/>
      </w:r>
    </w:p>
    <w:p>
      <w:pPr>
        <w:pStyle w:val="Heading1"/>
        <w:spacing w:after="200" w:before="360"/>
      </w:pPr>
      <w:r>
        <w:rPr>
          <w:rFonts w:ascii="Arial" w:cs="Arial" w:eastAsia="Arial" w:hAnsi="Arial"/>
          <w:b/>
          <w:bCs/>
          <w:color w:val="1F4E79"/>
          <w:sz w:val="32"/>
          <w:szCs w:val="32"/>
        </w:rPr>
        <w:t xml:space="preserve">4. Fundamental Metrics</w:t>
      </w:r>
    </w:p>
    <w:p>
      <w:pPr>
        <w:spacing w:after="120"/>
        <w:jc w:val="left"/>
      </w:pPr>
      <w:r>
        <w:rPr>
          <w:rFonts w:ascii="Arial" w:cs="Arial" w:eastAsia="Arial" w:hAnsi="Arial"/>
          <w:color w:val="333333"/>
          <w:sz w:val="20"/>
          <w:szCs w:val="20"/>
        </w:rPr>
        <w:t xml:space="preserve">Fundamental data is fetched via yfinance for the top 800 stocks ranked by technical score.</w:t>
      </w:r>
    </w:p>
    <w:p>
      <w:pPr>
        <w:spacing w:after="80"/>
      </w:pPr>
    </w:p>
    <w:p>
      <w:pPr>
        <w:pStyle w:val="Heading3"/>
        <w:spacing w:after="120" w:before="200"/>
      </w:pPr>
      <w:r>
        <w:rPr>
          <w:rFonts w:ascii="Arial" w:cs="Arial" w:eastAsia="Arial" w:hAnsi="Arial"/>
          <w:b/>
          <w:bCs/>
          <w:color w:val="2B5797"/>
          <w:sz w:val="22"/>
          <w:szCs w:val="22"/>
        </w:rPr>
        <w:t xml:space="preserve">Company Identification</w:t>
      </w:r>
    </w:p>
    <w:p>
      <w:pPr>
        <w:pStyle w:val="ListParagraph"/>
        <w:numPr>
          <w:ilvl w:val="0"/>
          <w:numId w:val="2"/>
        </w:numPr>
        <w:spacing w:after="60"/>
      </w:pPr>
      <w:r>
        <w:rPr>
          <w:rFonts w:ascii="Arial" w:cs="Arial" w:eastAsia="Arial" w:hAnsi="Arial"/>
          <w:color w:val="333333"/>
          <w:sz w:val="20"/>
          <w:szCs w:val="20"/>
        </w:rPr>
        <w:t xml:space="preserve">Company Name, Sector, Industry, Market Cap</w:t>
      </w:r>
    </w:p>
    <w:p>
      <w:pPr>
        <w:spacing w:after="80"/>
      </w:pPr>
    </w:p>
    <w:p>
      <w:pPr>
        <w:pStyle w:val="Heading3"/>
        <w:spacing w:after="120" w:before="200"/>
      </w:pPr>
      <w:r>
        <w:rPr>
          <w:rFonts w:ascii="Arial" w:cs="Arial" w:eastAsia="Arial" w:hAnsi="Arial"/>
          <w:b/>
          <w:bCs/>
          <w:color w:val="2B5797"/>
          <w:sz w:val="22"/>
          <w:szCs w:val="22"/>
        </w:rPr>
        <w:t xml:space="preserve">Profitability</w:t>
      </w:r>
    </w:p>
    <w:p>
      <w:pPr>
        <w:pStyle w:val="ListParagraph"/>
        <w:numPr>
          <w:ilvl w:val="0"/>
          <w:numId w:val="2"/>
        </w:numPr>
        <w:spacing w:after="60"/>
      </w:pPr>
      <w:r>
        <w:rPr>
          <w:rFonts w:ascii="Arial" w:cs="Arial" w:eastAsia="Arial" w:hAnsi="Arial"/>
          <w:color w:val="333333"/>
          <w:sz w:val="20"/>
          <w:szCs w:val="20"/>
        </w:rPr>
        <w:t xml:space="preserve">Gross Margin %, Operating Margin %, Profit Margin %, Return on Equity (ROE) %</w:t>
      </w:r>
    </w:p>
    <w:p>
      <w:pPr>
        <w:spacing w:after="80"/>
      </w:pPr>
    </w:p>
    <w:p>
      <w:pPr>
        <w:pStyle w:val="Heading3"/>
        <w:spacing w:after="120" w:before="200"/>
      </w:pPr>
      <w:r>
        <w:rPr>
          <w:rFonts w:ascii="Arial" w:cs="Arial" w:eastAsia="Arial" w:hAnsi="Arial"/>
          <w:b/>
          <w:bCs/>
          <w:color w:val="2B5797"/>
          <w:sz w:val="22"/>
          <w:szCs w:val="22"/>
        </w:rPr>
        <w:t xml:space="preserve">Growth</w:t>
      </w:r>
    </w:p>
    <w:p>
      <w:pPr>
        <w:pStyle w:val="ListParagraph"/>
        <w:numPr>
          <w:ilvl w:val="0"/>
          <w:numId w:val="2"/>
        </w:numPr>
        <w:spacing w:after="60"/>
      </w:pPr>
      <w:r>
        <w:rPr>
          <w:rFonts w:ascii="Arial" w:cs="Arial" w:eastAsia="Arial" w:hAnsi="Arial"/>
          <w:color w:val="333333"/>
          <w:sz w:val="20"/>
          <w:szCs w:val="20"/>
        </w:rPr>
        <w:t xml:space="preserve">Revenue Growth YoY %, Earnings Growth %</w:t>
      </w:r>
    </w:p>
    <w:p>
      <w:pPr>
        <w:spacing w:after="80"/>
      </w:pPr>
    </w:p>
    <w:p>
      <w:pPr>
        <w:pStyle w:val="Heading3"/>
        <w:spacing w:after="120" w:before="200"/>
      </w:pPr>
      <w:r>
        <w:rPr>
          <w:rFonts w:ascii="Arial" w:cs="Arial" w:eastAsia="Arial" w:hAnsi="Arial"/>
          <w:b/>
          <w:bCs/>
          <w:color w:val="2B5797"/>
          <w:sz w:val="22"/>
          <w:szCs w:val="22"/>
        </w:rPr>
        <w:t xml:space="preserve">Financial Health</w:t>
      </w:r>
    </w:p>
    <w:p>
      <w:pPr>
        <w:pStyle w:val="ListParagraph"/>
        <w:numPr>
          <w:ilvl w:val="0"/>
          <w:numId w:val="2"/>
        </w:numPr>
        <w:spacing w:after="60"/>
      </w:pPr>
      <w:r>
        <w:rPr>
          <w:rFonts w:ascii="Arial" w:cs="Arial" w:eastAsia="Arial" w:hAnsi="Arial"/>
          <w:color w:val="333333"/>
          <w:sz w:val="20"/>
          <w:szCs w:val="20"/>
        </w:rPr>
        <w:t xml:space="preserve">Debt/Equity Ratio, Current Ratio, Free Cash Flow</w:t>
      </w:r>
    </w:p>
    <w:p>
      <w:pPr>
        <w:spacing w:after="80"/>
      </w:pPr>
    </w:p>
    <w:p>
      <w:pPr>
        <w:pStyle w:val="Heading3"/>
        <w:spacing w:after="120" w:before="200"/>
      </w:pPr>
      <w:r>
        <w:rPr>
          <w:rFonts w:ascii="Arial" w:cs="Arial" w:eastAsia="Arial" w:hAnsi="Arial"/>
          <w:b/>
          <w:bCs/>
          <w:color w:val="2B5797"/>
          <w:sz w:val="22"/>
          <w:szCs w:val="22"/>
        </w:rPr>
        <w:t xml:space="preserve">Ownership Structure</w:t>
      </w:r>
    </w:p>
    <w:p>
      <w:pPr>
        <w:pStyle w:val="ListParagraph"/>
        <w:numPr>
          <w:ilvl w:val="0"/>
          <w:numId w:val="2"/>
        </w:numPr>
        <w:spacing w:after="60"/>
      </w:pPr>
      <w:r>
        <w:rPr>
          <w:rFonts w:ascii="Arial" w:cs="Arial" w:eastAsia="Arial" w:hAnsi="Arial"/>
          <w:color w:val="333333"/>
          <w:sz w:val="20"/>
          <w:szCs w:val="20"/>
        </w:rPr>
        <w:t xml:space="preserve">Institutional Ownership %, Insider Ownership %, Short % of Float</w:t>
      </w:r>
    </w:p>
    <w:p>
      <w:pPr>
        <w:spacing w:after="80"/>
      </w:pPr>
    </w:p>
    <w:p>
      <w:pPr>
        <w:pStyle w:val="Heading3"/>
        <w:spacing w:after="120" w:before="200"/>
      </w:pPr>
      <w:r>
        <w:rPr>
          <w:rFonts w:ascii="Arial" w:cs="Arial" w:eastAsia="Arial" w:hAnsi="Arial"/>
          <w:b/>
          <w:bCs/>
          <w:color w:val="2B5797"/>
          <w:sz w:val="22"/>
          <w:szCs w:val="22"/>
        </w:rPr>
        <w:t xml:space="preserve">Derived Signals (Custom Calculations)</w:t>
      </w:r>
    </w:p>
    <w:p>
      <w:pPr>
        <w:spacing w:after="80"/>
      </w:pPr>
    </w:p>
    <w:p>
      <w:pPr>
        <w:spacing w:after="120"/>
        <w:jc w:val="left"/>
      </w:pPr>
      <w:r>
        <w:rPr>
          <w:rFonts w:ascii="Arial" w:cs="Arial" w:eastAsia="Arial" w:hAnsi="Arial"/>
          <w:b/>
          <w:bCs/>
          <w:color w:val="333333"/>
          <w:sz w:val="20"/>
          <w:szCs w:val="20"/>
        </w:rPr>
        <w:t xml:space="preserve">Revenue Acceleration: </w:t>
      </w:r>
      <w:r>
        <w:rPr>
          <w:rFonts w:ascii="Arial" w:cs="Arial" w:eastAsia="Arial" w:hAnsi="Arial"/>
          <w:color w:val="333333"/>
          <w:sz w:val="20"/>
          <w:szCs w:val="20"/>
        </w:rPr>
        <w:t xml:space="preserve">Quarterly YoY 4-quarter momentum comparison</w:t>
      </w:r>
    </w:p>
    <w:p>
      <w:pPr>
        <w:pStyle w:val="ListParagraph"/>
        <w:numPr>
          <w:ilvl w:val="1"/>
          <w:numId w:val="2"/>
        </w:numPr>
        <w:spacing w:after="60"/>
      </w:pPr>
      <w:r>
        <w:rPr>
          <w:rFonts w:ascii="Arial" w:cs="Arial" w:eastAsia="Arial" w:hAnsi="Arial"/>
          <w:color w:val="333333"/>
          <w:sz w:val="20"/>
          <w:szCs w:val="20"/>
        </w:rPr>
        <w:t xml:space="preserve">ACCELERATING | STABLE | DECELERATING | UNKNOWN</w:t>
      </w:r>
    </w:p>
    <w:p>
      <w:pPr>
        <w:pStyle w:val="ListParagraph"/>
        <w:numPr>
          <w:ilvl w:val="1"/>
          <w:numId w:val="2"/>
        </w:numPr>
        <w:spacing w:after="60"/>
      </w:pPr>
      <w:r>
        <w:rPr>
          <w:rFonts w:ascii="Arial" w:cs="Arial" w:eastAsia="Arial" w:hAnsi="Arial"/>
          <w:color w:val="333333"/>
          <w:sz w:val="20"/>
          <w:szCs w:val="20"/>
        </w:rPr>
        <w:t xml:space="preserve">Compares last 4Q growth vs previous 4Q growth (±2% threshold)</w:t>
      </w:r>
    </w:p>
    <w:p>
      <w:pPr>
        <w:spacing w:after="80"/>
      </w:pPr>
    </w:p>
    <w:p>
      <w:pPr>
        <w:spacing w:after="120"/>
        <w:jc w:val="left"/>
      </w:pPr>
      <w:r>
        <w:rPr>
          <w:rFonts w:ascii="Arial" w:cs="Arial" w:eastAsia="Arial" w:hAnsi="Arial"/>
          <w:b/>
          <w:bCs/>
          <w:color w:val="333333"/>
          <w:sz w:val="20"/>
          <w:szCs w:val="20"/>
        </w:rPr>
        <w:t xml:space="preserve">EPS Trend: </w:t>
      </w:r>
      <w:r>
        <w:rPr>
          <w:rFonts w:ascii="Arial" w:cs="Arial" w:eastAsia="Arial" w:hAnsi="Arial"/>
          <w:color w:val="333333"/>
          <w:sz w:val="20"/>
          <w:szCs w:val="20"/>
        </w:rPr>
        <w:t xml:space="preserve">Quarterly net income / diluted shares trend analysis</w:t>
      </w:r>
    </w:p>
    <w:p>
      <w:pPr>
        <w:pStyle w:val="ListParagraph"/>
        <w:numPr>
          <w:ilvl w:val="1"/>
          <w:numId w:val="2"/>
        </w:numPr>
        <w:spacing w:after="60"/>
      </w:pPr>
      <w:r>
        <w:rPr>
          <w:rFonts w:ascii="Arial" w:cs="Arial" w:eastAsia="Arial" w:hAnsi="Arial"/>
          <w:color w:val="333333"/>
          <w:sz w:val="20"/>
          <w:szCs w:val="20"/>
        </w:rPr>
        <w:t xml:space="preserve">POSITIVE | IMPROVING | STABLE | DECLINING | NEGATIVE | UNKNOWN</w:t>
      </w:r>
    </w:p>
    <w:p>
      <w:pPr>
        <w:pStyle w:val="ListParagraph"/>
        <w:numPr>
          <w:ilvl w:val="1"/>
          <w:numId w:val="2"/>
        </w:numPr>
        <w:spacing w:after="60"/>
      </w:pPr>
      <w:r>
        <w:rPr>
          <w:rFonts w:ascii="Arial" w:cs="Arial" w:eastAsia="Arial" w:hAnsi="Arial"/>
          <w:color w:val="333333"/>
          <w:sz w:val="20"/>
          <w:szCs w:val="20"/>
        </w:rPr>
        <w:t xml:space="preserve">Uses trailing EPS as fallback if quarterly data unavailable</w:t>
      </w:r>
    </w:p>
    <w:p>
      <w:pPr>
        <w:spacing w:after="80"/>
      </w:pPr>
    </w:p>
    <w:p>
      <w:pPr>
        <w:spacing w:after="120"/>
        <w:jc w:val="left"/>
      </w:pPr>
      <w:r>
        <w:rPr>
          <w:rFonts w:ascii="Arial" w:cs="Arial" w:eastAsia="Arial" w:hAnsi="Arial"/>
          <w:b/>
          <w:bCs/>
          <w:color w:val="333333"/>
          <w:sz w:val="20"/>
          <w:szCs w:val="20"/>
        </w:rPr>
        <w:t xml:space="preserve">Insider Activity: </w:t>
      </w:r>
      <w:r>
        <w:rPr>
          <w:rFonts w:ascii="Arial" w:cs="Arial" w:eastAsia="Arial" w:hAnsi="Arial"/>
          <w:color w:val="333333"/>
          <w:sz w:val="20"/>
          <w:szCs w:val="20"/>
        </w:rPr>
        <w:t xml:space="preserve">Analyzes last 90 days of insider transactions</w:t>
      </w:r>
    </w:p>
    <w:p>
      <w:pPr>
        <w:pStyle w:val="ListParagraph"/>
        <w:numPr>
          <w:ilvl w:val="1"/>
          <w:numId w:val="2"/>
        </w:numPr>
        <w:spacing w:after="60"/>
      </w:pPr>
      <w:r>
        <w:rPr>
          <w:rFonts w:ascii="Arial" w:cs="Arial" w:eastAsia="Arial" w:hAnsi="Arial"/>
          <w:color w:val="333333"/>
          <w:sz w:val="20"/>
          <w:szCs w:val="20"/>
        </w:rPr>
        <w:t xml:space="preserve">BUYING | SELLING | NEUTRAL | UNKNOWN</w:t>
      </w:r>
    </w:p>
    <w:p>
      <w:pPr>
        <w:pStyle w:val="ListParagraph"/>
        <w:numPr>
          <w:ilvl w:val="1"/>
          <w:numId w:val="2"/>
        </w:numPr>
        <w:spacing w:after="60"/>
      </w:pPr>
      <w:r>
        <w:rPr>
          <w:rFonts w:ascii="Arial" w:cs="Arial" w:eastAsia="Arial" w:hAnsi="Arial"/>
          <w:color w:val="333333"/>
          <w:sz w:val="20"/>
          <w:szCs w:val="20"/>
        </w:rPr>
        <w:t xml:space="preserve">Counts purchase/buy/acquisition vs sale/sell/disposition transactions</w:t>
      </w:r>
    </w:p>
    <w:p>
      <w:r>
        <w:br w:type="page"/>
      </w:r>
    </w:p>
    <w:p>
      <w:pPr>
        <w:pStyle w:val="Heading1"/>
        <w:spacing w:after="200" w:before="360"/>
      </w:pPr>
      <w:r>
        <w:rPr>
          <w:rFonts w:ascii="Arial" w:cs="Arial" w:eastAsia="Arial" w:hAnsi="Arial"/>
          <w:b/>
          <w:bCs/>
          <w:color w:val="1F4E79"/>
          <w:sz w:val="32"/>
          <w:szCs w:val="32"/>
        </w:rPr>
        <w:t xml:space="preserve">5. Scoring System</w:t>
      </w:r>
    </w:p>
    <w:p>
      <w:pPr>
        <w:spacing w:after="120"/>
        <w:jc w:val="left"/>
      </w:pPr>
      <w:r>
        <w:rPr>
          <w:rFonts w:ascii="Arial" w:cs="Arial" w:eastAsia="Arial" w:hAnsi="Arial"/>
          <w:color w:val="333333"/>
          <w:sz w:val="20"/>
          <w:szCs w:val="20"/>
        </w:rPr>
        <w:t xml:space="preserve">Each stock receives four independent scores (0-100) across different investment categories. Red flags are detected first and apply penalties across all categories.</w:t>
      </w:r>
    </w:p>
    <w:p>
      <w:pPr>
        <w:spacing w:after="80"/>
      </w:pPr>
    </w:p>
    <w:p>
      <w:pPr>
        <w:pStyle w:val="Heading2"/>
        <w:spacing w:after="160" w:before="280"/>
      </w:pPr>
      <w:r>
        <w:rPr>
          <w:rFonts w:ascii="Arial" w:cs="Arial" w:eastAsia="Arial" w:hAnsi="Arial"/>
          <w:b/>
          <w:bCs/>
          <w:color w:val="1F4E79"/>
          <w:sz w:val="26"/>
          <w:szCs w:val="26"/>
        </w:rPr>
        <w:t xml:space="preserve">Red Flags (Applied to All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Red Flag</w:t>
            </w:r>
          </w:p>
        </w:tc>
        <w:tc>
          <w:tcPr>
            <w:tcW w:type="dxa" w:w="46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Threshold</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High Short Interest</w:t>
            </w:r>
          </w:p>
        </w:tc>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&gt; 25% of float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Negative Gross Margin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Gross margin &lt; 0%</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Extreme Leverage</w:t>
            </w:r>
          </w:p>
        </w:tc>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Debt/Equity &gt; 200%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Declining Earnings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EPS trend = DECLINING</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Insider Selling</w:t>
            </w:r>
          </w:p>
        </w:tc>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Net insider selling activity</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Stage 4 Downtrend</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Weinstein Stage 4 confirmed</w:t>
            </w:r>
          </w:p>
        </w:tc>
      </w:tr>
    </w:tbl>
    <w:p>
      <w:pPr>
        <w:spacing w:after="80"/>
      </w:pPr>
    </w:p>
    <w:p>
      <w:pPr>
        <w:pStyle w:val="Heading2"/>
        <w:spacing w:after="160" w:before="280"/>
      </w:pPr>
      <w:r>
        <w:rPr>
          <w:rFonts w:ascii="Arial" w:cs="Arial" w:eastAsia="Arial" w:hAnsi="Arial"/>
          <w:b/>
          <w:bCs/>
          <w:color w:val="1F4E79"/>
          <w:sz w:val="26"/>
          <w:szCs w:val="26"/>
        </w:rPr>
        <w:t xml:space="preserve">Swing Short Score (2-3 Day Trades)</w:t>
      </w:r>
    </w:p>
    <w:p>
      <w:pPr>
        <w:spacing w:after="120"/>
        <w:jc w:val="left"/>
      </w:pPr>
      <w:r>
        <w:rPr>
          <w:rFonts w:ascii="Arial" w:cs="Arial" w:eastAsia="Arial" w:hAnsi="Arial"/>
          <w:b/>
          <w:bCs/>
          <w:color w:val="333333"/>
          <w:sz w:val="20"/>
          <w:szCs w:val="20"/>
        </w:rPr>
        <w:t xml:space="preserve">Maximum: 100 points  |  </w:t>
      </w:r>
      <w:r>
        <w:rPr>
          <w:rFonts w:ascii="Arial" w:cs="Arial" w:eastAsia="Arial" w:hAnsi="Arial"/>
          <w:color w:val="333333"/>
          <w:sz w:val="20"/>
          <w:szCs w:val="20"/>
        </w:rPr>
        <w:t xml:space="preserve">Designed for quick momentum bounce trades near oversold conditions.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Factor</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Max Pts</w:t>
            </w:r>
          </w:p>
        </w:tc>
        <w:tc>
          <w:tcPr>
            <w:tcW w:type="dxa" w:w="5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Scoring Conditions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RSI Bounce Zone</w:t>
            </w:r>
          </w:p>
        </w:tc>
        <w:tc>
          <w:tcPr>
            <w:tcW w:type="dxa" w:w="1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w:t>
            </w:r>
          </w:p>
        </w:tc>
        <w:tc>
          <w:tcPr>
            <w:tcW w:type="dxa" w:w="59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RSI 25-40: 20pts | 40-50: 12pts | &lt;25: 8pts | &gt;70: -20pts penalty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Volume Spike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≥3.0x avg: 20pts | ≥2.0x: 15pts | ≥1.5x: 8pts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Near Support</w:t>
            </w:r>
          </w:p>
        </w:tc>
        <w:tc>
          <w:tcPr>
            <w:tcW w:type="dxa" w:w="1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w:t>
            </w:r>
          </w:p>
        </w:tc>
        <w:tc>
          <w:tcPr>
            <w:tcW w:type="dxa" w:w="59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At support (3%): 20pts | &lt;10% from low: 10pts | &lt;20%: 5pts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Bullish Candle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Bullish candle: 20pts | Price change &gt;0%: 8pts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Above EMA20</w:t>
            </w:r>
          </w:p>
        </w:tc>
        <w:tc>
          <w:tcPr>
            <w:tcW w:type="dxa" w:w="1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w:t>
            </w:r>
          </w:p>
        </w:tc>
        <w:tc>
          <w:tcPr>
            <w:tcW w:type="dxa" w:w="59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Above EMA20: 20pts | &gt;98% of EMA20: 10pts</w:t>
            </w:r>
          </w:p>
        </w:tc>
      </w:tr>
    </w:tbl>
    <w:p>
      <w:pPr>
        <w:spacing w:after="80"/>
      </w:pPr>
    </w:p>
    <w:p>
      <w:pPr>
        <w:pStyle w:val="Heading2"/>
        <w:spacing w:after="160" w:before="280"/>
      </w:pPr>
      <w:r>
        <w:rPr>
          <w:rFonts w:ascii="Arial" w:cs="Arial" w:eastAsia="Arial" w:hAnsi="Arial"/>
          <w:b/>
          <w:bCs/>
          <w:color w:val="1F4E79"/>
          <w:sz w:val="26"/>
          <w:szCs w:val="26"/>
        </w:rPr>
        <w:t xml:space="preserve">Swing Medium Score (2-3 Week Positional)</w:t>
      </w:r>
    </w:p>
    <w:p>
      <w:pPr>
        <w:spacing w:after="120"/>
        <w:jc w:val="left"/>
      </w:pPr>
      <w:r>
        <w:rPr>
          <w:rFonts w:ascii="Arial" w:cs="Arial" w:eastAsia="Arial" w:hAnsi="Arial"/>
          <w:b/>
          <w:bCs/>
          <w:color w:val="333333"/>
          <w:sz w:val="20"/>
          <w:szCs w:val="20"/>
        </w:rPr>
        <w:t xml:space="preserve">Maximum: 100 points  |  </w:t>
      </w:r>
      <w:r>
        <w:rPr>
          <w:rFonts w:ascii="Arial" w:cs="Arial" w:eastAsia="Arial" w:hAnsi="Arial"/>
          <w:color w:val="333333"/>
          <w:sz w:val="20"/>
          <w:szCs w:val="20"/>
        </w:rPr>
        <w:t xml:space="preserve">Identifies stocks in strong uptrends with breakout potential.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Factor</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Max Pts</w:t>
            </w:r>
          </w:p>
        </w:tc>
        <w:tc>
          <w:tcPr>
            <w:tcW w:type="dxa" w:w="5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Scoring Conditions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Stage 2 EMA Alignment</w:t>
            </w:r>
          </w:p>
        </w:tc>
        <w:tc>
          <w:tcPr>
            <w:tcW w:type="dxa" w:w="1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25</w:t>
            </w:r>
          </w:p>
        </w:tc>
        <w:tc>
          <w:tcPr>
            <w:tcW w:type="dxa" w:w="59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Stage 2: 25pts | Stage 1: 10pts | Auto-zero if Stage 4</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Volume Confirmation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≥2.0x: 20pts | ≥1.5x: 12pts | ≥1.2x: 6pts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Near 52W High</w:t>
            </w:r>
          </w:p>
        </w:tc>
        <w:tc>
          <w:tcPr>
            <w:tcW w:type="dxa" w:w="1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w:t>
            </w:r>
          </w:p>
        </w:tc>
        <w:tc>
          <w:tcPr>
            <w:tcW w:type="dxa" w:w="59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≥-5%: 20pts | ≥-10%: 15pts | ≥-20%: 8pts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RS vs SPY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≥1.3x: 20pts | ≥1.1x: 14pts | ≥1.0x: 8pts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VCP Pattern</w:t>
            </w:r>
          </w:p>
        </w:tc>
        <w:tc>
          <w:tcPr>
            <w:tcW w:type="dxa" w:w="1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15</w:t>
            </w:r>
          </w:p>
        </w:tc>
        <w:tc>
          <w:tcPr>
            <w:tcW w:type="dxa" w:w="59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Detected: 15pts | Not detected: 0pts</w:t>
            </w:r>
          </w:p>
        </w:tc>
      </w:tr>
    </w:tbl>
    <w:p>
      <w:pPr>
        <w:spacing w:after="80"/>
      </w:pPr>
    </w:p>
    <w:p>
      <w:r>
        <w:br w:type="page"/>
      </w:r>
    </w:p>
    <w:p>
      <w:pPr>
        <w:pStyle w:val="Heading2"/>
        <w:spacing w:after="160" w:before="280"/>
      </w:pPr>
      <w:r>
        <w:rPr>
          <w:rFonts w:ascii="Arial" w:cs="Arial" w:eastAsia="Arial" w:hAnsi="Arial"/>
          <w:b/>
          <w:bCs/>
          <w:color w:val="1F4E79"/>
          <w:sz w:val="26"/>
          <w:szCs w:val="26"/>
        </w:rPr>
        <w:t xml:space="preserve">Investment Score (Long-term Fundamentals)</w:t>
      </w:r>
    </w:p>
    <w:p>
      <w:pPr>
        <w:spacing w:after="120"/>
        <w:jc w:val="left"/>
      </w:pPr>
      <w:r>
        <w:rPr>
          <w:rFonts w:ascii="Arial" w:cs="Arial" w:eastAsia="Arial" w:hAnsi="Arial"/>
          <w:b/>
          <w:bCs/>
          <w:color w:val="333333"/>
          <w:sz w:val="20"/>
          <w:szCs w:val="20"/>
        </w:rPr>
        <w:t xml:space="preserve">Maximum: 100 points  |  </w:t>
      </w:r>
      <w:r>
        <w:rPr>
          <w:rFonts w:ascii="Arial" w:cs="Arial" w:eastAsia="Arial" w:hAnsi="Arial"/>
          <w:color w:val="333333"/>
          <w:sz w:val="20"/>
          <w:szCs w:val="20"/>
        </w:rPr>
        <w:t xml:space="preserve">Evaluates fundamental strength for 12+ month holding periods.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Factor</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Max Pts</w:t>
            </w:r>
          </w:p>
        </w:tc>
        <w:tc>
          <w:tcPr>
            <w:tcW w:type="dxa" w:w="5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Scoring Conditions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Revenue Growth YoY</w:t>
            </w:r>
          </w:p>
        </w:tc>
        <w:tc>
          <w:tcPr>
            <w:tcW w:type="dxa" w:w="1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25</w:t>
            </w:r>
          </w:p>
        </w:tc>
        <w:tc>
          <w:tcPr>
            <w:tcW w:type="dxa" w:w="59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≥40%: 25pts | ≥25%: 20pts | ≥15%: 12pts | ≥5%: 5pts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Gross Margin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≥60%: 20pts | ≥40%: 14pts | ≥20%: 7pts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Debt/Equity Health</w:t>
            </w:r>
          </w:p>
        </w:tc>
        <w:tc>
          <w:tcPr>
            <w:tcW w:type="dxa" w:w="1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15</w:t>
            </w:r>
          </w:p>
        </w:tc>
        <w:tc>
          <w:tcPr>
            <w:tcW w:type="dxa" w:w="59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&lt;20%: 15pts | &lt;50%: 10pts | &lt;100%: 5pts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EPS/Profit Trend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20</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POSITIVE: 20pts | IMPROVING: 14pts | STABLE: 8pts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Market Cap (Growth Room)</w:t>
            </w:r>
          </w:p>
        </w:tc>
        <w:tc>
          <w:tcPr>
            <w:tcW w:type="dxa" w:w="1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10</w:t>
            </w:r>
          </w:p>
        </w:tc>
        <w:tc>
          <w:tcPr>
            <w:tcW w:type="dxa" w:w="59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&lt;$500M: 10pts | &lt;$2B: 8pts | &lt;$10B: 5pts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Revenue Acceleration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10</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ACCELERATING: 10pts | STABLE: 5pts</w:t>
            </w:r>
          </w:p>
        </w:tc>
      </w:tr>
    </w:tbl>
    <w:p>
      <w:pPr>
        <w:spacing w:after="80"/>
      </w:pPr>
    </w:p>
    <w:p>
      <w:pPr>
        <w:pStyle w:val="Heading2"/>
        <w:spacing w:after="160" w:before="280"/>
      </w:pPr>
      <w:r>
        <w:rPr>
          <w:rFonts w:ascii="Arial" w:cs="Arial" w:eastAsia="Arial" w:hAnsi="Arial"/>
          <w:b/>
          <w:bCs/>
          <w:color w:val="1F4E79"/>
          <w:sz w:val="26"/>
          <w:szCs w:val="26"/>
        </w:rPr>
        <w:t xml:space="preserve">Multibagger Composite Score (5-10x Potential)</w:t>
      </w:r>
    </w:p>
    <w:p>
      <w:pPr>
        <w:spacing w:after="120"/>
        <w:jc w:val="left"/>
      </w:pPr>
      <w:r>
        <w:rPr>
          <w:rFonts w:ascii="Arial" w:cs="Arial" w:eastAsia="Arial" w:hAnsi="Arial"/>
          <w:b/>
          <w:bCs/>
          <w:color w:val="333333"/>
          <w:sz w:val="20"/>
          <w:szCs w:val="20"/>
        </w:rPr>
        <w:t xml:space="preserve">Maximum: 100 points  |  Structure: 60pts fundamental + 40pts technical</w:t>
      </w:r>
    </w:p>
    <w:p>
      <w:pPr>
        <w:spacing w:after="120"/>
        <w:jc w:val="left"/>
      </w:pPr>
      <w:r>
        <w:rPr>
          <w:rFonts w:ascii="Arial" w:cs="Arial" w:eastAsia="Arial" w:hAnsi="Arial"/>
          <w:color w:val="333333"/>
          <w:sz w:val="20"/>
          <w:szCs w:val="20"/>
        </w:rPr>
        <w:t xml:space="preserve">Identifies high-growth small/mid-caps with potential for outsized returns over 18-36 months.</w:t>
      </w:r>
    </w:p>
    <w:p>
      <w:pPr>
        <w:spacing w:after="80"/>
      </w:pPr>
    </w:p>
    <w:p>
      <w:pPr>
        <w:pStyle w:val="Heading3"/>
        <w:spacing w:after="120" w:before="200"/>
      </w:pPr>
      <w:r>
        <w:rPr>
          <w:rFonts w:ascii="Arial" w:cs="Arial" w:eastAsia="Arial" w:hAnsi="Arial"/>
          <w:b/>
          <w:bCs/>
          <w:color w:val="2B5797"/>
          <w:sz w:val="22"/>
          <w:szCs w:val="22"/>
        </w:rPr>
        <w:t xml:space="preserve">Fundamental Layer (60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Factor</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Max Pts</w:t>
            </w:r>
          </w:p>
        </w:tc>
        <w:tc>
          <w:tcPr>
            <w:tcW w:type="dxa" w:w="5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Scoring Conditions</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Revenue Growth</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25</w:t>
            </w:r>
          </w:p>
        </w:tc>
        <w:tc>
          <w:tcPr>
            <w:tcW w:type="dxa" w:w="59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≥40%: 25pts | ≥25%: 18pts | ≥15%: 10pts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Gross Margin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10</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≥60%: 10pts | ≥40%: 7pts | ≥20%: 3pts</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EPS Trajectory</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10</w:t>
            </w:r>
          </w:p>
        </w:tc>
        <w:tc>
          <w:tcPr>
            <w:tcW w:type="dxa" w:w="59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POSITIVE: 10pts | IMPROVING: 7pts | STABLE: 3pts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Balance Sheet Health</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10</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D/E &lt;50%: 7pts + Current Ratio ≥2.0: +3pts bonus</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Insider Activity</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10</w:t>
            </w:r>
          </w:p>
        </w:tc>
        <w:tc>
          <w:tcPr>
            <w:tcW w:type="dxa" w:w="59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BUYING: 10pts | NEUTRAL: 5pts | SELLING: 0pts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Institutional Sweet Spot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5</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5-35% ownership: 5pts | 35-60%: 2pts</w:t>
            </w:r>
          </w:p>
        </w:tc>
      </w:tr>
    </w:tbl>
    <w:p>
      <w:pPr>
        <w:spacing w:after="80"/>
      </w:pPr>
    </w:p>
    <w:p>
      <w:pPr>
        <w:pStyle w:val="Heading3"/>
        <w:spacing w:after="120" w:before="200"/>
      </w:pPr>
      <w:r>
        <w:rPr>
          <w:rFonts w:ascii="Arial" w:cs="Arial" w:eastAsia="Arial" w:hAnsi="Arial"/>
          <w:b/>
          <w:bCs/>
          <w:color w:val="2B5797"/>
          <w:sz w:val="22"/>
          <w:szCs w:val="22"/>
        </w:rPr>
        <w:t xml:space="preserve">Technical Layer (40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Factor</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Max Pts</w:t>
            </w:r>
          </w:p>
        </w:tc>
        <w:tc>
          <w:tcPr>
            <w:tcW w:type="dxa" w:w="5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Scoring Conditions</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Stage 2 Alignment</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15</w:t>
            </w:r>
          </w:p>
        </w:tc>
        <w:tc>
          <w:tcPr>
            <w:tcW w:type="dxa" w:w="59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Stage 2: 15pts | Stage 1: 5pts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RS vs SPY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5</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≥1.3x: 5pts | ≥1.1x: 3pts | ≥1.0x: 1pt</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Market Cap Sweet Spot</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5</w:t>
            </w:r>
          </w:p>
        </w:tc>
        <w:tc>
          <w:tcPr>
            <w:tcW w:type="dxa" w:w="59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$50M-$2B: 5pts | $2B-$5B: 3pts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Revenue Acceleration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5</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ACCELERATING: 5pts | STABLE: 2pts</w:t>
            </w:r>
          </w:p>
        </w:tc>
      </w:tr>
    </w:tbl>
    <w:p>
      <w:pPr>
        <w:spacing w:after="80"/>
      </w:pPr>
    </w:p>
    <w:p>
      <w:pPr>
        <w:pStyle w:val="Heading3"/>
        <w:spacing w:after="120" w:before="200"/>
      </w:pPr>
      <w:r>
        <w:rPr>
          <w:rFonts w:ascii="Arial" w:cs="Arial" w:eastAsia="Arial" w:hAnsi="Arial"/>
          <w:b/>
          <w:bCs/>
          <w:color w:val="2B5797"/>
          <w:sz w:val="22"/>
          <w:szCs w:val="22"/>
        </w:rPr>
        <w:t xml:space="preserve">Red Flag Penalties (Multibagger)</w:t>
      </w:r>
    </w:p>
    <w:p>
      <w:pPr>
        <w:pStyle w:val="ListParagraph"/>
        <w:numPr>
          <w:ilvl w:val="0"/>
          <w:numId w:val="2"/>
        </w:numPr>
        <w:spacing w:after="60"/>
      </w:pPr>
      <w:r>
        <w:rPr>
          <w:rFonts w:ascii="Arial" w:cs="Arial" w:eastAsia="Arial" w:hAnsi="Arial"/>
          <w:color w:val="333333"/>
          <w:sz w:val="20"/>
          <w:szCs w:val="20"/>
        </w:rPr>
        <w:t xml:space="preserve">≥ 2 red flags: -20 points</w:t>
      </w:r>
    </w:p>
    <w:p>
      <w:pPr>
        <w:pStyle w:val="ListParagraph"/>
        <w:numPr>
          <w:ilvl w:val="0"/>
          <w:numId w:val="2"/>
        </w:numPr>
        <w:spacing w:after="60"/>
      </w:pPr>
      <w:r>
        <w:rPr>
          <w:rFonts w:ascii="Arial" w:cs="Arial" w:eastAsia="Arial" w:hAnsi="Arial"/>
          <w:color w:val="333333"/>
          <w:sz w:val="20"/>
          <w:szCs w:val="20"/>
        </w:rPr>
        <w:t xml:space="preserve">1 red flag: -8 points</w:t>
      </w:r>
    </w:p>
    <w:p>
      <w:pPr>
        <w:pStyle w:val="ListParagraph"/>
        <w:numPr>
          <w:ilvl w:val="0"/>
          <w:numId w:val="2"/>
        </w:numPr>
        <w:spacing w:after="60"/>
      </w:pPr>
      <w:r>
        <w:rPr>
          <w:rFonts w:ascii="Arial" w:cs="Arial" w:eastAsia="Arial" w:hAnsi="Arial"/>
          <w:color w:val="333333"/>
          <w:sz w:val="20"/>
          <w:szCs w:val="20"/>
        </w:rPr>
        <w:t xml:space="preserve">0 red flags: no penalty</w:t>
      </w:r>
    </w:p>
    <w:p>
      <w:r>
        <w:br w:type="page"/>
      </w:r>
    </w:p>
    <w:p>
      <w:pPr>
        <w:pStyle w:val="Heading1"/>
        <w:spacing w:after="200" w:before="360"/>
      </w:pPr>
      <w:r>
        <w:rPr>
          <w:rFonts w:ascii="Arial" w:cs="Arial" w:eastAsia="Arial" w:hAnsi="Arial"/>
          <w:b/>
          <w:bCs/>
          <w:color w:val="1F4E79"/>
          <w:sz w:val="32"/>
          <w:szCs w:val="32"/>
        </w:rPr>
        <w:t xml:space="preserve">6. AI Investment Insights</w:t>
      </w:r>
    </w:p>
    <w:p>
      <w:pPr>
        <w:spacing w:after="120"/>
        <w:jc w:val="left"/>
      </w:pPr>
      <w:r>
        <w:rPr>
          <w:rFonts w:ascii="Arial" w:cs="Arial" w:eastAsia="Arial" w:hAnsi="Arial"/>
          <w:color w:val="333333"/>
          <w:sz w:val="20"/>
          <w:szCs w:val="20"/>
        </w:rPr>
        <w:t xml:space="preserve">The scanner generates AI-powered investment theses for the top multibagger candidates, providing actionable analysis beyond raw scores.</w:t>
      </w:r>
    </w:p>
    <w:p>
      <w:pPr>
        <w:spacing w:after="80"/>
      </w:pPr>
    </w:p>
    <w:p>
      <w:pPr>
        <w:pStyle w:val="Heading3"/>
        <w:spacing w:after="120" w:before="200"/>
      </w:pPr>
      <w:r>
        <w:rPr>
          <w:rFonts w:ascii="Arial" w:cs="Arial" w:eastAsia="Arial" w:hAnsi="Arial"/>
          <w:b/>
          <w:bCs/>
          <w:color w:val="2B5797"/>
          <w:sz w:val="22"/>
          <w:szCs w:val="22"/>
        </w:rPr>
        <w:t xml:space="preserve">Eligibility</w:t>
      </w:r>
    </w:p>
    <w:p>
      <w:pPr>
        <w:pStyle w:val="ListParagraph"/>
        <w:numPr>
          <w:ilvl w:val="0"/>
          <w:numId w:val="2"/>
        </w:numPr>
        <w:spacing w:after="60"/>
      </w:pPr>
      <w:r>
        <w:rPr>
          <w:rFonts w:ascii="Arial" w:cs="Arial" w:eastAsia="Arial" w:hAnsi="Arial"/>
          <w:color w:val="333333"/>
          <w:sz w:val="20"/>
          <w:szCs w:val="20"/>
        </w:rPr>
        <w:t xml:space="preserve">Multibagger score ≥ 50 (out of 100)</w:t>
      </w:r>
    </w:p>
    <w:p>
      <w:pPr>
        <w:pStyle w:val="ListParagraph"/>
        <w:numPr>
          <w:ilvl w:val="0"/>
          <w:numId w:val="2"/>
        </w:numPr>
        <w:spacing w:after="60"/>
      </w:pPr>
      <w:r>
        <w:rPr>
          <w:rFonts w:ascii="Arial" w:cs="Arial" w:eastAsia="Arial" w:hAnsi="Arial"/>
          <w:color w:val="333333"/>
          <w:sz w:val="20"/>
          <w:szCs w:val="20"/>
        </w:rPr>
        <w:t xml:space="preserve">Limited to top 50 candidates per scan session</w:t>
      </w:r>
    </w:p>
    <w:p>
      <w:pPr>
        <w:pStyle w:val="ListParagraph"/>
        <w:numPr>
          <w:ilvl w:val="0"/>
          <w:numId w:val="2"/>
        </w:numPr>
        <w:spacing w:after="60"/>
      </w:pPr>
      <w:r>
        <w:rPr>
          <w:rFonts w:ascii="Arial" w:cs="Arial" w:eastAsia="Arial" w:hAnsi="Arial"/>
          <w:color w:val="333333"/>
          <w:sz w:val="20"/>
          <w:szCs w:val="20"/>
        </w:rPr>
        <w:t xml:space="preserve">Cached for 24 hours in SQLite database</w:t>
      </w:r>
    </w:p>
    <w:p>
      <w:pPr>
        <w:spacing w:after="80"/>
      </w:pPr>
    </w:p>
    <w:p>
      <w:pPr>
        <w:pStyle w:val="Heading3"/>
        <w:spacing w:after="120" w:before="200"/>
      </w:pPr>
      <w:r>
        <w:rPr>
          <w:rFonts w:ascii="Arial" w:cs="Arial" w:eastAsia="Arial" w:hAnsi="Arial"/>
          <w:b/>
          <w:bCs/>
          <w:color w:val="2B5797"/>
          <w:sz w:val="22"/>
          <w:szCs w:val="22"/>
        </w:rPr>
        <w:t xml:space="preserve">AI Provider</w:t>
      </w:r>
    </w:p>
    <w:p>
      <w:pPr>
        <w:pStyle w:val="ListParagraph"/>
        <w:numPr>
          <w:ilvl w:val="0"/>
          <w:numId w:val="2"/>
        </w:numPr>
        <w:spacing w:after="60"/>
      </w:pPr>
      <w:r>
        <w:rPr>
          <w:rFonts w:ascii="Arial" w:cs="Arial" w:eastAsia="Arial" w:hAnsi="Arial"/>
          <w:color w:val="333333"/>
          <w:sz w:val="20"/>
          <w:szCs w:val="20"/>
        </w:rPr>
        <w:t xml:space="preserve">Primary: Groq API (free, no credit card required)</w:t>
      </w:r>
    </w:p>
    <w:p>
      <w:pPr>
        <w:pStyle w:val="ListParagraph"/>
        <w:numPr>
          <w:ilvl w:val="0"/>
          <w:numId w:val="2"/>
        </w:numPr>
        <w:spacing w:after="60"/>
      </w:pPr>
      <w:r>
        <w:rPr>
          <w:rFonts w:ascii="Arial" w:cs="Arial" w:eastAsia="Arial" w:hAnsi="Arial"/>
          <w:color w:val="333333"/>
          <w:sz w:val="20"/>
          <w:szCs w:val="20"/>
        </w:rPr>
        <w:t xml:space="preserve">Fallback: Anthropic Claude API</w:t>
      </w:r>
    </w:p>
    <w:p>
      <w:pPr>
        <w:pStyle w:val="ListParagraph"/>
        <w:numPr>
          <w:ilvl w:val="0"/>
          <w:numId w:val="2"/>
        </w:numPr>
        <w:spacing w:after="60"/>
      </w:pPr>
      <w:r>
        <w:rPr>
          <w:rFonts w:ascii="Arial" w:cs="Arial" w:eastAsia="Arial" w:hAnsi="Arial"/>
          <w:color w:val="333333"/>
          <w:sz w:val="20"/>
          <w:szCs w:val="20"/>
        </w:rPr>
        <w:t xml:space="preserve">Rate limited: 1.5s sleep between API calls</w:t>
      </w:r>
    </w:p>
    <w:p>
      <w:pPr>
        <w:spacing w:after="80"/>
      </w:pPr>
    </w:p>
    <w:p>
      <w:pPr>
        <w:pStyle w:val="Heading3"/>
        <w:spacing w:after="120" w:before="200"/>
      </w:pPr>
      <w:r>
        <w:rPr>
          <w:rFonts w:ascii="Arial" w:cs="Arial" w:eastAsia="Arial" w:hAnsi="Arial"/>
          <w:b/>
          <w:bCs/>
          <w:color w:val="2B5797"/>
          <w:sz w:val="22"/>
          <w:szCs w:val="22"/>
        </w:rPr>
        <w:t xml:space="preserve">Output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6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investment_thesis</w:t>
            </w:r>
          </w:p>
        </w:tc>
        <w:tc>
          <w:tcPr>
            <w:tcW w:type="dxa" w:w="67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2-3 sentence summary of why the stock scored high and its multibagger potential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key_catalysts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Array of 3 specific growth drivers identified from the data</w:t>
            </w:r>
          </w:p>
        </w:tc>
      </w:tr>
      <w:tr>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main_risk</w:t>
            </w:r>
          </w:p>
        </w:tc>
        <w:tc>
          <w:tcPr>
            <w:tcW w:type="dxa" w:w="67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Single most important risk factor to monitor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time_horizon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Ideal holding period (e.g., "6-18 months")</w:t>
            </w:r>
          </w:p>
        </w:tc>
      </w:tr>
      <w:tr>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conviction</w:t>
            </w:r>
          </w:p>
        </w:tc>
        <w:tc>
          <w:tcPr>
            <w:tcW w:type="dxa" w:w="67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HIGH | MEDIUM | LOW — analyst conviction level</w:t>
            </w:r>
          </w:p>
        </w:tc>
      </w:tr>
    </w:tbl>
    <w:p>
      <w:pPr>
        <w:spacing w:after="80"/>
      </w:pPr>
    </w:p>
    <w:p>
      <w:pPr>
        <w:pStyle w:val="Heading1"/>
        <w:spacing w:after="200" w:before="360"/>
      </w:pPr>
      <w:r>
        <w:rPr>
          <w:rFonts w:ascii="Arial" w:cs="Arial" w:eastAsia="Arial" w:hAnsi="Arial"/>
          <w:b/>
          <w:bCs/>
          <w:color w:val="1F4E79"/>
          <w:sz w:val="32"/>
          <w:szCs w:val="32"/>
        </w:rPr>
        <w:t xml:space="preserve">7. API Endpoints</w:t>
      </w:r>
    </w:p>
    <w:p>
      <w:pPr>
        <w:spacing w:after="120"/>
        <w:jc w:val="left"/>
      </w:pPr>
      <w:r>
        <w:rPr>
          <w:rFonts w:ascii="Arial" w:cs="Arial" w:eastAsia="Arial" w:hAnsi="Arial"/>
          <w:color w:val="333333"/>
          <w:sz w:val="20"/>
          <w:szCs w:val="20"/>
        </w:rPr>
        <w:t xml:space="preserve">The scanner exposes a REST API for programmatic access to scan results and controls.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4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5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9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2E7D32"/>
                <w:sz w:val="18"/>
                <w:szCs w:val="18"/>
              </w:rPr>
              <w:t xml:space="preserve">POST</w:t>
            </w:r>
          </w:p>
        </w:tc>
        <w:tc>
          <w:tcPr>
            <w:tcW w:type="dxa" w:w="34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/api/scanner/start</w:t>
            </w:r>
          </w:p>
        </w:tc>
        <w:tc>
          <w:tcPr>
            <w:tcW w:type="dxa" w:w="5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Start full scan in background</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GET</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/api/scanner/status</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Real-time scan progress (status, phase, processed/total, %)</w:t>
            </w:r>
          </w:p>
        </w:tc>
      </w:tr>
      <w:tr>
        <w:tc>
          <w:tcPr>
            <w:tcW w:type="dxa" w:w="9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GET</w:t>
            </w:r>
          </w:p>
        </w:tc>
        <w:tc>
          <w:tcPr>
            <w:tcW w:type="dxa" w:w="34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/api/scanner/schedule</w:t>
            </w:r>
          </w:p>
        </w:tc>
        <w:tc>
          <w:tcPr>
            <w:tcW w:type="dxa" w:w="5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Next scan time, data age, last session info</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GET</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/api/scanner/results/{category}</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Paginated results (multibagger, investment, swing_medium, swing_short)</w:t>
            </w:r>
          </w:p>
        </w:tc>
      </w:tr>
      <w:tr>
        <w:tc>
          <w:tcPr>
            <w:tcW w:type="dxa" w:w="9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GET</w:t>
            </w:r>
          </w:p>
        </w:tc>
        <w:tc>
          <w:tcPr>
            <w:tcW w:type="dxa" w:w="34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/api/scanner/stock/{symbol}</w:t>
            </w:r>
          </w:p>
        </w:tc>
        <w:tc>
          <w:tcPr>
            <w:tcW w:type="dxa" w:w="5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Detailed single stock view with all scores and AI insight</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GET</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/api/scanner/sectors</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List all sectors in current scan</w:t>
            </w:r>
          </w:p>
        </w:tc>
      </w:tr>
      <w:tr>
        <w:tc>
          <w:tcPr>
            <w:tcW w:type="dxa" w:w="9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GET</w:t>
            </w:r>
          </w:p>
        </w:tc>
        <w:tc>
          <w:tcPr>
            <w:tcW w:type="dxa" w:w="34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/api/scanner/sessions</w:t>
            </w:r>
          </w:p>
        </w:tc>
        <w:tc>
          <w:tcPr>
            <w:tcW w:type="dxa" w:w="5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Last 10 scan sessions history</w:t>
            </w:r>
          </w:p>
        </w:tc>
      </w:tr>
    </w:tbl>
    <w:p>
      <w:pPr>
        <w:spacing w:after="80"/>
      </w:pPr>
    </w:p>
    <w:p>
      <w:pPr>
        <w:pStyle w:val="Heading3"/>
        <w:spacing w:after="120" w:before="200"/>
      </w:pPr>
      <w:r>
        <w:rPr>
          <w:rFonts w:ascii="Arial" w:cs="Arial" w:eastAsia="Arial" w:hAnsi="Arial"/>
          <w:b/>
          <w:bCs/>
          <w:color w:val="2B5797"/>
          <w:sz w:val="22"/>
          <w:szCs w:val="22"/>
        </w:rPr>
        <w:t xml:space="preserve">Results Endpoint Query Parameters</w:t>
      </w:r>
    </w:p>
    <w:p>
      <w:pPr>
        <w:pStyle w:val="ListParagraph"/>
        <w:numPr>
          <w:ilvl w:val="0"/>
          <w:numId w:val="2"/>
        </w:numPr>
        <w:spacing w:after="60"/>
      </w:pPr>
      <w:r>
        <w:rPr>
          <w:rFonts w:ascii="Arial" w:cs="Arial" w:eastAsia="Arial" w:hAnsi="Arial"/>
          <w:color w:val="333333"/>
          <w:sz w:val="20"/>
          <w:szCs w:val="20"/>
        </w:rPr>
        <w:t xml:space="preserve">page (default: 1) — Page number</w:t>
      </w:r>
    </w:p>
    <w:p>
      <w:pPr>
        <w:pStyle w:val="ListParagraph"/>
        <w:numPr>
          <w:ilvl w:val="0"/>
          <w:numId w:val="2"/>
        </w:numPr>
        <w:spacing w:after="60"/>
      </w:pPr>
      <w:r>
        <w:rPr>
          <w:rFonts w:ascii="Arial" w:cs="Arial" w:eastAsia="Arial" w:hAnsi="Arial"/>
          <w:color w:val="333333"/>
          <w:sz w:val="20"/>
          <w:szCs w:val="20"/>
        </w:rPr>
        <w:t xml:space="preserve">page_size (default: 25, range: 5-100) — Results per page</w:t>
      </w:r>
    </w:p>
    <w:p>
      <w:pPr>
        <w:pStyle w:val="ListParagraph"/>
        <w:numPr>
          <w:ilvl w:val="0"/>
          <w:numId w:val="2"/>
        </w:numPr>
        <w:spacing w:after="60"/>
      </w:pPr>
      <w:r>
        <w:rPr>
          <w:rFonts w:ascii="Arial" w:cs="Arial" w:eastAsia="Arial" w:hAnsi="Arial"/>
          <w:color w:val="333333"/>
          <w:sz w:val="20"/>
          <w:szCs w:val="20"/>
        </w:rPr>
        <w:t xml:space="preserve">sort_by — Sort field (symbol, price, market_cap, rsi, revenue_growth, any score)</w:t>
      </w:r>
    </w:p>
    <w:p>
      <w:pPr>
        <w:pStyle w:val="ListParagraph"/>
        <w:numPr>
          <w:ilvl w:val="0"/>
          <w:numId w:val="2"/>
        </w:numPr>
        <w:spacing w:after="60"/>
      </w:pPr>
      <w:r>
        <w:rPr>
          <w:rFonts w:ascii="Arial" w:cs="Arial" w:eastAsia="Arial" w:hAnsi="Arial"/>
          <w:color w:val="333333"/>
          <w:sz w:val="20"/>
          <w:szCs w:val="20"/>
        </w:rPr>
        <w:t xml:space="preserve">min_score (default: 50) — Minimum score filter (0-100)</w:t>
      </w:r>
    </w:p>
    <w:p>
      <w:pPr>
        <w:pStyle w:val="ListParagraph"/>
        <w:numPr>
          <w:ilvl w:val="0"/>
          <w:numId w:val="2"/>
        </w:numPr>
        <w:spacing w:after="60"/>
      </w:pPr>
      <w:r>
        <w:rPr>
          <w:rFonts w:ascii="Arial" w:cs="Arial" w:eastAsia="Arial" w:hAnsi="Arial"/>
          <w:color w:val="333333"/>
          <w:sz w:val="20"/>
          <w:szCs w:val="20"/>
        </w:rPr>
        <w:t xml:space="preserve">sector — Filter by sector name</w:t>
      </w:r>
    </w:p>
    <w:p>
      <w:pPr>
        <w:pStyle w:val="ListParagraph"/>
        <w:numPr>
          <w:ilvl w:val="0"/>
          <w:numId w:val="2"/>
        </w:numPr>
        <w:spacing w:after="60"/>
      </w:pPr>
      <w:r>
        <w:rPr>
          <w:rFonts w:ascii="Arial" w:cs="Arial" w:eastAsia="Arial" w:hAnsi="Arial"/>
          <w:color w:val="333333"/>
          <w:sz w:val="20"/>
          <w:szCs w:val="20"/>
        </w:rPr>
        <w:t xml:space="preserve">min_market_cap / max_market_cap — Market cap range filter in dollars</w:t>
      </w:r>
    </w:p>
    <w:p>
      <w:pPr>
        <w:spacing w:after="80"/>
      </w:pPr>
    </w:p>
    <w:p>
      <w:pPr>
        <w:pStyle w:val="Heading1"/>
        <w:spacing w:after="200" w:before="360"/>
      </w:pPr>
      <w:r>
        <w:rPr>
          <w:rFonts w:ascii="Arial" w:cs="Arial" w:eastAsia="Arial" w:hAnsi="Arial"/>
          <w:b/>
          <w:bCs/>
          <w:color w:val="1F4E79"/>
          <w:sz w:val="32"/>
          <w:szCs w:val="32"/>
        </w:rPr>
        <w:t xml:space="preserve">8. Scheduling</w:t>
      </w:r>
    </w:p>
    <w:p>
      <w:pPr>
        <w:pStyle w:val="ListParagraph"/>
        <w:numPr>
          <w:ilvl w:val="0"/>
          <w:numId w:val="2"/>
        </w:numPr>
        <w:spacing w:after="60"/>
      </w:pPr>
      <w:r>
        <w:rPr>
          <w:rFonts w:ascii="Arial" w:cs="Arial" w:eastAsia="Arial" w:hAnsi="Arial"/>
          <w:color w:val="333333"/>
          <w:sz w:val="20"/>
          <w:szCs w:val="20"/>
        </w:rPr>
        <w:t xml:space="preserve">Automatic daily scan at 8:30 AM Eastern Time (Monday-Friday only)</w:t>
      </w:r>
    </w:p>
    <w:p>
      <w:pPr>
        <w:pStyle w:val="ListParagraph"/>
        <w:numPr>
          <w:ilvl w:val="0"/>
          <w:numId w:val="2"/>
        </w:numPr>
        <w:spacing w:after="60"/>
      </w:pPr>
      <w:r>
        <w:rPr>
          <w:rFonts w:ascii="Arial" w:cs="Arial" w:eastAsia="Arial" w:hAnsi="Arial"/>
          <w:color w:val="333333"/>
          <w:sz w:val="20"/>
          <w:szCs w:val="20"/>
        </w:rPr>
        <w:t xml:space="preserve">On startup: if no scan ran today and it’s a weekday, starts immediately</w:t>
      </w:r>
    </w:p>
    <w:p>
      <w:pPr>
        <w:pStyle w:val="ListParagraph"/>
        <w:numPr>
          <w:ilvl w:val="0"/>
          <w:numId w:val="2"/>
        </w:numPr>
        <w:spacing w:after="60"/>
      </w:pPr>
      <w:r>
        <w:rPr>
          <w:rFonts w:ascii="Arial" w:cs="Arial" w:eastAsia="Arial" w:hAnsi="Arial"/>
          <w:color w:val="333333"/>
          <w:sz w:val="20"/>
          <w:szCs w:val="20"/>
        </w:rPr>
        <w:t xml:space="preserve">Handles DST automatically using America/New_York timezone</w:t>
      </w:r>
    </w:p>
    <w:p>
      <w:pPr>
        <w:pStyle w:val="ListParagraph"/>
        <w:numPr>
          <w:ilvl w:val="0"/>
          <w:numId w:val="2"/>
        </w:numPr>
        <w:spacing w:after="60"/>
      </w:pPr>
      <w:r>
        <w:rPr>
          <w:rFonts w:ascii="Arial" w:cs="Arial" w:eastAsia="Arial" w:hAnsi="Arial"/>
          <w:color w:val="333333"/>
          <w:sz w:val="20"/>
          <w:szCs w:val="20"/>
        </w:rPr>
        <w:t xml:space="preserve">Sleeps 2 minutes between schedule checks to prevent double-triggers</w:t>
      </w:r>
    </w:p>
    <w:p>
      <w:pPr>
        <w:pStyle w:val="ListParagraph"/>
        <w:numPr>
          <w:ilvl w:val="0"/>
          <w:numId w:val="2"/>
        </w:numPr>
        <w:spacing w:after="60"/>
      </w:pPr>
      <w:r>
        <w:rPr>
          <w:rFonts w:ascii="Arial" w:cs="Arial" w:eastAsia="Arial" w:hAnsi="Arial"/>
          <w:color w:val="333333"/>
          <w:sz w:val="20"/>
          <w:szCs w:val="20"/>
        </w:rPr>
        <w:t xml:space="preserve">Schedule status available via /api/scanner/schedule endpoint</w:t>
      </w:r>
    </w:p>
    <w:p>
      <w:pPr>
        <w:spacing w:after="80"/>
      </w:pPr>
    </w:p>
    <w:p>
      <w:pPr>
        <w:pStyle w:val="Heading1"/>
        <w:spacing w:after="200" w:before="360"/>
      </w:pPr>
      <w:r>
        <w:rPr>
          <w:rFonts w:ascii="Arial" w:cs="Arial" w:eastAsia="Arial" w:hAnsi="Arial"/>
          <w:b/>
          <w:bCs/>
          <w:color w:val="1F4E79"/>
          <w:sz w:val="32"/>
          <w:szCs w:val="32"/>
        </w:rPr>
        <w:t xml:space="preserve">9. Database</w:t>
      </w:r>
    </w:p>
    <w:p>
      <w:pPr>
        <w:spacing w:after="120"/>
        <w:jc w:val="left"/>
      </w:pPr>
      <w:r>
        <w:rPr>
          <w:rFonts w:ascii="Arial" w:cs="Arial" w:eastAsia="Arial" w:hAnsi="Arial"/>
          <w:color w:val="333333"/>
          <w:sz w:val="20"/>
          <w:szCs w:val="20"/>
        </w:rPr>
        <w:t xml:space="preserve">The scanner uses SQLite for lightweight, zero-configuration persistence.</w:t>
      </w:r>
    </w:p>
    <w:p>
      <w:pPr>
        <w:spacing w:after="80"/>
      </w:pPr>
    </w:p>
    <w:p>
      <w:pPr>
        <w:spacing w:after="120"/>
        <w:jc w:val="left"/>
      </w:pPr>
      <w:r>
        <w:rPr>
          <w:rFonts w:ascii="Arial" w:cs="Arial" w:eastAsia="Arial" w:hAnsi="Arial"/>
          <w:b/>
          <w:bCs/>
          <w:color w:val="333333"/>
          <w:sz w:val="20"/>
          <w:szCs w:val="20"/>
        </w:rPr>
        <w:t xml:space="preserve">Location: </w:t>
      </w:r>
      <w:r>
        <w:rPr>
          <w:rFonts w:ascii="Arial" w:cs="Arial" w:eastAsia="Arial" w:hAnsi="Arial"/>
          <w:color w:val="333333"/>
          <w:sz w:val="20"/>
          <w:szCs w:val="20"/>
        </w:rPr>
        <w:t xml:space="preserve">data/scanner.db (relative to project root)</w:t>
      </w:r>
    </w:p>
    <w:p>
      <w:pPr>
        <w:spacing w:after="80"/>
      </w:pPr>
    </w:p>
    <w:p>
      <w:pPr>
        <w:pStyle w:val="Heading3"/>
        <w:spacing w:after="120" w:before="200"/>
      </w:pPr>
      <w:r>
        <w:rPr>
          <w:rFonts w:ascii="Arial" w:cs="Arial" w:eastAsia="Arial" w:hAnsi="Arial"/>
          <w:b/>
          <w:bCs/>
          <w:color w:val="2B5797"/>
          <w:sz w:val="22"/>
          <w:szCs w:val="22"/>
        </w:rPr>
        <w:t xml:space="preserve">Tables</w:t>
      </w:r>
    </w:p>
    <w:p>
      <w:pPr>
        <w:spacing w:after="120"/>
        <w:jc w:val="left"/>
      </w:pPr>
      <w:r>
        <w:rPr>
          <w:rFonts w:ascii="Arial" w:cs="Arial" w:eastAsia="Arial" w:hAnsi="Arial"/>
          <w:b/>
          <w:bCs/>
          <w:color w:val="333333"/>
          <w:sz w:val="20"/>
          <w:szCs w:val="20"/>
        </w:rPr>
        <w:t xml:space="preserve">scan_sessions: </w:t>
      </w:r>
      <w:r>
        <w:rPr>
          <w:rFonts w:ascii="Arial" w:cs="Arial" w:eastAsia="Arial" w:hAnsi="Arial"/>
          <w:color w:val="333333"/>
          <w:sz w:val="20"/>
          <w:szCs w:val="20"/>
        </w:rPr>
        <w:t xml:space="preserve">Tracks each scan run with ID, timestamps, status (running/completed/failed), phase, symbol counts, and error messages.</w:t>
      </w:r>
    </w:p>
    <w:p>
      <w:pPr>
        <w:spacing w:after="120"/>
        <w:jc w:val="left"/>
      </w:pPr>
      <w:r>
        <w:rPr>
          <w:rFonts w:ascii="Arial" w:cs="Arial" w:eastAsia="Arial" w:hAnsi="Arial"/>
          <w:b/>
          <w:bCs/>
          <w:color w:val="333333"/>
          <w:sz w:val="20"/>
          <w:szCs w:val="20"/>
        </w:rPr>
        <w:t xml:space="preserve">stock_scores: </w:t>
      </w:r>
      <w:r>
        <w:rPr>
          <w:rFonts w:ascii="Arial" w:cs="Arial" w:eastAsia="Arial" w:hAnsi="Arial"/>
          <w:color w:val="333333"/>
          <w:sz w:val="20"/>
          <w:szCs w:val="20"/>
        </w:rPr>
        <w:t xml:space="preserve">Stores all stock data including metadata, prices, technical metrics, fundamental metrics, all four scores, red flags, score breakdowns, and AI insights. Unique constraint on (session_id, symbol).</w:t>
      </w:r>
    </w:p>
    <w:p>
      <w:pPr>
        <w:spacing w:after="80"/>
      </w:pPr>
    </w:p>
    <w:p>
      <w:pPr>
        <w:pStyle w:val="Heading3"/>
        <w:spacing w:after="120" w:before="200"/>
      </w:pPr>
      <w:r>
        <w:rPr>
          <w:rFonts w:ascii="Arial" w:cs="Arial" w:eastAsia="Arial" w:hAnsi="Arial"/>
          <w:b/>
          <w:bCs/>
          <w:color w:val="2B5797"/>
          <w:sz w:val="22"/>
          <w:szCs w:val="22"/>
        </w:rPr>
        <w:t xml:space="preserve">Indexes</w:t>
      </w:r>
    </w:p>
    <w:p>
      <w:pPr>
        <w:pStyle w:val="ListParagraph"/>
        <w:numPr>
          <w:ilvl w:val="0"/>
          <w:numId w:val="2"/>
        </w:numPr>
        <w:spacing w:after="60"/>
      </w:pPr>
      <w:r>
        <w:rPr>
          <w:rFonts w:ascii="Arial" w:cs="Arial" w:eastAsia="Arial" w:hAnsi="Arial"/>
          <w:color w:val="333333"/>
          <w:sz w:val="20"/>
          <w:szCs w:val="20"/>
        </w:rPr>
        <w:t xml:space="preserve">Indexed by each category score (DESC) for fast sorted queries</w:t>
      </w:r>
    </w:p>
    <w:p>
      <w:pPr>
        <w:pStyle w:val="ListParagraph"/>
        <w:numPr>
          <w:ilvl w:val="0"/>
          <w:numId w:val="2"/>
        </w:numPr>
        <w:spacing w:after="60"/>
      </w:pPr>
      <w:r>
        <w:rPr>
          <w:rFonts w:ascii="Arial" w:cs="Arial" w:eastAsia="Arial" w:hAnsi="Arial"/>
          <w:color w:val="333333"/>
          <w:sz w:val="20"/>
          <w:szCs w:val="20"/>
        </w:rPr>
        <w:t xml:space="preserve">Indexed by session_id for efficient per-session lookups</w:t>
      </w:r>
    </w:p>
    <w:p>
      <w:pPr>
        <w:pStyle w:val="ListParagraph"/>
        <w:numPr>
          <w:ilvl w:val="0"/>
          <w:numId w:val="2"/>
        </w:numPr>
        <w:spacing w:after="60"/>
      </w:pPr>
      <w:r>
        <w:rPr>
          <w:rFonts w:ascii="Arial" w:cs="Arial" w:eastAsia="Arial" w:hAnsi="Arial"/>
          <w:color w:val="333333"/>
          <w:sz w:val="20"/>
          <w:szCs w:val="20"/>
        </w:rPr>
        <w:t xml:space="preserve">Historical sessions preserved for comparison across days</w:t>
      </w:r>
    </w:p>
    <w:p>
      <w:r>
        <w:br w:type="page"/>
      </w:r>
    </w:p>
    <w:p>
      <w:pPr>
        <w:pStyle w:val="Heading1"/>
        <w:spacing w:after="200" w:before="360"/>
      </w:pPr>
      <w:r>
        <w:rPr>
          <w:rFonts w:ascii="Arial" w:cs="Arial" w:eastAsia="Arial" w:hAnsi="Arial"/>
          <w:b/>
          <w:bCs/>
          <w:color w:val="1F4E79"/>
          <w:sz w:val="32"/>
          <w:szCs w:val="32"/>
        </w:rPr>
        <w:t xml:space="preserve">10. Quick Start</w:t>
      </w:r>
    </w:p>
    <w:p>
      <w:pPr>
        <w:spacing w:after="120"/>
        <w:jc w:val="left"/>
      </w:pPr>
      <w:r>
        <w:rPr>
          <w:rFonts w:ascii="Arial" w:cs="Arial" w:eastAsia="Arial" w:hAnsi="Arial"/>
          <w:color w:val="333333"/>
          <w:sz w:val="20"/>
          <w:szCs w:val="20"/>
        </w:rPr>
        <w:t xml:space="preserve">Follow these steps to get the scanner running locally:</w:t>
      </w:r>
    </w:p>
    <w:p>
      <w:pPr>
        <w:spacing w:after="80"/>
      </w:pPr>
    </w:p>
    <w:p>
      <w:pPr>
        <w:pStyle w:val="ListParagraph"/>
        <w:numPr>
          <w:ilvl w:val="0"/>
          <w:numId w:val="3"/>
        </w:numPr>
        <w:spacing w:after="60"/>
      </w:pPr>
      <w:r>
        <w:rPr>
          <w:rFonts w:ascii="Arial" w:cs="Arial" w:eastAsia="Arial" w:hAnsi="Arial"/>
          <w:color w:val="333333"/>
          <w:sz w:val="20"/>
          <w:szCs w:val="20"/>
        </w:rPr>
        <w:t xml:space="preserve">Ensure Python 3.11+ is installed</w:t>
      </w:r>
    </w:p>
    <w:p>
      <w:pPr>
        <w:pStyle w:val="ListParagraph"/>
        <w:numPr>
          <w:ilvl w:val="0"/>
          <w:numId w:val="3"/>
        </w:numPr>
        <w:spacing w:after="60"/>
      </w:pPr>
      <w:r>
        <w:rPr>
          <w:rFonts w:ascii="Arial" w:cs="Arial" w:eastAsia="Arial" w:hAnsi="Arial"/>
          <w:color w:val="333333"/>
          <w:sz w:val="20"/>
          <w:szCs w:val="20"/>
        </w:rPr>
        <w:t xml:space="preserve">Install dependencies: pip install -r requirements.txt</w:t>
      </w:r>
    </w:p>
    <w:p>
      <w:pPr>
        <w:pStyle w:val="ListParagraph"/>
        <w:numPr>
          <w:ilvl w:val="0"/>
          <w:numId w:val="3"/>
        </w:numPr>
        <w:spacing w:after="60"/>
      </w:pPr>
      <w:r>
        <w:rPr>
          <w:rFonts w:ascii="Arial" w:cs="Arial" w:eastAsia="Arial" w:hAnsi="Arial"/>
          <w:color w:val="333333"/>
          <w:sz w:val="20"/>
          <w:szCs w:val="20"/>
        </w:rPr>
        <w:t xml:space="preserve">Configure .env with at least one AI API key (GROQ_API_KEY recommended — free, no credit card)</w:t>
      </w:r>
    </w:p>
    <w:p>
      <w:pPr>
        <w:pStyle w:val="ListParagraph"/>
        <w:numPr>
          <w:ilvl w:val="0"/>
          <w:numId w:val="3"/>
        </w:numPr>
        <w:spacing w:after="60"/>
      </w:pPr>
      <w:r>
        <w:rPr>
          <w:rFonts w:ascii="Arial" w:cs="Arial" w:eastAsia="Arial" w:hAnsi="Arial"/>
          <w:color w:val="333333"/>
          <w:sz w:val="20"/>
          <w:szCs w:val="20"/>
        </w:rPr>
        <w:t xml:space="preserve">Run the server: python run.py</w:t>
      </w:r>
    </w:p>
    <w:p>
      <w:pPr>
        <w:pStyle w:val="ListParagraph"/>
        <w:numPr>
          <w:ilvl w:val="0"/>
          <w:numId w:val="3"/>
        </w:numPr>
        <w:spacing w:after="60"/>
      </w:pPr>
      <w:r>
        <w:rPr>
          <w:rFonts w:ascii="Arial" w:cs="Arial" w:eastAsia="Arial" w:hAnsi="Arial"/>
          <w:color w:val="333333"/>
          <w:sz w:val="20"/>
          <w:szCs w:val="20"/>
        </w:rPr>
        <w:t xml:space="preserve">Open http://localhost:8000 in your browser</w:t>
      </w:r>
    </w:p>
    <w:p>
      <w:pPr>
        <w:pStyle w:val="ListParagraph"/>
        <w:numPr>
          <w:ilvl w:val="0"/>
          <w:numId w:val="3"/>
        </w:numPr>
        <w:spacing w:after="60"/>
      </w:pPr>
      <w:r>
        <w:rPr>
          <w:rFonts w:ascii="Arial" w:cs="Arial" w:eastAsia="Arial" w:hAnsi="Arial"/>
          <w:color w:val="333333"/>
          <w:sz w:val="20"/>
          <w:szCs w:val="20"/>
        </w:rPr>
        <w:t xml:space="preserve">Navigate to the Scanner tab to view results</w:t>
      </w:r>
    </w:p>
    <w:p>
      <w:pPr>
        <w:pStyle w:val="ListParagraph"/>
        <w:numPr>
          <w:ilvl w:val="0"/>
          <w:numId w:val="3"/>
        </w:numPr>
        <w:spacing w:after="60"/>
      </w:pPr>
      <w:r>
        <w:rPr>
          <w:rFonts w:ascii="Arial" w:cs="Arial" w:eastAsia="Arial" w:hAnsi="Arial"/>
          <w:color w:val="333333"/>
          <w:sz w:val="20"/>
          <w:szCs w:val="20"/>
        </w:rPr>
        <w:t xml:space="preserve">Scanner auto-runs daily at 8:30 AM ET; API docs at http://localhost:8000/docs</w:t>
      </w:r>
    </w:p>
    <w:p>
      <w:pPr>
        <w:spacing w:after="80"/>
      </w:pPr>
    </w:p>
    <w:p>
      <w:pPr>
        <w:pStyle w:val="Heading3"/>
        <w:spacing w:after="120" w:before="200"/>
      </w:pPr>
      <w:r>
        <w:rPr>
          <w:rFonts w:ascii="Arial" w:cs="Arial" w:eastAsia="Arial" w:hAnsi="Arial"/>
          <w:b/>
          <w:bCs/>
          <w:color w:val="2B5797"/>
          <w:sz w:val="22"/>
          <w:szCs w:val="22"/>
        </w:rPr>
        <w:t xml:space="preserve">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Variable</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Required</w:t>
            </w:r>
          </w:p>
        </w:tc>
        <w:tc>
          <w:tcPr>
            <w:tcW w:type="dxa" w:w="3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3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GROQ_API_KEY</w:t>
            </w:r>
          </w:p>
        </w:tc>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Recommended</w:t>
            </w:r>
          </w:p>
        </w:tc>
        <w:tc>
          <w:tcPr>
            <w:tcW w:type="dxa" w:w="37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Free AI provider for insights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ANTHROPIC_API_KEY</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Alternative</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Claude API (paid)</w:t>
            </w:r>
          </w:p>
        </w:tc>
      </w:tr>
      <w:tr>
        <w:tc>
          <w:tcPr>
            <w:tcW w:type="dxa" w:w="3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NEWS_API_KEY</w:t>
            </w:r>
          </w:p>
        </w:tc>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Optional</w:t>
            </w:r>
          </w:p>
        </w:tc>
        <w:tc>
          <w:tcPr>
            <w:tcW w:type="dxa" w:w="37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Broader news coverage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HOST / PORT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Optional</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Server binding (default: 0.0.0.0:8000)</w:t>
            </w:r>
          </w:p>
        </w:tc>
      </w:tr>
      <w:tr>
        <w:tc>
          <w:tcPr>
            <w:tcW w:type="dxa" w:w="3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CACHE_TTL</w:t>
            </w:r>
          </w:p>
        </w:tc>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Optional</w:t>
            </w:r>
          </w:p>
        </w:tc>
        <w:tc>
          <w:tcPr>
            <w:tcW w:type="dxa" w:w="37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Cache duration in seconds (default: 300)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120"/>
              <w:left w:type="dxa" w:w="200"/>
              <w:bottom w:type="dxa" w:w="120"/>
              <w:right w:type="dxa" w:w="200"/>
            </w:tcMar>
          </w:tcPr>
          <w:p>
            <w:pPr>
              <w:spacing w:after="80"/>
            </w:pPr>
            <w:r>
              <w:rPr>
                <w:rFonts w:ascii="Arial" w:cs="Arial" w:eastAsia="Arial" w:hAnsi="Arial"/>
                <w:b/>
                <w:bCs/>
                <w:color w:val="E65100"/>
                <w:sz w:val="22"/>
                <w:szCs w:val="22"/>
              </w:rPr>
              <w:t xml:space="preserve">Pro Tip</w:t>
            </w:r>
          </w:p>
          <w:p>
            <w:r>
              <w:rPr>
                <w:rFonts w:ascii="Arial" w:cs="Arial" w:eastAsia="Arial" w:hAnsi="Arial"/>
                <w:color w:val="333333"/>
                <w:sz w:val="18"/>
                <w:szCs w:val="18"/>
              </w:rPr>
              <w:t xml:space="preserve">AI provider priority: GROQ_API_KEY &gt; ANTHROPIC_API_KEY (auto-detected). Groq is free and provides fast inference for the investment thesis generation.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AlgoStrategies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i/>
        <w:iCs/>
        <w:color w:val="888888"/>
        <w:sz w:val="16"/>
        <w:szCs w:val="16"/>
      </w:rPr>
      <w:t xml:space="preserve">US Stock Scanner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B57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2026-03-30T14:37:32.910Z</dcterms:created>
  <dcterms:modified xsi:type="dcterms:W3CDTF">2026-03-30T14:37:32.911Z</dcterms:modified>
</cp:coreProperties>
</file>

<file path=docProps/custom.xml><?xml version="1.0" encoding="utf-8"?>
<Properties xmlns="http://schemas.openxmlformats.org/officeDocument/2006/custom-properties" xmlns:vt="http://schemas.openxmlformats.org/officeDocument/2006/docPropsVTypes"/>
</file>