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Backtest Results</w:t>
      </w:r>
    </w:p>
    <w:p>
      <w:pPr>
        <w:pStyle w:val="Heading1"/>
      </w:pPr>
      <w:r>
        <w:t xml:space="preserve">apps/backtester/results/</w:t>
      </w:r>
    </w:p>
    <w:p>
      <w:r>
        <w:t xml:space="preserve">Conventional output directory for </w:t>
      </w:r>
      <w:r>
        <w:rPr>
          <w:rFonts w:ascii="Consolas" w:cs="Consolas" w:eastAsia="Consolas" w:hAnsi="Consolas"/>
          <w:shd w:fill="F0F0F0" w:val="clear"/>
        </w:rPr>
        <w:t xml:space="preserve">backtest_ml.py</w:t>
      </w:r>
      <w:r>
        <w:t xml:space="preserve"> runs. Nothing in this directory except this file and </w:t>
      </w:r>
      <w:r>
        <w:rPr>
          <w:rFonts w:ascii="Consolas" w:cs="Consolas" w:eastAsia="Consolas" w:hAnsi="Consolas"/>
          <w:shd w:fill="F0F0F0" w:val="clear"/>
        </w:rPr>
        <w:t xml:space="preserve">.gitkeep</w:t>
      </w:r>
      <w:r>
        <w:t xml:space="preserve"> is tracked — generated reports are gitignored (see the repo-root </w:t>
      </w:r>
      <w:r>
        <w:rPr>
          <w:rFonts w:ascii="Consolas" w:cs="Consolas" w:eastAsia="Consolas" w:hAnsi="Consolas"/>
          <w:shd w:fill="F0F0F0" w:val="clear"/>
        </w:rPr>
        <w:t xml:space="preserve">.gitignore</w:t>
      </w:r>
      <w:r>
        <w:t xml:space="preserve">) because they're reproducible from </w:t>
      </w:r>
      <w:r>
        <w:rPr>
          <w:rFonts w:ascii="Consolas" w:cs="Consolas" w:eastAsia="Consolas" w:hAnsi="Consolas"/>
          <w:shd w:fill="F0F0F0" w:val="clear"/>
        </w:rPr>
        <w:t xml:space="preserve">--candles</w:t>
      </w:r>
      <w: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--signals</w:t>
      </w:r>
      <w:r>
        <w:t xml:space="preserve"> inputs plus the tracked model artifact (</w:t>
      </w:r>
      <w:r>
        <w:rPr>
          <w:rFonts w:ascii="Consolas" w:cs="Consolas" w:eastAsia="Consolas" w:hAnsi="Consolas"/>
          <w:shd w:fill="F0F0F0" w:val="clear"/>
        </w:rPr>
        <w:t xml:space="preserve">apps/ml-predictor/model/</w:t>
      </w:r>
      <w:r>
        <w:t xml:space="preserve">).</w:t>
      </w:r>
    </w:p>
    <w:p>
      <w:pPr>
        <w:pStyle w:val="Heading2"/>
      </w:pPr>
      <w:r>
        <w:t xml:space="preserve">Generate a report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 apps/backtester/backtest_ml.py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--candles path/to/candles.csv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--signals path/to/signals.csv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--output   apps/backtester/results/report.json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--html     apps/backtester/results/report.html \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--trades-csv apps/backtester/results/trades.csv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F0F0F0" w:val="clear"/>
        </w:rPr>
        <w:t xml:space="preserve">report.json</w:t>
      </w:r>
      <w:r>
        <w:t xml:space="preserve"> — machine-readable summary (</w:t>
      </w:r>
      <w:r>
        <w:rPr>
          <w:rFonts w:ascii="Consolas" w:cs="Consolas" w:eastAsia="Consolas" w:hAnsi="Consolas"/>
          <w:shd w:fill="F0F0F0" w:val="clear"/>
        </w:rPr>
        <w:t xml:space="preserve">ComparisonReport.to_dict()</w:t>
      </w:r>
      <w:r>
        <w:t xml:space="preserve">): threshold, signal counts, and filtered/unfiltered stats (win rate, cumulative PnL, max drawdown).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F0F0F0" w:val="clear"/>
        </w:rPr>
        <w:t xml:space="preserve">report.html</w:t>
      </w:r>
      <w:r>
        <w:t xml:space="preserve"> — the same summary rendered as a single self-contained HTML page (inline CSS, no external requests) plus a full trade-by-trade table. Open it directly in a browser.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F0F0F0" w:val="clear"/>
        </w:rPr>
        <w:t xml:space="preserve">trades.csv</w:t>
      </w:r>
      <w:r>
        <w:t xml:space="preserve"> — every trade from both branches (</w:t>
      </w:r>
      <w:r>
        <w:rPr>
          <w:rFonts w:ascii="Consolas" w:cs="Consolas" w:eastAsia="Consolas" w:hAnsi="Consolas"/>
          <w:shd w:fill="F0F0F0" w:val="clear"/>
        </w:rPr>
        <w:t xml:space="preserve">branch,direction, entry_time,entry_price,exit_time,exit_price,pnl_pct</w:t>
      </w:r>
      <w:r>
        <w:t xml:space="preserve">), for further analysis in a spreadsheet or notebook.</w:t>
      </w:r>
    </w:p>
    <w:p>
      <w:r>
        <w:t xml:space="preserve">All three flags are independent and optional — pass any subset. See </w:t>
      </w:r>
      <w:r>
        <w:rPr>
          <w:rFonts w:ascii="Consolas" w:cs="Consolas" w:eastAsia="Consolas" w:hAnsi="Consolas"/>
          <w:shd w:fill="F0F0F0" w:val="clear"/>
        </w:rPr>
        <w:t xml:space="preserve">apps/backtester/report_export.py</w:t>
      </w:r>
      <w:r>
        <w:t xml:space="preserve"> for the rendering code and </w:t>
      </w:r>
      <w:r>
        <w:rPr>
          <w:rFonts w:ascii="Consolas" w:cs="Consolas" w:eastAsia="Consolas" w:hAnsi="Consolas"/>
          <w:shd w:fill="F0F0F0" w:val="clear"/>
        </w:rPr>
        <w:t xml:space="preserve">apps/backtester/backtest_ml.py</w:t>
      </w:r>
      <w:r>
        <w:t xml:space="preserve">'s module docstring for what this harness does and does not simulate (it's a methodology-comparison tool, not a broker-accurate fills simulator).</w:t>
      </w:r>
    </w:p>
    <w:p>
      <w:pPr>
        <w:pStyle w:val="Heading2"/>
      </w:pPr>
      <w:r>
        <w:t xml:space="preserve">Naming convention</w:t>
      </w:r>
    </w:p>
    <w:p>
      <w:r>
        <w:t xml:space="preserve">No enforced naming scheme, but for anything you intend to keep around or attach to a PR/ticket, prefix with the date and threshold so results don't collide: </w:t>
      </w:r>
      <w:r>
        <w:rPr>
          <w:rFonts w:ascii="Consolas" w:cs="Consolas" w:eastAsia="Consolas" w:hAnsi="Consolas"/>
          <w:shd w:fill="F0F0F0" w:val="clear"/>
        </w:rPr>
        <w:t xml:space="preserve">2026-08-15_threshold-050_report.html</w:t>
      </w:r>
      <w:r>
        <w:t xml:space="preserve">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2026-08-15T05:37:33.706Z</dcterms:created>
  <dcterms:modified xsi:type="dcterms:W3CDTF">2026-08-15T05:37:33.706Z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