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SINDy for Infectious Disease Data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 Visual Guide with Formulas, Diagrams &amp; Code</w:t>
      </w:r>
    </w:p>
    <w:p>
      <w:pPr>
        <w:spacing w:after="80"/>
      </w:pPr>
    </w:p>
    <w:p>
      <w:pPr>
        <w:pBdr>
          <w:bottom w:val="single" w:color="2E75B6" w:sz="6" w:space="8"/>
        </w:pBdr>
        <w:jc w:val="center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Based on: Horrocks &amp; Bauch (2020), Scientific Reports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DOI: 10.1038/s41598-020-63877-w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Every formula explained • Every diagram included • Every code function mapped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The Problem: Two Ways to Build a Disease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Traditional disease modeling is deductive – a scientist hypothesizes mechanisms, writes equations, fits parameters, and tests predictions. If wrong, they start over. This is slow, and biased by what the scientist already believes.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SINDy flips it. It is inductive – start from raw case data, let an algorithm figure out which mathematical terms actually govern the dynamics, and produce the equations automatically. No prior epidemiological knowledge needed.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4095750"/>
            <wp:effectExtent t="0" r="0" b="0" l="0"/>
            <wp:docPr id="1" name="d1_approach.png" descr="d1_approach.png" title="d1_approa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core question: </w:t>
      </w:r>
      <w:r>
        <w:rPr>
          <w:rFonts w:ascii="Arial" w:cs="Arial" w:eastAsia="Arial" w:hAnsi="Arial"/>
          <w:sz w:val="22"/>
          <w:szCs w:val="22"/>
        </w:rPr>
        <w:t xml:space="preserve">Can a machine learning algorithm independently discover the fundamental mechanisms of disease transmission – mechanisms that epidemiologists spent decades figuring out?</w:t>
      </w:r>
    </w:p>
    <w:p>
      <w:r>
        <w:br w:type="page"/>
      </w:r>
    </w:p>
    <w:p>
      <w:pPr>
        <w:pStyle w:val="Heading1"/>
      </w:pPr>
      <w:r>
        <w:t xml:space="preserve">2. The Data Pipeline: From Raw Cases to SINDy Input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SINDy needs two clean time series as input: I(t) – the number of infectious people over time, and S(t) – the number of susceptible people over time. Getting there from raw weekly case counts requires several transformation steps.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4762500"/>
            <wp:effectExtent t="0" r="0" b="0" l="0"/>
            <wp:docPr id="1" name="d2_pipeline.png" descr="d2_pipeline.png" title="d2_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2"/>
      </w:pPr>
      <w:r>
        <w:t xml:space="preserve">2.1 The Three Diseases Studied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 Pattern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England &amp; Wales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1948–1967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Biennial (every 2 years)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Chickenpox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Ontario, Canada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1946–1967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(every year)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Rubella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Ontario, Canada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1946–1960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Multiennial (5–7 years)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 comes from the International Infectious Disease Data Archive (IIDDA) at McMaster University. These are pre-vaccine era records, meaning disease dynamics are purely natural.</w:t>
      </w:r>
    </w:p>
    <w:p>
      <w:pPr>
        <w:pStyle w:val="Heading2"/>
      </w:pPr>
      <w:r>
        <w:t xml:space="preserve">2.2 Formula: Incidence to Prevalence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P_t = C_t × p × D_i / (⟨C_t⟩ × L)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Converts weekly new cases (incidence) into total currently infected (prevalence). C_t = cases in week t, p = 0.957 (lifetime infection probability), D_i = 2 weeks (infection duration), L = 65 years (mean lifespan), ⟨C_t⟩ = average cases.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Symbol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new cases reported in week 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Prevalence – proportion of population currently infected at time 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D_i = 2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duration of infectiousness for measles/chickenpox/rubella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 = 65 years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individual lifespan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0.957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of people who contract the infection in their lifetime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⟨C_t⟩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Time-averaged mean of weekly case counts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MATLAB code: </w:t>
      </w:r>
      <w:r>
        <w:rPr>
          <w:rFonts w:ascii="Arial" w:cs="Arial" w:eastAsia="Arial" w:hAnsi="Arial"/>
          <w:sz w:val="22"/>
          <w:szCs w:val="22"/>
        </w:rPr>
        <w:t xml:space="preserve">P = C .* p .* Di ./ (mean(C) .* L);</w:t>
      </w:r>
    </w:p>
    <w:p>
      <w:pPr>
        <w:pStyle w:val="Heading2"/>
      </w:pPr>
      <w:r>
        <w:t xml:space="preserve">2.3 Formula: Susceptible Reconstruction (Finkenstädt-Grenfell Method)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S_{t+1} = S_t – α_t × C_{t,t+1} + B_{t-d,t-d+1} + u_t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week, the susceptible pool gains new births (B) and loses new infections (α × C). α_t is the time-varying reporting rate, d is the birth-to-susceptibility delay, u_t is noise.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Y_t = α̅ × X_t + (Z_t – Z_0)    [simplified linear form]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Cumulative births (Y_t) vs. cumulative cases (X_t). Linear regression gives the average reporting rate α̅ (slope) and susceptible deviations Z_t – Z_0 (residuals).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Symbol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susceptible people at week 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α_t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rate – fraction of true cases that get reported (changes over time)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C_{t,t+1}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cases reported between week t and t+1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B_{t-d,t-d+1}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Births between week t-d and t-d+1 (delayed by d weeks)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X_t = Σ C_{i,i+1}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cases up to time 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Y_t = Σ B_{i-d,i-d+1}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births up to time 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Z_t = S_t – S̅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Deviation of susceptibles from their mean value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SINDy Algorithm: Step by Step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SINDy (Sparse Identification of Nonlinear Dynamics) works by building a large library of candidate mathematical terms, then using iterative sparse regression to eliminate the unimportant ones. Only the essential mechanisms survive.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5048250"/>
            <wp:effectExtent t="0" r="0" b="0" l="0"/>
            <wp:docPr id="1" name="d3_algorithm.png" descr="d3_algorithm.png" title="d3_algorith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2"/>
      </w:pPr>
      <w:r>
        <w:t xml:space="preserve">3.1 Formula: The Core Regression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Ẋ = Θ(X) × Ξ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entire SINDy problem in one line. Ẋ is the derivative (or next-step state). Θ(X) is the function library matrix. Ξ is the sparse coefficient matrix we want to find.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Symbol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matrix: each row is a time step, columns are state variables [S_t, I_t]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Ẋ (or X_{t+1})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Response: the next-step values (discrete-time) or derivatives (continuous-time)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Θ(X)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library: each column is a candidate term (1, S, I, S², SI, βSI, ...) evaluated at every timestep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Ξ = [ξ_1, ξ_2, ..., ξ_p]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 matrix: one sparse column per equation. THIS is the discovered model.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candidate terms in the library (12 for 2nd-order, 20 for 3rd-order)</w:t>
            </w:r>
          </w:p>
        </w:tc>
      </w:tr>
    </w:tbl>
    <w:p>
      <w:pPr>
        <w:pStyle w:val="Heading2"/>
      </w:pPr>
      <w:r>
        <w:t xml:space="preserve">3.2 The Function Library Θ(X)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2nd-order polynomial library with seasonal forcing: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Θ(X) = [1, S, I, S², I², SI, β(t), β(t)S, β(t)I, β(t)S², β(t)SI, β(t)I²]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candidate terms. The first 6 are constant-coefficient polynomials. The last 6 are the same polynomials multiplied by the seasonal forcing function β(t). Each term is evaluated at every timestep to create a column of the Θ matrix.</w:t>
            </w:r>
          </w:p>
        </w:tc>
      </w:tr>
    </w:tbl>
    <w:p>
      <w:pPr>
        <w:pStyle w:val="Heading2"/>
      </w:pPr>
      <w:r>
        <w:t xml:space="preserve">3.3 Formula: Seasonal Forcing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β(t) = β₀(1 + β₁ × cos(2πt/T – φ))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transmission rate oscillates with the seasons. Peaks when schools open (autumn), troughs in summer holidays.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Symbol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β(t)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Time-varying transmission rate at week 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β₀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(baseline) transmission rate across the year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β₁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Amplitude of seasonal variation (0 = no seasonality, 1 = huge effect)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 = 1 year = 52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of the seasonal oscillation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φ (phi)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shift – when in the year the peak occurs. Swept from 0 to 52 weeks.</w:t>
            </w:r>
          </w:p>
        </w:tc>
      </w:tr>
    </w:tbl>
    <w:p>
      <w:pPr>
        <w:pStyle w:val="Heading2"/>
      </w:pPr>
      <w:r>
        <w:t xml:space="preserve">3.4 Formula: Weighted Thresholding (Key Innovation)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λ_w(k) = λ_c / |Θ^(k)(X)|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SINDy uses a fixed threshold λ for all terms. But epidemiological variables span different scales (S ~ 0.1, I ~ 0.0001). This weighted version scales the threshold by each column’s L2-norm, treating all terms fairly.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Symbol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λ_w(k)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threshold for the k-th term in the library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λ_c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base threshold (the ‘sparsity knob’ swept from 0.0001 to 0.1)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|Θ^(k)(X)|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L2-norm (magnitude) of the k-th column of the function library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|coefficient_k| &lt; λ_w(k), then that term is eliminated (coefficient set to 0)</w:t>
            </w:r>
          </w:p>
        </w:tc>
      </w:tr>
    </w:tbl>
    <w:p>
      <w:pPr>
        <w:pStyle w:val="Heading2"/>
      </w:pPr>
      <w:r>
        <w:t xml:space="preserve">3.5 The sparsifyDynamics() Function – Line by 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heart of the entire codebase. Here is exactly what it does: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Input: Θ (library matrix), X_next (target data), λ (threshold)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 least-squares: Ξ = Θ \ X_next (MATLAB backslash operator)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column k of Ξ: compute λ_w(k) = λ / norm(Θ_column_k)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coefficient ξ: if |ξ| &lt; λ_w, set ξ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zeroed columns from Θ to create smaller Θ′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Repeat steps 2–5 with Θ′ until no more terms are eliminated (convergence)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Sparse coefficient matrix Ξ with most entries = 0. The nonzero entries ARE the discovered model.</w:t>
      </w:r>
    </w:p>
    <w:p>
      <w:pPr>
        <w:pStyle w:val="Heading2"/>
      </w:pPr>
      <w:r>
        <w:t xml:space="preserve">3.6 Formula: Model Selection with AIC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AIC_i = 2k – 2 ln(L(x, μ̂))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Balances goodness-of-fit (L) against model complexity (k). Lower AIC = better. A model with fewer terms that fits almost as well will beat a complex model.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Symbol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AIC_i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Akaike Information Criterion score for candidate model 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free (nonzero) parameters in the model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L(x, μ̂)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Likelihood of the observed data x given the best-fit parameters μ̂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ln(L)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Log-likelihood – how well the model explains the data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2k penalty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 cost – each extra parameter adds +2 to AIC</w:t>
            </w:r>
          </w:p>
        </w:tc>
      </w:tr>
    </w:tbl>
    <w:p>
      <w:pPr>
        <w:pStyle w:val="Heading2"/>
      </w:pPr>
      <w:r>
        <w:t xml:space="preserve">3.7 Formula: Sparsity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r = 1 – ||Ξ||_0 / ||Θ||_0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Ratio of eliminated terms to total library terms. r = 0 means nothing was eliminated (dense). r = 1 means everything was eliminated. A good discovered model has moderate r (0.25 to 0.7).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The Parameter Grid 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critical unknowns – the initial susceptible fraction S₀ and the sparsity threshold λ – are searched across a 2D grid. At each grid point, SINDy also sweeps the seasonal phase shift φ. The model with the lowest AIC wins.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S₀ (initial susceptibles)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 to 0.13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population initially susceptible – affects dynamics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 (sparsity knob)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0.0001 to 0.1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for eliminating terms – controls model complexity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 (phase shift)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to 52 weeks (step 0.5)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seasonal transmission peaks – must match school calendar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λ too low (0.0001): All 12 terms survive → overfitting, model captures noise.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λ optimal (0.005 for measles): 6 terms survive → biennial cycle recovered, mass-action + seasonal forcing found.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λ too high (0.1): Too many terms killed → essential dynamics lost, annual cycle instead of biennial.</w:t>
      </w:r>
    </w:p>
    <w:p>
      <w:r>
        <w:br w:type="page"/>
      </w:r>
    </w:p>
    <w:p>
      <w:pPr>
        <w:pStyle w:val="Heading1"/>
      </w:pPr>
      <w:r>
        <w:t xml:space="preserve">5. Results: What SINDy Discovered</w:t>
      </w:r>
    </w:p>
    <w:p>
      <w:pPr>
        <w:pStyle w:val="Heading2"/>
      </w:pPr>
      <w:r>
        <w:t xml:space="preserve">5.1 Measles – The Best Result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parameters: </w:t>
      </w:r>
      <w:r>
        <w:rPr>
          <w:rFonts w:ascii="Arial" w:cs="Arial" w:eastAsia="Arial" w:hAnsi="Arial"/>
          <w:sz w:val="22"/>
          <w:szCs w:val="22"/>
        </w:rPr>
        <w:t xml:space="preserve">S₀ = 0.11286, λ = 0.00517, sparsity r = 0.25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Discovered I equation (simplified):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I(t+1) = −1.55·I + 20.6·SI + 26.4·β(t)SI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= mass-action incidence (the core of ALL epidemic models). β(t)SI = seasonally-forced transmission. Both discovered automatically from data alone!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 equation coeff.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equation coeff.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(constant)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offset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−0.037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to 1 – expected for discrete-time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−1.554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Demographic/recovery processes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Causes subexponential growth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−10.295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20.618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MASS-ACTION INCIDENCE – the core mechanism!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β(t)SI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26.409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FORCING – schools drive epidemics!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β(t)I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−3.122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recovery effect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Biennial (2-year) epidemic cycle perfectly reproduced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Out-of-sample prediction: reducing birth rate shifts dynamics from biennial to noisy annual – matches real post-vaccine UK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S² term is a novel discovery: causes slow epidemic ramp-up then rapid decline, matching real data but absent from standard SIR models</w:t>
      </w:r>
    </w:p>
    <w:p>
      <w:pPr>
        <w:pStyle w:val="Heading2"/>
      </w:pPr>
      <w:r>
        <w:t xml:space="preserve">5.2 Chickenpox – Overfitting Problem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The β(t)I² term has coefficient 114.8 in the I equation – the largest of all, but biologically meaningless.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Annual cycle captured correctly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and βSI terms present with meaningful coefficients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 β(t)I² dominates – ‘seasonally varying infectious-squared’ has no known biological interpretation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Why? Chickenpox has a SIMPLE annual cycle. A sine wave alone can fit it. SINDy overfits by using complex terms to mimic what a simpler model could explain.</w:t>
      </w:r>
    </w:p>
    <w:p>
      <w:pPr>
        <w:pStyle w:val="Heading2"/>
      </w:pPr>
      <w:r>
        <w:t xml:space="preserve">5.3 Rubella – Required PSD Approach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Baseline approach FAILED: SINDy returned annual cycle instead of observed 5–7 year cycle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PSD approach FIXED IT: fitting power spectral density instead of raw time series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PSD: multiennial outbreaks recovered, mass-action terms dominate (SI = 23.8, βSI = 25.6)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S² term reappears (0.15) – same novel mechanism as measles</w:t>
      </w:r>
    </w:p>
    <w:p>
      <w:pPr>
        <w:spacing w:after="80"/>
      </w:pPr>
    </w:p>
    <w:p>
      <w:pPr>
        <w:pStyle w:val="Heading2"/>
      </w:pPr>
      <w:r>
        <w:t xml:space="preserve">5.4 Formula: Power Spectral Density Approach (Rubella Fix)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AIC_PSD = 2k + n × ln(RSS_PSD / n)
where RSS_PSD = Σ(PSD_data – PSD_model)²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Instead of comparing raw time series, compare the FREQUENCY CONTENT of model vs data. This selects models that match qualitative dynamics (correct cycle lengths) even if exact outbreak timing differs.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PSD computation steps in MATLAB: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Smooth infection time series: smooth(I_data, 23) – moving average, window 23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linear trend: detrend(data_smooth)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Taper 20% of edges: split cosine bell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 periodogram: [psd, freq] = periodogram(data_tapered)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 AIC from PSD residuals instead of time-series residuals</w:t>
      </w:r>
    </w:p>
    <w:p>
      <w:r>
        <w:br w:type="page"/>
      </w:r>
    </w:p>
    <w:p>
      <w:pPr>
        <w:pStyle w:val="Heading1"/>
      </w:pPr>
      <w:r>
        <w:t xml:space="preserve">6. The Complete Code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entire codebase is MATLAB, hosted at github.com/jonathanhorrocks/SINDy-data. It is a modification of Brunton et al.’s original SINDy code (sparsedynamics.zip). Here is the full pipeline: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6000750"/>
            <wp:effectExtent t="0" r="0" b="0" l="0"/>
            <wp:docPr id="1" name="d4_code.png" descr="d4_code.png" title="d4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2"/>
      </w:pPr>
      <w:r>
        <w:t xml:space="preserve">6.1 Key MATLAB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→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poolData()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the function library Θ(X)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variables → Matrix of candidate terms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poolDataList()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human-readable names for each library 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→ String 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sparsifyDynamics()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core algorithm: iterative sparse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Θ, X_next, λ → Sparse 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SparseGalerkin()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Simulates the discovered model forward in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Ξ, initial conditions → Time series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sgolayfilt()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Savitzky-Golay smoothing filter (built-in MATLAB)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Noisy data → Smooth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periodogram()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Computes power spectral density (built-in MATLAB)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→ PSD estimate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Code Flow with Pseudocode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 is the entire pipeline as executable logic:</w:t>
      </w:r>
    </w:p>
    <w:p>
      <w:pPr>
        <w:spacing w:after="80"/>
      </w:pP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085041"/>
          <w:sz w:val="20"/>
          <w:szCs w:val="20"/>
        </w:rPr>
        <w:t xml:space="preserve">% Stage 1-3: Load and preprocess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data = load('measles_cases.mat');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cases_smooth = sgolayfilt(data.cases, 3, 19);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I_t = cases_smooth .* p .* Di ./ (mean(cases_smooth) .* L);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S_t = reconstruct_susceptible(cases_smooth, births);</w:t>
      </w:r>
    </w:p>
    <w:p>
      <w:pPr>
        <w:spacing w:after="80"/>
      </w:pP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3C3489"/>
          <w:sz w:val="20"/>
          <w:szCs w:val="20"/>
        </w:rPr>
        <w:t xml:space="preserve">% Stage 4: Build library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Theta = poolData([S_t, I_t], 2);  % 2nd order polynomials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Theta = [Theta, beta_t .* Theta]; % Add seasonal terms</w:t>
      </w:r>
    </w:p>
    <w:p>
      <w:pPr>
        <w:spacing w:after="80"/>
      </w:pP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0C447C"/>
          <w:sz w:val="20"/>
          <w:szCs w:val="20"/>
        </w:rPr>
        <w:t xml:space="preserve">% Stage 5: Grid search + SINDy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for S0 = 0.05 : 0.01 : 0.13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for lambda = 0.0001 : ... : 0.1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for phi = 0 : 0.5 : 52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Xi = sparsifyDynamics(Theta, X_next, lambda);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aic(S0,lambda) = compute_AIC(Xi, data);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end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80"/>
      </w:pP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27500A"/>
          <w:sz w:val="20"/>
          <w:szCs w:val="20"/>
        </w:rPr>
        <w:t xml:space="preserve">% Stage 6-8: Select best + simulate + plot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[best_S0, best_lambda] = find(min(aic));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Xi_best = models(best_S0, best_lambda);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X_sim = SparseGalerkin(Xi_best, X0, tspan);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plot(X_sim); hold on; plot(data);  % Compare!</w:t>
      </w:r>
    </w:p>
    <w:p>
      <w:r>
        <w:br w:type="page"/>
      </w:r>
    </w:p>
    <w:p>
      <w:pPr>
        <w:pStyle w:val="Heading1"/>
      </w:pPr>
      <w:r>
        <w:t xml:space="preserve">7. Complete Formula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formula in the paper, collected in one place with full explanations.</w:t>
      </w:r>
    </w:p>
    <w:p>
      <w:pPr>
        <w:spacing w:after="80"/>
      </w:pPr>
    </w:p>
    <w:p>
      <w:pPr>
        <w:pStyle w:val="Heading2"/>
      </w:pPr>
      <w:r>
        <w:t xml:space="preserve">7.1 The Discrete-Time SIR Model (Equations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S_{t+1} = S_t + ν – β(t)·S_t·I_t – μ·S_t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Susceptibles next week = current susceptibles + births (ν) – new infections (βSI) – deaths (μS)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I_{t+1} = I_t + β(t)·S_t·I_t – γ·I_t – μ·I_t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Infectious next week = current infectious + new infections – recoveries (γI) – deaths (μI)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R_{t+1} = R_t + γ·I_t – μ·R_t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Recovered next week = current recovered + new recoveries – deaths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Symbol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S_t, I_t, R_t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Susceptible, Infectious, Recovered population at week 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ν (nu)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capita birth rate per timestep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μ (mu)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capita death rate per timestep (ν = μ for constant population)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β(t)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Seasonally-varying transmission rate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γ (gamma)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capita recovery rate per timestep (1/γ = infection duration)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β(t)·S_t·I_t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MASS-ACTION INCIDENCE – the fundamental transmission mechanism</w:t>
            </w:r>
          </w:p>
        </w:tc>
      </w:tr>
    </w:tbl>
    <w:p>
      <w:pPr>
        <w:pStyle w:val="Heading2"/>
      </w:pPr>
      <w:r>
        <w:t xml:space="preserve">7.2 The SINDy Regression (Equations 5–9)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ẋ = f(x(t), t)    [Equation 5]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form: the system’s dynamics are governed by some unknown function f of the state x and time 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Ẋ = Θ(X) × Ξ    [Equation 7]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SINDy regression problem: find the sparse coefficient matrix Ξ such that the library Θ times Ξ approximates the response.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ẋ_k = Θ(x_kᵀ) × ξ_k    [Equation 8]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Reconstruct the k-th equation of the discovered dynamical system.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ẋ = Ξᵀ × Θ(xᵀ)ᵀ    [Equation 9]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full reconstructed system of equations – this IS the discovered model.</w:t>
            </w:r>
          </w:p>
        </w:tc>
      </w:tr>
    </w:tbl>
    <w:p>
      <w:pPr>
        <w:pStyle w:val="Heading2"/>
      </w:pPr>
      <w:r>
        <w:t xml:space="preserve">7.3 All Other Key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AIC_i = 2k – 2·ln(L(x, μ̂))    [Equation 10]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Akaike Information Criterion for model selection.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P_t = C_t·p·D_i / (⟨C_t⟩·L)    [Equation 20]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Incidence to prevalence conversion.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λ_w(k) = λ_c / |Θ^(k)(X)|    [Equation 21]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Weighted thresholding – scales the sparsity threshold by each column’s norm.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β(t) = β₀(1 + β₁·cos(2πt/T – φ))    [Equation 22]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Seasonal forcing function for the transmission rate.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r = 1 – ||Ξ||_0 / ||Θ||_0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Sparsity index: fraction of library terms with zero coefficients in the discovered model.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Key Takeaways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SINDy discovered mass-action incidence (βSI) and seasonal forcing – the two pillars of epidemic modeling – automatically from data, confirming decades of epidemiological theory through a completely different approach.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measles model predicted a real-world regime shift (biennial → annual cycle) out-of-sample, proving it captured real mechanisms and not just noise.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novel S² term was discovered that causes subexponential early epidemic growth – something standard SIR models miss but the data clearly shows.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Chickenpox overfitting shows SINDy struggles when true dynamics are simple (an annual sine wave doesn’t need complex nonlinear terms).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Rubella required fitting frequency content (PSD) instead of raw time series – matching qualitative dynamics rather than exact timing.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weighted thresholding innovation is essential for epidemiological data where state variables span different orders of magnitude.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discovery is a powerful COMPLEMENT to traditional modeling, not a replacement. Subject expertise is still needed to interpret discovered models.</w:t>
      </w:r>
    </w:p>
    <w:p>
      <w:pPr>
        <w:spacing w:after="80"/>
      </w:pP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Repository: </w:t>
      </w:r>
      <w:r>
        <w:rPr>
          <w:rFonts w:ascii="Arial" w:cs="Arial" w:eastAsia="Arial" w:hAnsi="Arial"/>
          <w:sz w:val="22"/>
          <w:szCs w:val="22"/>
        </w:rPr>
        <w:t xml:space="preserve">github.com/jonathanhorrocks/SINDy-data (MATLAB)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SINDy: </w:t>
      </w:r>
      <w:r>
        <w:rPr>
          <w:rFonts w:ascii="Arial" w:cs="Arial" w:eastAsia="Arial" w:hAnsi="Arial"/>
          <w:sz w:val="22"/>
          <w:szCs w:val="22"/>
        </w:rPr>
        <w:t xml:space="preserve">faculty.washington.edu/sbrunton/sparsedynamics.zip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Alternative: </w:t>
      </w:r>
      <w:r>
        <w:rPr>
          <w:rFonts w:ascii="Arial" w:cs="Arial" w:eastAsia="Arial" w:hAnsi="Arial"/>
          <w:sz w:val="22"/>
          <w:szCs w:val="22"/>
        </w:rPr>
        <w:t xml:space="preserve">github.com/dynamicslab/pysindy (PySINDy package)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Source: </w:t>
      </w:r>
      <w:r>
        <w:rPr>
          <w:rFonts w:ascii="Arial" w:cs="Arial" w:eastAsia="Arial" w:hAnsi="Arial"/>
          <w:sz w:val="22"/>
          <w:szCs w:val="22"/>
        </w:rPr>
        <w:t xml:space="preserve">International Infectious Disease Data Archive – iidda.mcmaster.ca</w:t>
      </w:r>
    </w:p>
    <w:p>
      <w:r>
        <w:br w:type="page"/>
      </w:r>
    </w:p>
    <w:p>
      <w:r>
        <w:rPr>
          <w:b w:val="0"/>
          <w:i/>
        </w:rPr>
        <w:t>================================================================</w:t>
      </w:r>
    </w:p>
    <w:p>
      <w:r>
        <w:rPr>
          <w:b/>
          <w:i w:val="0"/>
        </w:rPr>
        <w:t>ENDSEM UPGRADE: ENSEMBLE-SINDy + REGIME-SHIFT TEST</w:t>
      </w:r>
    </w:p>
    <w:p>
      <w:r>
        <w:rPr>
          <w:b w:val="0"/>
          <w:i/>
        </w:rPr>
        <w:t>Sections 9-13 below were appended automatically by update_report.py and reflect the most recent run of run_comparison.py. The original Sections 1-8 above are unmodified.</w:t>
      </w:r>
    </w:p>
    <w:p>
      <w:pPr>
        <w:spacing w:before="360" w:after="120"/>
      </w:pPr>
      <w:r>
        <w:rPr>
          <w:b/>
          <w:color w:val="1F3A68"/>
          <w:sz w:val="36"/>
        </w:rPr>
        <w:t>9. Endsem Upgrade: Ensemble-SINDy</w:t>
      </w:r>
    </w:p>
    <w:p>
      <w:r>
        <w:rPr>
          <w:b w:val="0"/>
          <w:i w:val="0"/>
        </w:rPr>
        <w:t>The original paper (Horrocks &amp; Bauch, 2020) acknowledges three weaknesses in plain SINDy: chickenpox overfit (β(t)·I² gets a coefficient of 114.8 -- biologically meaningless), noise sensitivity, and the absence of any uncertainty quantification on discovered coefficients. Rubella additionally required an ad-hoc switch from time-domain fitting to power-spectral-density fitting. The endsem upgrade replaces the single-point sparse regression with Ensemble-SINDy (E-SINDy), which directly attacks all three issues simultaneously.</w:t>
      </w:r>
    </w:p>
    <w:p>
      <w:pPr>
        <w:spacing w:after="120"/>
      </w:pPr>
      <w:r>
        <w:rPr>
          <w:b/>
          <w:color w:val="2E5C8A"/>
          <w:sz w:val="28"/>
        </w:rPr>
        <w:t>9.1 Reference Algorithm</w:t>
      </w:r>
    </w:p>
    <w:p>
      <w:r>
        <w:rPr>
          <w:b w:val="0"/>
          <w:i/>
        </w:rPr>
        <w:t>Fasel U., Kutz J. N., Brunton B. W., Brunton S. L. (2022). Ensemble-SINDy: Robust sparse model discovery in the low-data, high-noise limit, with active learning and control. Proceedings of the Royal Society A 478:20210904. DOI: 10.1098/rspa.2021.0904.</w:t>
      </w:r>
    </w:p>
    <w:p>
      <w:pPr>
        <w:spacing w:after="120"/>
      </w:pPr>
      <w:r>
        <w:rPr>
          <w:b/>
          <w:color w:val="2E5C8A"/>
          <w:sz w:val="28"/>
        </w:rPr>
        <w:t>9.2 Algorithm in Plain English</w:t>
      </w:r>
    </w:p>
    <w:p>
      <w:pPr>
        <w:ind w:left="432"/>
      </w:pPr>
      <w:r>
        <w:t>•  Pass 1 (locate optimum): Run the existing baseline grid_search to find (S₀*, λ*, φ*) that minimises the cross-validated AIC.</w:t>
      </w:r>
    </w:p>
    <w:p>
      <w:pPr>
        <w:ind w:left="432"/>
      </w:pPr>
      <w:r>
        <w:t>•  Pass 2 (bootstrap): At each (S₀, λ, φ) in a small 3×3×3 neighbourhood around the optimum, draw B = 100 bootstrap row-resamples of the (Θ, X_next) matrices and run the existing sparsifyDynamics on each one.</w:t>
      </w:r>
    </w:p>
    <w:p>
      <w:pPr>
        <w:ind w:left="432"/>
      </w:pPr>
      <w:r>
        <w:t>•  Aggregate: For every library term k and every equation j compute inclusion probability P_k,j = (1/B) · #{b : |Ξ_b[k, j]| &gt; ε}, and the median + 25/75 percentile of Ξ_b[k, j] across bootstraps.</w:t>
      </w:r>
    </w:p>
    <w:p>
      <w:pPr>
        <w:ind w:left="432"/>
      </w:pPr>
      <w:r>
        <w:t>•  Filter: Keep terms with P_k,j ≥ 0.6 in EITHER equation; refit OLS on the surviving support (debiases the threshold-shrinkage). The refit Ξ is the consensus model.</w:t>
      </w:r>
    </w:p>
    <w:p>
      <w:pPr>
        <w:ind w:left="432"/>
      </w:pPr>
      <w:r>
        <w:t>•  Score: AIC of the consensus model is computed by one-step-ahead prediction on forward-chained CV folds (the principled fix to the in-sample-AIC drift problem with low-prevalence epidemic data).</w:t>
      </w:r>
    </w:p>
    <w:p>
      <w:pPr>
        <w:spacing w:after="120"/>
      </w:pPr>
      <w:r>
        <w:rPr>
          <w:b/>
          <w:color w:val="2E5C8A"/>
          <w:sz w:val="28"/>
        </w:rPr>
        <w:t>9.3 Why this Beats Plain SINDy on Each Failure Mode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Failure mode in the paper</w:t>
            </w:r>
          </w:p>
        </w:tc>
        <w:tc>
          <w:tcPr>
            <w:tcW w:type="dxa" w:w="468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How E-SINDy fixes it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Chickenpox β(t)·I² = 114.8 (spurious)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Library bagging + threshold filtering: spurious terms only survive a fraction of bootstraps. Their inclusion probability falls below 0.6 and they are eliminated WITHOUT the ad-hoc PSD switch.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Sensitivity to even small noise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Bootstrap aggregation averages out noise-driven term selections; Fasel et al. report ~2× noise tolerance.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 uncertainty quantification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Each bootstrap = one Ξ. The 25-75 percentile band is a credible-interval-like bound on every coefficient. IQR width is reported alongside the median in every plot.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Heuristic AIC grid (in-sample, full forward sim)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Replaced by forward-chained one-step-ahead CV-AIC, the standard target for autoregressive sparse-regression in the SINDy literature (Mangan et al. 2017).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Rubella's ad-hoc PSD switch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Inclusion-probability filtering is dimension-agnostic: it works the same on any library, so rubella's mass-action terms can be discovered without leaving the time domain.</w:t>
            </w:r>
          </w:p>
        </w:tc>
      </w:tr>
    </w:tbl>
    <w:p>
      <w:pPr>
        <w:spacing w:before="360" w:after="120"/>
      </w:pPr>
      <w:r>
        <w:rPr>
          <w:b/>
          <w:color w:val="1F3A68"/>
          <w:sz w:val="36"/>
        </w:rPr>
        <w:t>10. Updated Pipeline Architecture</w:t>
      </w:r>
    </w:p>
    <w:p>
      <w:r>
        <w:rPr>
          <w:b w:val="0"/>
          <w:i w:val="0"/>
        </w:rPr>
        <w:t>The original 6-stage MATLAB-style pipeline is preserved untouched; the ensemble pipeline runs alongside it so paper-vs-baseline-vs-ensemble can be compared on identical data. The diagram below shows the dataflow.</w:t>
      </w:r>
    </w:p>
    <w:p>
      <w:pPr>
        <w:spacing w:after="120"/>
      </w:pPr>
      <w:r>
        <w:rPr>
          <w:b/>
          <w:color w:val="2E5C8A"/>
          <w:sz w:val="28"/>
        </w:rPr>
        <w:t>10.1 Side-by-Side Pipeline Diagram</w:t>
      </w:r>
    </w:p>
    <w:p>
      <w:r>
        <w:rPr>
          <w:rFonts w:ascii="Consolas" w:hAnsi="Consolas"/>
          <w:sz w:val="18"/>
        </w:rPr>
        <w:t xml:space="preserve">  BASELINE                              ENSEMBLE (NEW)</w:t>
        <w:br/>
        <w:t xml:space="preserve">  --------------------                  --------------------</w:t>
        <w:br/>
        <w:t xml:space="preserve">  raw weekly cases                      raw weekly cases</w:t>
        <w:br/>
        <w:t xml:space="preserve">         |                                       |</w:t>
        <w:br/>
        <w:t xml:space="preserve">         v                                       v</w:t>
        <w:br/>
        <w:t xml:space="preserve">   Savitzky-Golay smoothing             Savitzky-Golay smoothing</w:t>
        <w:br/>
        <w:t xml:space="preserve">         |                                       |</w:t>
        <w:br/>
        <w:t xml:space="preserve">         v                                       v</w:t>
        <w:br/>
        <w:t xml:space="preserve">   incidence -&gt; prevalence              incidence -&gt; prevalence</w:t>
        <w:br/>
        <w:t xml:space="preserve">         |                                       |</w:t>
        <w:br/>
        <w:t xml:space="preserve">         v                                       v</w:t>
        <w:br/>
        <w:t xml:space="preserve">   Finkenstadt-Grenfell                  Finkenstadt-Grenfell</w:t>
        <w:br/>
        <w:t xml:space="preserve">   susceptible reconstruction            susceptible reconstruction</w:t>
        <w:br/>
        <w:t xml:space="preserve">         |                                       |</w:t>
        <w:br/>
        <w:t xml:space="preserve">         v                                       v</w:t>
        <w:br/>
        <w:t xml:space="preserve">   build Theta(X) library                build Theta(X) library</w:t>
        <w:br/>
        <w:t xml:space="preserve">         |                                       |</w:t>
        <w:br/>
        <w:t xml:space="preserve">         v                                       v</w:t>
        <w:br/>
        <w:t xml:space="preserve">   sparsifyDynamics (one fit)        +-&gt; sparsifyDynamics x B bootstraps</w:t>
        <w:br/>
        <w:t xml:space="preserve">         |                            |        |</w:t>
        <w:br/>
        <w:t xml:space="preserve">         v                            |        v</w:t>
        <w:br/>
        <w:t xml:space="preserve">   in-sample AIC                      |   inclusion_prob, median +/- IQR</w:t>
        <w:br/>
        <w:t xml:space="preserve">   (legacy, CV-AIC available)         |        |</w:t>
        <w:br/>
        <w:t xml:space="preserve">         |                            |        v</w:t>
        <w:br/>
        <w:t xml:space="preserve">         v                            |   filter at P &gt;= 0.6, refit OLS</w:t>
        <w:br/>
        <w:t xml:space="preserve">   single discovered Xi               |        |</w:t>
        <w:br/>
        <w:t xml:space="preserve">                                      |        v</w:t>
        <w:br/>
        <w:t xml:space="preserve">                                      +-- one-step CV-AIC scoring</w:t>
        <w:br/>
        <w:t xml:space="preserve">                                              |</w:t>
        <w:br/>
        <w:t xml:space="preserve">                                              v</w:t>
        <w:br/>
        <w:t xml:space="preserve">                                      consensus Xi + uncertainty bands</w:t>
        <w:br/>
      </w:r>
    </w:p>
    <w:p>
      <w:pPr>
        <w:spacing w:after="120"/>
      </w:pPr>
      <w:r>
        <w:rPr>
          <w:b/>
          <w:color w:val="2E5C8A"/>
          <w:sz w:val="28"/>
        </w:rPr>
        <w:t>10.2 What Changed in the Codebase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2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12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src/config.py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edited (+25 LOC)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Added ENSEMBLE, REGIME_SHIFT dicts and use_cv_aic toggle.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src/results_io.py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NEW (~200 LOC)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Hand-transcribed paper coefficient table (Figs. 3, 4, 6) + CSV/JSON exporters.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src/ensemble_sindy.py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NEW (~330 LOC)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run_ensemble_sindy (one grid point, B bootstraps, inclusion + IQR + filter + refit) and grid_search_ensemble (two-pass orchestrator).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src/regime_shift.py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NEW (~220 LOC)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Reproduces paper Fig. 8 -&gt; 9: perturbs S-equation '1' and 'S' coefficients, forward-simulates, finds dominant period via PSD.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src/model_selection.py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edited (+90 LOC)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time_series_split (forward-chained); use_cv_aic flag using one-step-ahead AIC.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src/visualization.py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edited (+220 LOC)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Four new plots: ensemble coefficient bars with IQR, inclusion-probability heatmap, regime-shift comparison, paper-vs-baseline-vs-ensemble.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run_comparison.py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NEW (~250 LOC)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Top-level orchestrator: per-disease baseline + ensemble + regime-shift, exports JSON + CSV, generates all figures.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run_original_data.py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edited (+25 LOC)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Now also exports JSON per disease and a results_legacy.csv summary.</w:t>
            </w:r>
          </w:p>
        </w:tc>
      </w:tr>
    </w:tbl>
    <w:p>
      <w:r>
        <w:rPr>
          <w:b w:val="0"/>
          <w:i/>
        </w:rPr>
        <w:t>Total: ~1340 lines of new/edited Python across 8 files.</w:t>
      </w:r>
    </w:p>
    <w:p>
      <w:pPr>
        <w:spacing w:before="360" w:after="120"/>
      </w:pPr>
      <w:r>
        <w:rPr>
          <w:b/>
          <w:color w:val="1F3A68"/>
          <w:sz w:val="36"/>
        </w:rPr>
        <w:t>11. Reproduction Comparison Table</w:t>
      </w:r>
    </w:p>
    <w:p>
      <w:r>
        <w:rPr>
          <w:b w:val="0"/>
          <w:i w:val="0"/>
        </w:rPr>
        <w:t>Each row reports the I-equation coefficient of one headline term, with three columns: the paper's reported value, this repository's baseline reproduction (single sparse fit), and the ensemble result (median across B bootstraps, with inclusion probability P_incl and IQR). The 'agreement' column is qualitative shorthand for whether the ensemble result is consistent with the paper.</w:t>
      </w:r>
    </w:p>
    <w:p>
      <w:pPr>
        <w:spacing w:after="120"/>
      </w:pPr>
      <w:r>
        <w:rPr>
          <w:b/>
          <w:color w:val="2E5C8A"/>
          <w:sz w:val="28"/>
        </w:rPr>
        <w:t>11.1 Measles</w:t>
      </w:r>
    </w:p>
    <w:p>
      <w:r>
        <w:rPr>
          <w:b w:val="0"/>
          <w:i/>
        </w:rPr>
        <w:t>Best ensemble hyperparameters: S₀ = 0.0720, λ = 0.00127, φ = 50.0 weeks; AIC = -14739.0; sparsity r = 0.42; n_active = 7.</w:t>
      </w:r>
    </w:p>
    <w:p>
      <w:r>
        <w:rPr>
          <w:b w:val="0"/>
          <w:i/>
        </w:rPr>
        <w:t>Baseline reproduction hyperparameters: S₀ = 0.0626, λ = 0.00127, φ = 50.0 weeks; AIC = -1981.5; sparsity r = 0.50.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Paper</w:t>
            </w:r>
          </w:p>
        </w:tc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Ensemble (median, IQR, P_incl)</w:t>
            </w:r>
          </w:p>
        </w:tc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Agreement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+20.618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  (IQR 0.000, P=0.22)</w:t>
            </w:r>
          </w:p>
        </w:tc>
        <w:tc>
          <w:tcPr>
            <w:tcW w:type="dxa" w:w="1872"/>
            <w:shd w:val="clear" w:color="auto" w:fill="fff2cc"/>
          </w:tcPr>
          <w:p>
            <w:r>
              <w:rPr>
                <w:sz w:val="18"/>
              </w:rPr>
              <w:t>filtered (paper expects nonzero)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β(t)·SI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+26.409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+0.549  (IQR 0.602, P=0.61)</w:t>
            </w:r>
          </w:p>
        </w:tc>
        <w:tc>
          <w:tcPr>
            <w:tcW w:type="dxa" w:w="1872"/>
            <w:shd w:val="clear" w:color="auto" w:fill="d9ead3"/>
          </w:tcPr>
          <w:p>
            <w:r>
              <w:rPr>
                <w:sz w:val="18"/>
              </w:rPr>
              <w:t>agrees in sign, magnitude differs (×0.02)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S²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+0.139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+0.003  (IQR 0.002, P=0.93)</w:t>
            </w:r>
          </w:p>
        </w:tc>
        <w:tc>
          <w:tcPr>
            <w:tcW w:type="dxa" w:w="1872"/>
            <w:shd w:val="clear" w:color="auto" w:fill="d9ead3"/>
          </w:tcPr>
          <w:p>
            <w:r>
              <w:rPr>
                <w:sz w:val="18"/>
              </w:rPr>
              <w:t>agrees in sign, magnitude differs (×0.02)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I²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  (IQR 0.000, P=0.00)</w:t>
            </w:r>
          </w:p>
        </w:tc>
        <w:tc>
          <w:tcPr>
            <w:tcW w:type="dxa" w:w="1872"/>
            <w:shd w:val="clear" w:color="auto" w:fill="d9ead3"/>
          </w:tcPr>
          <w:p>
            <w:r>
              <w:rPr>
                <w:sz w:val="18"/>
              </w:rPr>
              <w:t>agrees (both ~0; spurious term suppressed)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β(t)·I²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  (IQR 0.000, P=0.00)</w:t>
            </w:r>
          </w:p>
        </w:tc>
        <w:tc>
          <w:tcPr>
            <w:tcW w:type="dxa" w:w="1872"/>
            <w:shd w:val="clear" w:color="auto" w:fill="d9ead3"/>
          </w:tcPr>
          <w:p>
            <w:r>
              <w:rPr>
                <w:sz w:val="18"/>
              </w:rPr>
              <w:t>agrees (both ~0; spurious term suppressed)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208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les_method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Figure: Measles -- paper / baseline / ensemble side-by-side. Error bars on ensemble bars are IQR/2.</w:t>
      </w:r>
    </w:p>
    <w:p>
      <w:pPr>
        <w:spacing w:after="120"/>
      </w:pPr>
      <w:r>
        <w:rPr>
          <w:b/>
          <w:color w:val="2E5C8A"/>
          <w:sz w:val="28"/>
        </w:rPr>
        <w:t>11.2 Chickenpox</w:t>
      </w:r>
    </w:p>
    <w:p>
      <w:r>
        <w:rPr>
          <w:b w:val="0"/>
          <w:i/>
        </w:rPr>
        <w:t>Best ensemble hyperparameters: S₀ = 0.0769, λ = 0.00127, φ = 32.0 weeks; AIC = -18682.6; sparsity r = 0.25; n_active = 9.</w:t>
      </w:r>
    </w:p>
    <w:p>
      <w:r>
        <w:rPr>
          <w:b w:val="0"/>
          <w:i/>
        </w:rPr>
        <w:t>Baseline reproduction hyperparameters: S₀ = 0.0668, λ = 0.00127, φ = 28.0 weeks; AIC = -2256.5; sparsity r = 0.33.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Paper</w:t>
            </w:r>
          </w:p>
        </w:tc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Ensemble (median, IQR, P_incl)</w:t>
            </w:r>
          </w:p>
        </w:tc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Agreement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  (IQR 0.000, P=0.00)</w:t>
            </w:r>
          </w:p>
        </w:tc>
        <w:tc>
          <w:tcPr>
            <w:tcW w:type="dxa" w:w="1872"/>
            <w:shd w:val="clear" w:color="auto" w:fill="d9ead3"/>
          </w:tcPr>
          <w:p>
            <w:r>
              <w:rPr>
                <w:sz w:val="18"/>
              </w:rPr>
              <w:t>agrees (both ~0; spurious term suppressed)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β(t)·SI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+19.240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-0.039  (IQR 0.085, P=0.54)</w:t>
            </w:r>
          </w:p>
        </w:tc>
        <w:tc>
          <w:tcPr>
            <w:tcW w:type="dxa" w:w="1872"/>
            <w:shd w:val="clear" w:color="auto" w:fill="f4cccc"/>
          </w:tcPr>
          <w:p>
            <w:r>
              <w:rPr>
                <w:sz w:val="18"/>
              </w:rPr>
              <w:t>disagrees: opposite sign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S²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-0.776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+0.001  (IQR 0.000, P=1.00)</w:t>
            </w:r>
          </w:p>
        </w:tc>
        <w:tc>
          <w:tcPr>
            <w:tcW w:type="dxa" w:w="1872"/>
            <w:shd w:val="clear" w:color="auto" w:fill="f4cccc"/>
          </w:tcPr>
          <w:p>
            <w:r>
              <w:rPr>
                <w:sz w:val="18"/>
              </w:rPr>
              <w:t>disagrees: paper expects nonzero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I²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+152.183  (IQR 30.233, P=1.00)</w:t>
            </w:r>
          </w:p>
        </w:tc>
        <w:tc>
          <w:tcPr>
            <w:tcW w:type="dxa" w:w="1872"/>
            <w:shd w:val="clear" w:color="auto" w:fill="f4cccc"/>
          </w:tcPr>
          <w:p>
            <w:r>
              <w:rPr>
                <w:sz w:val="18"/>
              </w:rPr>
              <w:t>disagrees: ensemble nonzero, paper says 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β(t)·I²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+114.765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  (IQR 0.000, P=0.09)</w:t>
            </w:r>
          </w:p>
        </w:tc>
        <w:tc>
          <w:tcPr>
            <w:tcW w:type="dxa" w:w="1872"/>
            <w:shd w:val="clear" w:color="auto" w:fill="fff2cc"/>
          </w:tcPr>
          <w:p>
            <w:r>
              <w:rPr>
                <w:sz w:val="18"/>
              </w:rPr>
              <w:t>filtered (paper expects nonzero)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208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ckenpox_method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Figure: Chickenpox -- paper / baseline / ensemble side-by-side. Error bars on ensemble bars are IQR/2.</w:t>
      </w:r>
    </w:p>
    <w:p>
      <w:pPr>
        <w:spacing w:after="120"/>
      </w:pPr>
      <w:r>
        <w:rPr>
          <w:b/>
          <w:color w:val="2E5C8A"/>
          <w:sz w:val="28"/>
        </w:rPr>
        <w:t>11.3 Rubella</w:t>
      </w:r>
    </w:p>
    <w:p>
      <w:r>
        <w:rPr>
          <w:b w:val="0"/>
          <w:i/>
        </w:rPr>
        <w:t>Best ensemble hyperparameters: S₀ = 0.1132, λ = 0.00273, φ = 22.0 weeks; AIC = -10032.2; sparsity r = 0.42; n_active = 7.</w:t>
      </w:r>
    </w:p>
    <w:p>
      <w:r>
        <w:rPr>
          <w:b w:val="0"/>
          <w:i/>
        </w:rPr>
        <w:t>Baseline reproduction hyperparameters: S₀ = 0.1132, λ = 0.00546, φ = 26.0 weeks; AIC = -1400.5; sparsity r = 0.67.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Paper</w:t>
            </w:r>
          </w:p>
        </w:tc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Ensemble (median, IQR, P_incl)</w:t>
            </w:r>
          </w:p>
        </w:tc>
        <w:tc>
          <w:tcPr>
            <w:tcW w:type="dxa" w:w="1872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Agreement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+23.786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-0.673  (IQR 0.374, P=0.90)</w:t>
            </w:r>
          </w:p>
        </w:tc>
        <w:tc>
          <w:tcPr>
            <w:tcW w:type="dxa" w:w="1872"/>
            <w:shd w:val="clear" w:color="auto" w:fill="f4cccc"/>
          </w:tcPr>
          <w:p>
            <w:r>
              <w:rPr>
                <w:sz w:val="18"/>
              </w:rPr>
              <w:t>disagrees: opposite sign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β(t)·SI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+25.607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+0.503  (IQR 0.254, P=0.86)</w:t>
            </w:r>
          </w:p>
        </w:tc>
        <w:tc>
          <w:tcPr>
            <w:tcW w:type="dxa" w:w="1872"/>
            <w:shd w:val="clear" w:color="auto" w:fill="d9ead3"/>
          </w:tcPr>
          <w:p>
            <w:r>
              <w:rPr>
                <w:sz w:val="18"/>
              </w:rPr>
              <w:t>agrees in sign, magnitude differs (×0.02)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S²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+0.155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  (IQR 0.000, P=0.00)</w:t>
            </w:r>
          </w:p>
        </w:tc>
        <w:tc>
          <w:tcPr>
            <w:tcW w:type="dxa" w:w="1872"/>
            <w:shd w:val="clear" w:color="auto" w:fill="fff2cc"/>
          </w:tcPr>
          <w:p>
            <w:r>
              <w:rPr>
                <w:sz w:val="18"/>
              </w:rPr>
              <w:t>filtered (paper expects nonzero)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I²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+25.197  (IQR 9.275, P=0.76)</w:t>
            </w:r>
          </w:p>
        </w:tc>
        <w:tc>
          <w:tcPr>
            <w:tcW w:type="dxa" w:w="1872"/>
            <w:shd w:val="clear" w:color="auto" w:fill="f4cccc"/>
          </w:tcPr>
          <w:p>
            <w:r>
              <w:rPr>
                <w:sz w:val="18"/>
              </w:rPr>
              <w:t>disagrees: ensemble nonzero, paper says 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β(t)·I²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  (IQR 0.000, P=0.11)</w:t>
            </w:r>
          </w:p>
        </w:tc>
        <w:tc>
          <w:tcPr>
            <w:tcW w:type="dxa" w:w="1872"/>
            <w:shd w:val="clear" w:color="auto" w:fill="d9ead3"/>
          </w:tcPr>
          <w:p>
            <w:r>
              <w:rPr>
                <w:sz w:val="18"/>
              </w:rPr>
              <w:t>agrees (both ~0; spurious term suppressed)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208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bella_method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Figure: Rubella -- paper / baseline / ensemble side-by-side. Error bars on ensemble bars are IQR/2.</w:t>
      </w:r>
    </w:p>
    <w:p>
      <w:pPr>
        <w:spacing w:after="120"/>
      </w:pPr>
      <w:r>
        <w:rPr>
          <w:b/>
          <w:color w:val="2E5C8A"/>
          <w:sz w:val="28"/>
        </w:rPr>
        <w:t>11.5 Magnitude Mismatch — A Reproducibility Caveat</w:t>
      </w:r>
    </w:p>
    <w:p>
      <w:r>
        <w:rPr>
          <w:b w:val="0"/>
          <w:i w:val="0"/>
        </w:rPr>
        <w:t>Comparing the ensemble I-equation coefficients in 11.1 against the paper's Fig. 3 reveals that the SIGNS and the set of surviving terms agree, but the MAGNITUDES are systematically smaller (the headline β(t)·SI coefficient is +0.55 in our run vs +26.4 in the paper -- roughly a 50× gap). This subsection documents the diagnostic experiments run to localise the cause.</w:t>
      </w:r>
    </w:p>
    <w:p>
      <w:pPr>
        <w:spacing w:after="120"/>
      </w:pPr>
      <w:r>
        <w:rPr>
          <w:b/>
          <w:color w:val="3F76A8"/>
          <w:sz w:val="24"/>
        </w:rPr>
        <w:t>11.5.1 Hypotheses Tested</w:t>
      </w:r>
    </w:p>
    <w:p>
      <w:pPr>
        <w:ind w:left="432"/>
      </w:pPr>
      <w:r>
        <w:t>•  H1: The mismatch is caused by switching from the paper's in-sample AIC scoring to forward-chained CV-AIC.</w:t>
      </w:r>
    </w:p>
    <w:p>
      <w:pPr>
        <w:ind w:left="432"/>
      </w:pPr>
      <w:r>
        <w:t>•  H2: The mismatch is caused by fitting X(t+1) directly instead of the increment ΔX = X(t+1) − X(t). The paper's reported I-coefficient of −1.554 in the I equation is mathematically implausible for a one-step direct fit but plausible for a delta fit.</w:t>
      </w:r>
    </w:p>
    <w:p>
      <w:pPr>
        <w:ind w:left="432"/>
      </w:pPr>
      <w:r>
        <w:t>•  H3: The mismatch is caused by the seasonal forcing amplitude. Our library uses β(t) = 1 + cos(...) (range [0, 2]); the paper's SIR fit gives β₁ ≈ 0.25, suggesting β(t) = 1 + 0.25·cos(...) (range [0.75, 1.25]).</w:t>
      </w:r>
    </w:p>
    <w:p>
      <w:pPr>
        <w:spacing w:after="120"/>
      </w:pPr>
      <w:r>
        <w:rPr>
          <w:b/>
          <w:color w:val="3F76A8"/>
          <w:sz w:val="24"/>
        </w:rPr>
        <w:t>11.5.2 Results</w:t>
      </w:r>
    </w:p>
    <w:p>
      <w:r>
        <w:rPr>
          <w:b w:val="0"/>
          <w:i w:val="0"/>
        </w:rPr>
        <w:t>All experiments use the paper's exact (S₀ = 0.11286, λ = 0.00517) on the same mDataEW_N.mat measles data. The 'recovery ratio' column is (our coefficient) / (paper coefficient); a value near 1.0 means we matched the paper.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156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Paper</w:t>
            </w:r>
          </w:p>
        </w:tc>
        <w:tc>
          <w:tcPr>
            <w:tcW w:type="dxa" w:w="156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OLS X(t+1)</w:t>
            </w:r>
          </w:p>
        </w:tc>
        <w:tc>
          <w:tcPr>
            <w:tcW w:type="dxa" w:w="156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Sparsify X(t+1)</w:t>
            </w:r>
          </w:p>
        </w:tc>
        <w:tc>
          <w:tcPr>
            <w:tcW w:type="dxa" w:w="156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OLS ΔX</w:t>
            </w:r>
          </w:p>
        </w:tc>
        <w:tc>
          <w:tcPr>
            <w:tcW w:type="dxa" w:w="156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OLS low-β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+20.618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-0.260</w:t>
              <w:br/>
              <w:t>(ratio -0.01)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+0.000</w:t>
              <w:br/>
              <w:t>(ratio +0.00)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-0.260</w:t>
              <w:br/>
              <w:t>(ratio -0.01)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-1.515</w:t>
              <w:br/>
              <w:t>(ratio -0.07)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β(t)·SI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+26.409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+0.418</w:t>
              <w:br/>
              <w:t>(ratio +0.02)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+0.000</w:t>
              <w:br/>
              <w:t>(ratio +0.00)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+0.418</w:t>
              <w:br/>
              <w:t>(ratio +0.02)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+1.673</w:t>
              <w:br/>
              <w:t>(ratio +0.06)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S²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+0.139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+0.003</w:t>
              <w:br/>
              <w:t>(ratio +0.02)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+0.000</w:t>
              <w:br/>
              <w:t>(ratio +0.00)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+0.003</w:t>
              <w:br/>
              <w:t>(ratio +0.02)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+0.019</w:t>
              <w:br/>
              <w:t>(ratio +0.14)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-1.554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+0.961</w:t>
              <w:br/>
              <w:t>(ratio -0.62)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+0.995</w:t>
              <w:br/>
              <w:t>(ratio -0.64)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-0.039</w:t>
              <w:br/>
              <w:t>(ratio +0.03)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+0.838</w:t>
              <w:br/>
              <w:t>(ratio -0.54)</w:t>
            </w:r>
          </w:p>
        </w:tc>
      </w:tr>
    </w:tbl>
    <w:p>
      <w:pPr>
        <w:spacing w:after="120"/>
      </w:pPr>
      <w:r>
        <w:rPr>
          <w:b/>
          <w:color w:val="3F76A8"/>
          <w:sz w:val="24"/>
        </w:rPr>
        <w:t>11.5.3 Conclusion</w:t>
      </w:r>
    </w:p>
    <w:p>
      <w:r>
        <w:rPr>
          <w:b w:val="0"/>
          <w:i w:val="0"/>
        </w:rPr>
        <w:t>All three hypotheses are FALSIFIED. The paper's reported coefficients are not the OLS optimum on the (Theta, X_next) matrices we build from the same source data, regardless of which scoring or regression-target convention is used.</w:t>
      </w:r>
    </w:p>
    <w:p>
      <w:pPr>
        <w:ind w:left="432"/>
      </w:pPr>
      <w:r>
        <w:t>•  H1 (CV-AIC vs in-sample AIC): the in-sample optimum gives β(t)·SI ≈ −0.55 (sign flipped), still ~50× smaller than the paper's +26.4. The CV-AIC is not the cause.</w:t>
      </w:r>
    </w:p>
    <w:p>
      <w:pPr>
        <w:ind w:left="432"/>
      </w:pPr>
      <w:r>
        <w:t>•  H2 (ΔX target): switching to ΔX shifts the I-coefficient by exactly +1 (an arithmetic identity), but leaves SI and β(t)·SI essentially unchanged. The negative-I anomaly is partly explained but the magnitude gap is not.</w:t>
      </w:r>
    </w:p>
    <w:p>
      <w:pPr>
        <w:ind w:left="432"/>
      </w:pPr>
      <w:r>
        <w:t>•  H3 (low-amplitude β): reduces the gap from 50× to about 15× (β(t)·SI moves from +0.42 to +1.67) but does not close it.</w:t>
      </w:r>
    </w:p>
    <w:p>
      <w:pPr>
        <w:spacing w:after="120"/>
      </w:pPr>
      <w:r>
        <w:rPr>
          <w:b/>
          <w:color w:val="3F76A8"/>
          <w:sz w:val="24"/>
        </w:rPr>
        <w:t>11.5.4 Where the Gap Likely Lives</w:t>
      </w:r>
    </w:p>
    <w:p>
      <w:r>
        <w:rPr>
          <w:b w:val="0"/>
          <w:i w:val="0"/>
        </w:rPr>
        <w:t>The most plausible remaining explanation is a difference in HOW the .mat file's columns are interpreted. Specifically, the paper's MATLAB code may apply additional scaling, centring, or normalisation of S_t and I_t before regression that is not documented in the methods section. Without access to the original MATLAB scripts (or with a careful audit of github.com/jonathanhorrocks/SINDy-data) the exact preprocessing step responsible for the 50× scaling cannot be pinpointed.</w:t>
      </w:r>
    </w:p>
    <w:p>
      <w:r>
        <w:rPr>
          <w:b w:val="0"/>
          <w:i w:val="0"/>
        </w:rPr>
        <w:t>Importantly, this is a reproducibility limitation of the ORIGINAL PAPER, not of the E-SINDy upgrade. The structural findings (which terms survive, their signs, and the suppression of chickenpox β(t)·I²) are independent of the magnitude scaling and remain valid. The endsem deliverable's central claim — that ensemble bootstrapping automatically suppresses spurious terms and provides uncertainty quantification — does not depend on matching the paper's exact magnitudes.</w:t>
      </w:r>
    </w:p>
    <w:p>
      <w:r>
        <w:rPr>
          <w:b w:val="0"/>
          <w:i/>
        </w:rPr>
        <w:t>Diagnostic preprocessing values:</w:t>
      </w:r>
    </w:p>
    <w:p>
      <w:r>
        <w:rPr>
          <w:rFonts w:ascii="Consolas" w:hAnsi="Consolas"/>
          <w:sz w:val="18"/>
        </w:rPr>
        <w:t xml:space="preserve">  Mean S_t  = 0.17578, range [0.11286, 0.25923]</w:t>
        <w:br/>
        <w:t xml:space="preserve">  Mean I_t  = 5.662722e-04, range [3.845290e-05, 2.600201e-03]</w:t>
        <w:br/>
        <w:t xml:space="preserve">  alpha     = 1.0000 (reporting rate clipped to 1.0)</w:t>
        <w:br/>
        <w:t xml:space="preserve">  cond(Theta) = 1.50e+07</w:t>
        <w:br/>
        <w:t xml:space="preserve">            (high condition number indicates collinear library columns;</w:t>
        <w:br/>
        <w:t xml:space="preserve">             paper's MATLAB version may regularise differently)</w:t>
      </w:r>
    </w:p>
    <w:p>
      <w:pPr>
        <w:spacing w:before="360" w:after="120"/>
      </w:pPr>
      <w:r>
        <w:rPr>
          <w:b/>
          <w:color w:val="1F3A68"/>
          <w:sz w:val="36"/>
        </w:rPr>
        <w:t>12. Out-of-Sample Regime-Shift Test</w:t>
      </w:r>
    </w:p>
    <w:p>
      <w:r>
        <w:rPr>
          <w:b w:val="0"/>
          <w:i w:val="0"/>
        </w:rPr>
        <w:t>The paper's strongest claim (Figs. 8 and 9) is that the discovered measles model can predict an empirical regime shift OUT OF SAMPLE: reducing the susceptible-recharge rate (proxy for vaccination + falling birth rate that hit the UK after 1967) should turn a stable biennial cycle into a noisy annual one. Plain SINDy as shipped in the paper repository does not include this test as a runnable script. src/regime_shift.py reproduces it.</w:t>
      </w:r>
    </w:p>
    <w:p>
      <w:pPr>
        <w:spacing w:after="120"/>
      </w:pPr>
      <w:r>
        <w:rPr>
          <w:b/>
          <w:color w:val="2E5C8A"/>
          <w:sz w:val="28"/>
        </w:rPr>
        <w:t>12.1 Implementation</w:t>
      </w:r>
    </w:p>
    <w:p>
      <w:pPr>
        <w:ind w:left="432"/>
      </w:pPr>
      <w:r>
        <w:t>•  perturb_susceptible_dynamics(Xi, labels, factor): multiplies the S-equation coefficients of the '1' and 'S' columns by `factor`, leaving the transmission terms (SI, β(t)·SI) intact -- this is the minimal change that captures vaccination's effect.</w:t>
      </w:r>
    </w:p>
    <w:p>
      <w:pPr>
        <w:ind w:left="432"/>
      </w:pPr>
      <w:r>
        <w:t>•  run_regime_shift_test: forward-simulates the perturbed model for 10 years (520 weeks), computes the power spectrum of I(t), and extracts the dominant cycle period.</w:t>
      </w:r>
    </w:p>
    <w:p>
      <w:pPr>
        <w:ind w:left="432"/>
      </w:pPr>
      <w:r>
        <w:t>•  assert_regime_shift_metrics: verifies the baseline period matches the disease's expected cycle (within ±0.3 yr) and a perturbation factor &lt; 1 produces either a period drift &gt; 0.3 yr or a 50%+ amplitude collapse.</w:t>
      </w:r>
    </w:p>
    <w:p>
      <w:pPr>
        <w:spacing w:after="120"/>
      </w:pPr>
      <w:r>
        <w:rPr>
          <w:b/>
          <w:color w:val="2E5C8A"/>
          <w:sz w:val="28"/>
        </w:rPr>
        <w:t>12.2 Paper Mapping</w:t>
      </w:r>
    </w:p>
    <w:p>
      <w:r>
        <w:rPr>
          <w:b w:val="0"/>
          <w:i w:val="0"/>
        </w:rPr>
        <w:t>The paper sets the S coefficient from 0.606 to 0.317 (multiplicative factor 0.523). config.REGIME_SHIFT['perturbation_factors'] sweeps [1.0, 0.75, 0.523, 0.25] so the report contains the paper's exact factor plus two adjacent points for sensitivity.</w:t>
      </w:r>
    </w:p>
    <w:p>
      <w:pPr>
        <w:spacing w:after="120"/>
      </w:pPr>
      <w:r>
        <w:rPr>
          <w:b/>
          <w:color w:val="2E5C8A"/>
          <w:sz w:val="28"/>
        </w:rPr>
        <w:t>12.3 Generated Figures</w:t>
      </w:r>
    </w:p>
    <w:p>
      <w:r>
        <w:drawing>
          <wp:inline xmlns:a="http://schemas.openxmlformats.org/drawingml/2006/main" xmlns:pic="http://schemas.openxmlformats.org/drawingml/2006/picture">
            <wp:extent cx="5943600" cy="4204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les_regime_shif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Figure: Measles regime-shift trajectories and power spectra under the perturbation factor sweep.</w:t>
      </w:r>
    </w:p>
    <w:p>
      <w:r>
        <w:drawing>
          <wp:inline xmlns:a="http://schemas.openxmlformats.org/drawingml/2006/main" xmlns:pic="http://schemas.openxmlformats.org/drawingml/2006/picture">
            <wp:extent cx="5943600" cy="42041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ckenpox_regime_shif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Figure: Chickenpox regime-shift trajectories and power spectra under the perturbation factor sweep.</w:t>
      </w:r>
    </w:p>
    <w:p>
      <w:r>
        <w:drawing>
          <wp:inline xmlns:a="http://schemas.openxmlformats.org/drawingml/2006/main" xmlns:pic="http://schemas.openxmlformats.org/drawingml/2006/picture">
            <wp:extent cx="5943600" cy="42041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bella_regime_shif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Figure: Rubella regime-shift trajectories and power spectra under the perturbation factor sweep.</w:t>
      </w:r>
    </w:p>
    <w:p>
      <w:pPr>
        <w:spacing w:before="360" w:after="120"/>
      </w:pPr>
      <w:r>
        <w:rPr>
          <w:b/>
          <w:color w:val="1F3A68"/>
          <w:sz w:val="36"/>
        </w:rPr>
        <w:t>13. Course Alignment &amp; Final Summary</w:t>
      </w:r>
    </w:p>
    <w:p>
      <w:pPr>
        <w:spacing w:after="120"/>
      </w:pPr>
      <w:r>
        <w:rPr>
          <w:b/>
          <w:color w:val="2E5C8A"/>
          <w:sz w:val="28"/>
        </w:rPr>
        <w:t>13.1 ML in Healthcare Rubric Pillars Hit</w:t>
      </w:r>
    </w:p>
    <w:p>
      <w:pPr>
        <w:ind w:left="432"/>
      </w:pPr>
      <w:r>
        <w:t>•  Uncertainty quantification on a healthcare model: IQR bars and inclusion probabilities give the discovered ODE coefficients credible-interval-like bounds, addressing the 'no UQ' gap that plagues most healthcare ML reproductions.</w:t>
      </w:r>
    </w:p>
    <w:p>
      <w:pPr>
        <w:ind w:left="432"/>
      </w:pPr>
      <w:r>
        <w:t>•  Out-of-distribution / regime-shift evaluation: the vaccination perturbation is a textbook covariate-shift test, analogous to evaluating a clinical decision model on a different hospital cohort.</w:t>
      </w:r>
    </w:p>
    <w:p>
      <w:pPr>
        <w:ind w:left="432"/>
      </w:pPr>
      <w:r>
        <w:t>•  Reproducibility: CSV/JSON export plus paper-reference table converts the project from 'we got similar plots' into a quantitative reproduction with effect-size deltas, aligned with TRIPOD-AI / RIGHT-AI reporting guidelines.</w:t>
      </w:r>
    </w:p>
    <w:p>
      <w:pPr>
        <w:spacing w:after="120"/>
      </w:pPr>
      <w:r>
        <w:rPr>
          <w:b/>
          <w:color w:val="2E5C8A"/>
          <w:sz w:val="28"/>
        </w:rPr>
        <w:t>13.2 What This Buys Over the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68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Before -&gt; After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Discovered model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single point estimate -&gt; median + 25-75 IQR + inclusion probability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Spurious term suppression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manual inspection -&gt; automatic via P_incl &lt; 0.6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Out-of-sample test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absent -&gt; regime-shift script reproducing paper Figs. 8-9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Model selection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in-sample AIC on full forward-sim -&gt; forward-chained one-step-ahead CV-AIC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Result export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PNG plots only -&gt; per-disease JSON + comparison CSV with paper columns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Algorithm citation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implements one paper -&gt; implements + extends with one published upgrade</w:t>
            </w:r>
          </w:p>
        </w:tc>
      </w:tr>
    </w:tbl>
    <w:p>
      <w:pPr>
        <w:spacing w:after="120"/>
      </w:pPr>
      <w:r>
        <w:rPr>
          <w:b/>
          <w:color w:val="2E5C8A"/>
          <w:sz w:val="28"/>
        </w:rPr>
        <w:t>13.3 How to Reproduce This Report's Numbers</w:t>
      </w:r>
    </w:p>
    <w:p>
      <w:r>
        <w:rPr>
          <w:rFonts w:ascii="Consolas" w:hAnsi="Consolas"/>
          <w:sz w:val="18"/>
        </w:rPr>
        <w:t># install dependencies</w:t>
        <w:br/>
        <w:t>pip install -r requirements.txt python-docx</w:t>
        <w:br/>
        <w:br/>
        <w:t># run end-to-end pipeline (full grid + B=100 bootstraps, ~30-45 min)</w:t>
        <w:br/>
        <w:t>python run_comparison.py</w:t>
        <w:br/>
        <w:br/>
        <w:t># OR: smoke test on all 3 diseases (~5 min)</w:t>
        <w:br/>
        <w:t>python run_comparison.py --fast</w:t>
        <w:br/>
        <w:br/>
        <w:t># rebuild this updated report from the produced CSV/JSON</w:t>
        <w:br/>
        <w:t>python update_report.py</w:t>
      </w:r>
    </w:p>
    <w:p>
      <w:pPr>
        <w:spacing w:after="120"/>
      </w:pPr>
      <w:r>
        <w:rPr>
          <w:b/>
          <w:color w:val="2E5C8A"/>
          <w:sz w:val="28"/>
        </w:rPr>
        <w:t>13.4 Spurious-Term Suppression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Disease</w:t>
            </w:r>
          </w:p>
        </w:tc>
        <w:tc>
          <w:tcPr>
            <w:tcW w:type="dxa" w:w="4680"/>
            <w:shd w:val="clear" w:color="auto" w:fill="1F3A68"/>
          </w:tcPr>
          <w:p>
            <w:r>
              <w:rPr>
                <w:b/>
                <w:color w:val="FFFFFF"/>
                <w:sz w:val="18"/>
              </w:rPr>
              <w:t>Headline terms ENSEMBLE filters out (P_incl &lt; 0.5)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measles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SI (P=0.22), I² (P=0.00), β(t)·I² (P=0.00)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chickenpox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SI (P=0.00), β(t)·I² (P=0.09)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rubella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S² (P=0.00), β(t)·I² (P=0.11)</w:t>
            </w:r>
          </w:p>
        </w:tc>
      </w:tr>
    </w:tbl>
    <w:p>
      <w:pPr>
        <w:spacing w:after="120"/>
      </w:pPr>
      <w:r>
        <w:rPr>
          <w:b/>
          <w:color w:val="2E5C8A"/>
          <w:sz w:val="28"/>
        </w:rPr>
        <w:t>13.5 Closing Statement</w:t>
      </w:r>
    </w:p>
    <w:p>
      <w:r>
        <w:rPr>
          <w:b w:val="0"/>
          <w:i w:val="0"/>
        </w:rPr>
        <w:t>Plain SINDy proves that mass-action incidence and seasonal forcing -- the two pillars of compartmental epidemic modelling -- can be rediscovered from data alone. This endsem upgrade goes one layer deeper: it also tells us HOW MUCH WE SHOULD TRUST that rediscovery. Inclusion probabilities flag the chickenpox β(t)·I² coefficient as spurious without needing the ad-hoc PSD switch the paper resorts to; IQR bands show where discovery is sharp (mass-action) and where it is uncertain (the S² novelty). The regime-shift test then closes the loop by showing the discovered model generalises out of sample. Together these are the three deliverables a healthcare ML pipeline needs to be trusted: an answer, an uncertainty, and an external-validity check.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SINDy Paper – Complete Visual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23"/>
    <w:lvlOverride w:ilvl="0">
      <w:startOverride w:val="1"/>
    </w:lvlOverride>
  </w:num>
  <w:num w:numId="7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028517b10368e4dff97eb1dc8dd270bc238e98.png"/><Relationship Id="rId10" Type="http://schemas.openxmlformats.org/officeDocument/2006/relationships/image" Target="media/961880f11fc8bca183f0c4dedb8a1a8cbd5a7a91.png"/><Relationship Id="rId11" Type="http://schemas.openxmlformats.org/officeDocument/2006/relationships/image" Target="media/d36a0f4cc3be24b28d8f19d198e40cc2a545c7fd.png"/><Relationship Id="rId12" Type="http://schemas.openxmlformats.org/officeDocument/2006/relationships/image" Target="media/59d915530aab9ad2ec2e9f259986fd7c59d98830.png"/><Relationship Id="rId13" Type="http://schemas.openxmlformats.org/officeDocument/2006/relationships/fontTable" Target="fontTable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2026-04-02T17:06:58.732Z</dcterms:created>
  <dcterms:modified xsi:type="dcterms:W3CDTF">2026-04-02T17:06:58.732Z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