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0DAF1" w14:textId="77777777" w:rsidR="00C9224C" w:rsidRPr="00C802B8" w:rsidRDefault="208D8DE8" w:rsidP="00D26AC7">
      <w:pPr>
        <w:pStyle w:val="dcapa"/>
        <w:rPr>
          <w:b/>
          <w:bCs/>
        </w:rPr>
      </w:pPr>
      <w:r>
        <w:rPr>
          <w:b/>
          <w:bCs/>
        </w:rPr>
        <w:t>UNIVERSIDADE VIRTUAL DO ESTADO DE SÃO PAULO</w:t>
      </w:r>
    </w:p>
    <w:p w14:paraId="587DFC9F" w14:textId="7EC18121" w:rsidR="00C9224C" w:rsidRPr="006B311C" w:rsidRDefault="208D8DE8" w:rsidP="00D26AC7">
      <w:pPr>
        <w:pStyle w:val="dcapa"/>
      </w:pPr>
    </w:p>
    <w:p w14:paraId="672A6659" w14:textId="77777777" w:rsidR="00C9224C" w:rsidRDefault="00C9224C" w:rsidP="00D26AC7">
      <w:pPr>
        <w:pStyle w:val="dcapa"/>
      </w:pPr>
    </w:p>
    <w:p w14:paraId="0A37501D" w14:textId="77777777" w:rsidR="00C9224C" w:rsidRDefault="00C9224C" w:rsidP="00D26AC7">
      <w:pPr>
        <w:pStyle w:val="dcapa"/>
      </w:pPr>
    </w:p>
    <w:p w14:paraId="5DAB6C7B" w14:textId="77777777" w:rsidR="00C9224C" w:rsidRDefault="00C9224C" w:rsidP="00D26AC7">
      <w:pPr>
        <w:pStyle w:val="dcapa"/>
      </w:pPr>
    </w:p>
    <w:p w14:paraId="02EB378F" w14:textId="77777777" w:rsidR="00C9224C" w:rsidRDefault="00C9224C" w:rsidP="00D26AC7">
      <w:pPr>
        <w:pStyle w:val="dcapa"/>
      </w:pPr>
    </w:p>
    <w:p w14:paraId="6A05A809" w14:textId="77777777" w:rsidR="00C9224C" w:rsidRDefault="00C9224C" w:rsidP="00D26AC7">
      <w:pPr>
        <w:pStyle w:val="dcapa"/>
      </w:pPr>
    </w:p>
    <w:p w14:paraId="5A39BBE3" w14:textId="77777777" w:rsidR="00C9224C" w:rsidRDefault="00C9224C" w:rsidP="00D26AC7">
      <w:pPr>
        <w:pStyle w:val="dcapa"/>
      </w:pPr>
    </w:p>
    <w:p w14:paraId="311B9967" w14:textId="77777777" w:rsidR="00C9224C" w:rsidRPr="00096A5C" w:rsidRDefault="00C9224C" w:rsidP="00D26AC7">
      <w:pPr>
        <w:pStyle w:val="dcapa"/>
      </w:pPr>
      <w:r>
        <w:t>Andrea Nina Maciel Cressoni – RA 24222953 – Polo Araras</w:t>
      </w:r>
    </w:p>
    <w:p w14:paraId="68AD69D4" w14:textId="77777777" w:rsidR="00C9224C" w:rsidRPr="00096A5C" w:rsidRDefault="00C9224C" w:rsidP="00D26AC7">
      <w:pPr>
        <w:pStyle w:val="dcapa"/>
        <w:rPr>
          <w:lang w:val="en-AU"/>
        </w:rPr>
      </w:pPr>
      <w:r>
        <w:rPr>
          <w:lang w:val="en-AU"/>
        </w:rPr>
        <w:t>Tiago Antonio Ferreira – RA 23220708 – Polo Rio Claro</w:t>
      </w:r>
    </w:p>
    <w:p w14:paraId="41C8F396" w14:textId="77777777" w:rsidR="00C9224C" w:rsidRPr="009C1B24" w:rsidRDefault="00C9224C" w:rsidP="00D26AC7">
      <w:pPr>
        <w:pStyle w:val="dcapa"/>
        <w:rPr>
          <w:lang w:val="en-AU"/>
        </w:rPr>
      </w:pPr>
      <w:r>
        <w:t>João Maike Silva de Jesus – RA 24209375 – Polo Santa Gertrudes</w:t>
      </w:r>
    </w:p>
    <w:p w14:paraId="72A3D3EC" w14:textId="77777777" w:rsidR="00C9224C" w:rsidRDefault="00C9224C" w:rsidP="00D26AC7">
      <w:pPr>
        <w:pStyle w:val="dcapa"/>
        <w:rPr>
          <w:lang w:val="en-AU"/>
        </w:rPr>
      </w:pPr>
      <w:r>
        <w:t>Davi Corrêa Bueno – RA 23224112 – Polo Rio Claro</w:t>
      </w:r>
    </w:p>
    <w:p w14:paraId="0D0B940D" w14:textId="77777777" w:rsidR="00C9224C" w:rsidRDefault="00C9224C" w:rsidP="00D26AC7">
      <w:pPr>
        <w:pStyle w:val="dcapa"/>
        <w:rPr>
          <w:lang w:val="en-AU"/>
        </w:rPr>
      </w:pPr>
      <w:r>
        <w:t>Pedro Luiz Simonetti Filho – RA 24211664 – Polo Rio Claro</w:t>
      </w:r>
    </w:p>
    <w:p w14:paraId="0E27B00A" w14:textId="77777777" w:rsidR="00C9224C" w:rsidRPr="009C1B24" w:rsidRDefault="00C9224C" w:rsidP="00D26AC7">
      <w:pPr>
        <w:pStyle w:val="dcapa"/>
        <w:rPr>
          <w:lang w:val="en-AU"/>
        </w:rPr>
      </w:pPr>
      <w:r>
        <w:t>Roger Luiz de Paula – RA 24203760 – Polo Sumaré</w:t>
      </w:r>
    </w:p>
    <w:p w14:paraId="60061E4C" w14:textId="77777777" w:rsidR="00C9224C" w:rsidRPr="009C1B24" w:rsidRDefault="00C9224C" w:rsidP="00D26AC7">
      <w:pPr>
        <w:pStyle w:val="dcapa"/>
        <w:rPr>
          <w:lang w:val="en-AU"/>
        </w:rPr>
      </w:pPr>
      <w:r>
        <w:t>Jeferson Ferraz Ferreira – RA 1902243 – Polo Cordeirópolis</w:t>
      </w:r>
    </w:p>
    <w:p w14:paraId="44EAFD9C" w14:textId="77777777" w:rsidR="00C9224C" w:rsidRPr="009C1B24" w:rsidRDefault="00C9224C" w:rsidP="00D26AC7">
      <w:pPr>
        <w:pStyle w:val="dcapa"/>
        <w:rPr>
          <w:lang w:val="en-AU"/>
        </w:rPr>
      </w:pPr>
      <w:r>
        <w:t>Diego Gustavo Franco – RA 23208003 – Polo Rio Claro</w:t>
      </w:r>
    </w:p>
    <w:p w14:paraId="4B94D5A5" w14:textId="77777777" w:rsidR="00C9224C" w:rsidRPr="009C1B24" w:rsidRDefault="00C9224C" w:rsidP="00D26AC7">
      <w:pPr>
        <w:pStyle w:val="dcapa"/>
        <w:rPr>
          <w:lang w:val="en-AU"/>
        </w:rPr>
      </w:pPr>
    </w:p>
    <w:p w14:paraId="3DEEC669" w14:textId="77777777" w:rsidR="00C9224C" w:rsidRPr="009C1B24" w:rsidRDefault="00C9224C" w:rsidP="00D26AC7">
      <w:pPr>
        <w:pStyle w:val="dcapa"/>
        <w:rPr>
          <w:lang w:val="en-AU"/>
        </w:rPr>
      </w:pPr>
    </w:p>
    <w:p w14:paraId="5B492E8B" w14:textId="77777777" w:rsidR="00C9224C" w:rsidRPr="00C802B8" w:rsidRDefault="00C9224C" w:rsidP="00D26AC7">
      <w:pPr>
        <w:pStyle w:val="dcapa"/>
        <w:rPr>
          <w:b/>
          <w:bCs/>
        </w:rPr>
      </w:pPr>
      <w:r>
        <w:rPr>
          <w:b/>
          <w:bCs/>
        </w:rPr>
        <w:t>Flowity Content Engine 2.0</w:t>
      </w:r>
    </w:p>
    <w:p w14:paraId="126A12FC" w14:textId="77777777" w:rsidR="00C9224C" w:rsidRPr="00096A5C" w:rsidRDefault="00C9224C" w:rsidP="00D26AC7">
      <w:pPr>
        <w:pStyle w:val="dcapa"/>
        <w:rPr>
          <w:lang w:val="en-AU"/>
        </w:rPr>
      </w:pPr>
      <w:proofErr w:type="spellStart"/>
      <w:proofErr w:type="spellEnd"/>
    </w:p>
    <w:p w14:paraId="3656B9AB" w14:textId="77777777" w:rsidR="00C9224C" w:rsidRPr="009C1B24" w:rsidRDefault="00C9224C" w:rsidP="00D26AC7">
      <w:pPr>
        <w:pStyle w:val="dcapa"/>
        <w:rPr>
          <w:lang w:val="en-AU"/>
        </w:rPr>
      </w:pPr>
    </w:p>
    <w:p w14:paraId="45FB0818" w14:textId="77777777" w:rsidR="00C9224C" w:rsidRPr="009C1B24" w:rsidRDefault="00C9224C" w:rsidP="00D26AC7">
      <w:pPr>
        <w:pStyle w:val="dcapa"/>
        <w:rPr>
          <w:lang w:val="en-AU"/>
        </w:rPr>
      </w:pPr>
    </w:p>
    <w:p w14:paraId="049F31CB" w14:textId="77777777" w:rsidR="00C9224C" w:rsidRDefault="00C9224C" w:rsidP="00D26AC7">
      <w:pPr>
        <w:pStyle w:val="dcapa"/>
        <w:rPr>
          <w:lang w:val="en-AU"/>
        </w:rPr>
      </w:pPr>
    </w:p>
    <w:p w14:paraId="53128261" w14:textId="77777777" w:rsidR="00C9224C" w:rsidRDefault="00C9224C" w:rsidP="00D26AC7">
      <w:pPr>
        <w:pStyle w:val="dcapa"/>
        <w:rPr>
          <w:lang w:val="en-AU"/>
        </w:rPr>
      </w:pPr>
    </w:p>
    <w:p w14:paraId="62486C05" w14:textId="77777777" w:rsidR="00C9224C" w:rsidRPr="009C1B24" w:rsidRDefault="00C9224C" w:rsidP="00D26AC7">
      <w:pPr>
        <w:pStyle w:val="dcapa"/>
        <w:rPr>
          <w:lang w:val="en-AU"/>
        </w:rPr>
      </w:pPr>
    </w:p>
    <w:p w14:paraId="4B99056E" w14:textId="77777777" w:rsidR="00C9224C" w:rsidRDefault="00C9224C" w:rsidP="00D26AC7">
      <w:pPr>
        <w:pStyle w:val="dcapa"/>
        <w:rPr>
          <w:lang w:val="en-AU"/>
        </w:rPr>
      </w:pPr>
    </w:p>
    <w:p w14:paraId="7899A7D5" w14:textId="77777777" w:rsidR="00B23BC8" w:rsidRDefault="00B23BC8" w:rsidP="00D26AC7">
      <w:pPr>
        <w:pStyle w:val="dcapa"/>
        <w:rPr>
          <w:lang w:val="en-AU"/>
        </w:rPr>
      </w:pPr>
    </w:p>
    <w:p w14:paraId="5B886F04" w14:textId="77777777" w:rsidR="00B23BC8" w:rsidRDefault="00B23BC8" w:rsidP="00D26AC7">
      <w:pPr>
        <w:pStyle w:val="dcapa"/>
        <w:rPr>
          <w:lang w:val="en-AU"/>
        </w:rPr>
      </w:pPr>
    </w:p>
    <w:p w14:paraId="57D414C5" w14:textId="77777777" w:rsidR="00B23BC8" w:rsidRDefault="00B23BC8" w:rsidP="00D26AC7">
      <w:pPr>
        <w:pStyle w:val="dcapa"/>
        <w:rPr>
          <w:lang w:val="en-AU"/>
        </w:rPr>
      </w:pPr>
    </w:p>
    <w:p w14:paraId="39276FD7" w14:textId="77777777" w:rsidR="00B23BC8" w:rsidRPr="00B23BC8" w:rsidRDefault="00B23BC8" w:rsidP="00D26AC7">
      <w:pPr>
        <w:pStyle w:val="dcapa"/>
        <w:rPr>
          <w:lang w:val="en-AU"/>
        </w:rPr>
      </w:pPr>
    </w:p>
    <w:p w14:paraId="1299C43A" w14:textId="77777777" w:rsidR="00C9224C" w:rsidRPr="00B23BC8" w:rsidRDefault="00C9224C" w:rsidP="00D26AC7">
      <w:pPr>
        <w:pStyle w:val="dcapa"/>
        <w:rPr>
          <w:lang w:val="en-US"/>
        </w:rPr>
      </w:pPr>
    </w:p>
    <w:p w14:paraId="4DDBEF00" w14:textId="77777777" w:rsidR="00C9224C" w:rsidRPr="00B23BC8" w:rsidRDefault="00C9224C" w:rsidP="00D26AC7">
      <w:pPr>
        <w:pStyle w:val="dcapa"/>
        <w:rPr>
          <w:lang w:val="en-US"/>
        </w:rPr>
      </w:pPr>
    </w:p>
    <w:p w14:paraId="3461D779" w14:textId="77777777" w:rsidR="00C9224C" w:rsidRPr="00B23BC8" w:rsidRDefault="00C9224C" w:rsidP="00D26AC7">
      <w:pPr>
        <w:pStyle w:val="dcapa"/>
        <w:rPr>
          <w:lang w:val="en-US"/>
        </w:rPr>
      </w:pPr>
    </w:p>
    <w:p w14:paraId="3CF2D8B6" w14:textId="77777777" w:rsidR="00C9224C" w:rsidRPr="00B23BC8" w:rsidRDefault="00C9224C" w:rsidP="00D26AC7">
      <w:pPr>
        <w:pStyle w:val="dcapa"/>
        <w:rPr>
          <w:lang w:val="en-US"/>
        </w:rPr>
      </w:pPr>
    </w:p>
    <w:p w14:paraId="0FB78278" w14:textId="77777777" w:rsidR="00C9224C" w:rsidRPr="00B23BC8" w:rsidRDefault="00C9224C" w:rsidP="00D26AC7">
      <w:pPr>
        <w:pStyle w:val="dcapa"/>
        <w:rPr>
          <w:lang w:val="en-US"/>
        </w:rPr>
      </w:pPr>
    </w:p>
    <w:p w14:paraId="62EBF3C5" w14:textId="2B5A2BBA" w:rsidR="00C9224C" w:rsidRPr="00B23BC8" w:rsidRDefault="00C9224C" w:rsidP="00D26AC7">
      <w:pPr>
        <w:pStyle w:val="dcapa"/>
        <w:rPr>
          <w:lang w:val="en-US"/>
        </w:rPr>
      </w:pPr>
    </w:p>
    <w:p w14:paraId="22E18751" w14:textId="144B99B5" w:rsidR="3B7BDFA7" w:rsidRPr="00B23BC8" w:rsidRDefault="3B7BDFA7" w:rsidP="00D26AC7">
      <w:pPr>
        <w:pStyle w:val="dcapa"/>
        <w:rPr>
          <w:lang w:val="en-US"/>
        </w:rPr>
      </w:pPr>
    </w:p>
    <w:p w14:paraId="1266EF89" w14:textId="6EC97C65" w:rsidR="3B7BDFA7" w:rsidRPr="00B23BC8" w:rsidRDefault="3B7BDFA7" w:rsidP="00D26AC7">
      <w:pPr>
        <w:pStyle w:val="dcapa"/>
        <w:rPr>
          <w:lang w:val="en-US"/>
        </w:rPr>
      </w:pPr>
    </w:p>
    <w:p w14:paraId="3E2B3946" w14:textId="58CCA9BA" w:rsidR="3B7BDFA7" w:rsidRPr="00B23BC8" w:rsidRDefault="3B7BDFA7" w:rsidP="00D26AC7">
      <w:pPr>
        <w:pStyle w:val="dcapa"/>
        <w:rPr>
          <w:lang w:val="en-US"/>
        </w:rPr>
      </w:pPr>
    </w:p>
    <w:p w14:paraId="005C1D54" w14:textId="62D5BC13" w:rsidR="3B7BDFA7" w:rsidRPr="00B23BC8" w:rsidRDefault="3B7BDFA7" w:rsidP="00D26AC7">
      <w:pPr>
        <w:pStyle w:val="dcapa"/>
        <w:rPr>
          <w:lang w:val="en-US"/>
        </w:rPr>
      </w:pPr>
    </w:p>
    <w:p w14:paraId="41174B43" w14:textId="30DF6EF3" w:rsidR="3B7BDFA7" w:rsidRPr="00B23BC8" w:rsidRDefault="3B7BDFA7" w:rsidP="00D26AC7">
      <w:pPr>
        <w:pStyle w:val="dcapa"/>
        <w:rPr>
          <w:lang w:val="en-US"/>
        </w:rPr>
      </w:pPr>
    </w:p>
    <w:p w14:paraId="1CFE0166" w14:textId="77777777" w:rsidR="00C9224C" w:rsidRDefault="00C9224C" w:rsidP="00D26AC7">
      <w:pPr>
        <w:pStyle w:val="dcapa"/>
      </w:pPr>
      <w:r>
        <w:t>Rio Claro - SP</w:t>
      </w:r>
    </w:p>
    <w:p w14:paraId="5E069588" w14:textId="77777777" w:rsidR="00C9224C" w:rsidRDefault="00C9224C" w:rsidP="00D26AC7">
      <w:pPr>
        <w:pStyle w:val="dcapa"/>
      </w:pPr>
      <w:r>
        <w:t>2026</w:t>
      </w:r>
    </w:p>
    <w:p w14:paraId="5021D4E5" w14:textId="77777777" w:rsidR="00C9224C" w:rsidRPr="00C802B8" w:rsidRDefault="208D8DE8" w:rsidP="00D26AC7">
      <w:pPr>
        <w:pStyle w:val="dcapa"/>
        <w:rPr>
          <w:b/>
          <w:bCs/>
        </w:rPr>
      </w:pPr>
      <w:r>
        <w:rPr>
          <w:b/>
          <w:bCs/>
        </w:rPr>
        <w:t>UNIVERSIDADE VIRTUAL DO ESTADO DE SÃO PAULO</w:t>
      </w:r>
    </w:p>
    <w:p w14:paraId="1BD2BC25" w14:textId="4FF97247" w:rsidR="00C9224C" w:rsidRPr="006B311C" w:rsidRDefault="208D8DE8" w:rsidP="00D26AC7">
      <w:pPr>
        <w:pStyle w:val="dcapa"/>
      </w:pPr>
    </w:p>
    <w:p w14:paraId="2946DB82" w14:textId="77777777" w:rsidR="00C9224C" w:rsidRPr="00096A5C" w:rsidRDefault="00C9224C" w:rsidP="00D26AC7">
      <w:pPr>
        <w:pStyle w:val="dcapa"/>
        <w:rPr>
          <w:sz w:val="32"/>
          <w:szCs w:val="32"/>
        </w:rPr>
      </w:pPr>
    </w:p>
    <w:p w14:paraId="5997CC1D" w14:textId="77777777" w:rsidR="00C9224C" w:rsidRDefault="00C9224C" w:rsidP="00D26AC7">
      <w:pPr>
        <w:pStyle w:val="dcapa"/>
      </w:pPr>
    </w:p>
    <w:p w14:paraId="110FFD37" w14:textId="77777777" w:rsidR="00C9224C" w:rsidRDefault="00C9224C" w:rsidP="00D26AC7">
      <w:pPr>
        <w:pStyle w:val="dcapa"/>
      </w:pPr>
    </w:p>
    <w:p w14:paraId="6B699379" w14:textId="77777777" w:rsidR="00C9224C" w:rsidRDefault="00C9224C" w:rsidP="00D26AC7">
      <w:pPr>
        <w:pStyle w:val="dcapa"/>
      </w:pPr>
    </w:p>
    <w:p w14:paraId="3FE9F23F" w14:textId="77777777" w:rsidR="00C9224C" w:rsidRDefault="00C9224C" w:rsidP="00D26AC7">
      <w:pPr>
        <w:pStyle w:val="dcapa"/>
      </w:pPr>
    </w:p>
    <w:p w14:paraId="1F72F646" w14:textId="77777777" w:rsidR="00C9224C" w:rsidRDefault="00C9224C" w:rsidP="00D26AC7">
      <w:pPr>
        <w:pStyle w:val="dcapa"/>
      </w:pPr>
    </w:p>
    <w:p w14:paraId="08CE6F91" w14:textId="77777777" w:rsidR="00C9224C" w:rsidRDefault="00C9224C" w:rsidP="00D26AC7">
      <w:pPr>
        <w:pStyle w:val="dcapa"/>
      </w:pPr>
    </w:p>
    <w:p w14:paraId="61CDCEAD" w14:textId="77777777" w:rsidR="00C9224C" w:rsidRDefault="00C9224C" w:rsidP="00D26AC7">
      <w:pPr>
        <w:pStyle w:val="dcapa"/>
      </w:pPr>
    </w:p>
    <w:p w14:paraId="6BB9E253" w14:textId="77777777" w:rsidR="00C9224C" w:rsidRDefault="00C9224C" w:rsidP="00D26AC7">
      <w:pPr>
        <w:pStyle w:val="dcapa"/>
      </w:pPr>
    </w:p>
    <w:p w14:paraId="23DE523C" w14:textId="77777777" w:rsidR="00C9224C" w:rsidRDefault="00C9224C" w:rsidP="00D26AC7">
      <w:pPr>
        <w:pStyle w:val="dcapa"/>
      </w:pPr>
    </w:p>
    <w:p w14:paraId="52E56223" w14:textId="77777777" w:rsidR="00C9224C" w:rsidRDefault="00C9224C" w:rsidP="00D26AC7">
      <w:pPr>
        <w:pStyle w:val="dcapa"/>
      </w:pPr>
    </w:p>
    <w:p w14:paraId="64FF8FCF" w14:textId="77777777" w:rsidR="00C9224C" w:rsidRPr="00C802B8" w:rsidRDefault="00C9224C" w:rsidP="00D26AC7">
      <w:pPr>
        <w:pStyle w:val="dcapa"/>
        <w:rPr>
          <w:b/>
          <w:bCs/>
          <w:color w:val="000000"/>
        </w:rPr>
      </w:pPr>
      <w:r>
        <w:rPr>
          <w:b/>
          <w:bCs/>
        </w:rPr>
        <w:t>Flowity Content Engine 2.0</w:t>
      </w:r>
    </w:p>
    <w:p w14:paraId="619014F2" w14:textId="77777777" w:rsidR="00C9224C" w:rsidRPr="00096A5C" w:rsidRDefault="00C9224C" w:rsidP="00D26AC7">
      <w:pPr>
        <w:pStyle w:val="dcapa"/>
        <w:rPr>
          <w:lang w:val="en-AU"/>
        </w:rPr>
      </w:pPr>
      <w:proofErr w:type="spellStart"/>
      <w:proofErr w:type="spellEnd"/>
    </w:p>
    <w:p w14:paraId="07547A01" w14:textId="77777777" w:rsidR="00C9224C" w:rsidRPr="00096A5C" w:rsidRDefault="00C9224C" w:rsidP="00D26AC7">
      <w:pPr>
        <w:pStyle w:val="dcapa"/>
        <w:rPr>
          <w:lang w:val="en-AU"/>
        </w:rPr>
      </w:pPr>
    </w:p>
    <w:p w14:paraId="5043CB0F" w14:textId="77777777" w:rsidR="00C9224C" w:rsidRPr="009C1B24" w:rsidRDefault="00C9224C" w:rsidP="00D26AC7">
      <w:pPr>
        <w:pStyle w:val="dcapa"/>
        <w:rPr>
          <w:lang w:val="en-AU"/>
        </w:rPr>
      </w:pPr>
    </w:p>
    <w:p w14:paraId="07459315" w14:textId="77777777" w:rsidR="00C9224C" w:rsidRDefault="00C9224C" w:rsidP="00D26AC7">
      <w:pPr>
        <w:pStyle w:val="dcapa"/>
        <w:rPr>
          <w:lang w:val="en-AU"/>
        </w:rPr>
      </w:pPr>
    </w:p>
    <w:p w14:paraId="6537F28F" w14:textId="77777777" w:rsidR="00C9224C" w:rsidRPr="009C1B24" w:rsidRDefault="00C9224C" w:rsidP="00D26AC7">
      <w:pPr>
        <w:pStyle w:val="dcapa"/>
        <w:rPr>
          <w:lang w:val="en-AU"/>
        </w:rPr>
      </w:pPr>
    </w:p>
    <w:p w14:paraId="29D6B04F" w14:textId="6F336CF2" w:rsidR="00C9224C" w:rsidRPr="009C1B24" w:rsidRDefault="00C9224C" w:rsidP="00D26AC7">
      <w:pPr>
        <w:pStyle w:val="dcapa"/>
        <w:rPr>
          <w:lang w:val="en-AU"/>
        </w:rPr>
      </w:pPr>
    </w:p>
    <w:p w14:paraId="0A6959E7" w14:textId="22E78464" w:rsidR="00C9224C" w:rsidRPr="009C1B24" w:rsidRDefault="00C9224C" w:rsidP="00D26AC7">
      <w:pPr>
        <w:pStyle w:val="dcapa"/>
        <w:rPr>
          <w:lang w:val="en-AU"/>
        </w:rPr>
      </w:pPr>
    </w:p>
    <w:p w14:paraId="734E117A" w14:textId="77777777" w:rsidR="00C9224C" w:rsidRDefault="00C9224C" w:rsidP="00D963B3">
      <w:pPr>
        <w:pStyle w:val="ecapadescrio"/>
      </w:pPr>
      <w:r>
        <w:t>Relatório Técnico-Científico apresentado na disciplina de Projeto Integrador para o curso de Bacharelado em Tecnologia da Informação da Universidade Virtual do Estado de São Paulo (UNIVESP).</w:t>
      </w:r>
    </w:p>
    <w:p w14:paraId="6DFB9E20" w14:textId="77777777" w:rsidR="00C9224C" w:rsidRDefault="00C9224C" w:rsidP="00D26AC7">
      <w:pPr>
        <w:pStyle w:val="dcapa"/>
      </w:pPr>
    </w:p>
    <w:p w14:paraId="18406BAD" w14:textId="77777777" w:rsidR="00C802B8" w:rsidRDefault="00C802B8" w:rsidP="00D26AC7">
      <w:pPr>
        <w:pStyle w:val="dcapa"/>
      </w:pPr>
    </w:p>
    <w:p w14:paraId="6BF1AE8E" w14:textId="77777777" w:rsidR="00D963B3" w:rsidRDefault="00D963B3" w:rsidP="00D26AC7">
      <w:pPr>
        <w:pStyle w:val="dcapa"/>
      </w:pPr>
    </w:p>
    <w:p w14:paraId="70DF9E56" w14:textId="77777777" w:rsidR="00C9224C" w:rsidRDefault="00C9224C" w:rsidP="00D26AC7">
      <w:pPr>
        <w:pStyle w:val="dcapa"/>
      </w:pPr>
    </w:p>
    <w:p w14:paraId="44E871BC" w14:textId="77777777" w:rsidR="00C9224C" w:rsidRDefault="00C9224C" w:rsidP="00D26AC7">
      <w:pPr>
        <w:pStyle w:val="dcapa"/>
      </w:pPr>
    </w:p>
    <w:p w14:paraId="144A5D23" w14:textId="77777777" w:rsidR="00C9224C" w:rsidRDefault="00C9224C" w:rsidP="00D26AC7">
      <w:pPr>
        <w:pStyle w:val="dcapa"/>
      </w:pPr>
    </w:p>
    <w:p w14:paraId="738610EB" w14:textId="77777777" w:rsidR="00C9224C" w:rsidRDefault="00C9224C" w:rsidP="00D26AC7">
      <w:pPr>
        <w:pStyle w:val="dcapa"/>
      </w:pPr>
    </w:p>
    <w:p w14:paraId="637805D2" w14:textId="77777777" w:rsidR="00C9224C" w:rsidRDefault="00C9224C" w:rsidP="00D26AC7">
      <w:pPr>
        <w:pStyle w:val="dcapa"/>
      </w:pPr>
    </w:p>
    <w:p w14:paraId="463F29E8" w14:textId="77777777" w:rsidR="00C9224C" w:rsidRDefault="00C9224C" w:rsidP="00D26AC7">
      <w:pPr>
        <w:pStyle w:val="dcapa"/>
      </w:pPr>
    </w:p>
    <w:p w14:paraId="3A0FF5F2" w14:textId="08C74D21" w:rsidR="00C9224C" w:rsidRDefault="00C9224C" w:rsidP="00D26AC7">
      <w:pPr>
        <w:pStyle w:val="dcapa"/>
      </w:pPr>
    </w:p>
    <w:p w14:paraId="5630AD66" w14:textId="77777777" w:rsidR="00C9224C" w:rsidRDefault="00C9224C" w:rsidP="00D26AC7">
      <w:pPr>
        <w:pStyle w:val="dcapa"/>
      </w:pPr>
    </w:p>
    <w:p w14:paraId="6967BEAC" w14:textId="77777777" w:rsidR="006B311C" w:rsidRDefault="006B311C" w:rsidP="00D26AC7">
      <w:pPr>
        <w:pStyle w:val="dcapa"/>
      </w:pPr>
    </w:p>
    <w:p w14:paraId="555E2D7B" w14:textId="77777777" w:rsidR="006B311C" w:rsidRDefault="006B311C" w:rsidP="00D26AC7">
      <w:pPr>
        <w:pStyle w:val="dcapa"/>
      </w:pPr>
    </w:p>
    <w:p w14:paraId="3AA90B3E" w14:textId="77777777" w:rsidR="006B311C" w:rsidRDefault="006B311C" w:rsidP="00D26AC7">
      <w:pPr>
        <w:pStyle w:val="dcapa"/>
      </w:pPr>
    </w:p>
    <w:p w14:paraId="3F0D0BC5" w14:textId="77777777" w:rsidR="006B311C" w:rsidRDefault="006B311C" w:rsidP="00D26AC7">
      <w:pPr>
        <w:pStyle w:val="dcapa"/>
      </w:pPr>
    </w:p>
    <w:p w14:paraId="0CA5C4EE" w14:textId="77777777" w:rsidR="00C9224C" w:rsidRDefault="00C9224C" w:rsidP="00D26AC7">
      <w:pPr>
        <w:pStyle w:val="dcapa"/>
      </w:pPr>
      <w:r>
        <w:t>Rio Claro - SP</w:t>
      </w:r>
    </w:p>
    <w:p w14:paraId="60EAE9A4" w14:textId="77777777" w:rsidR="00C9224C" w:rsidRDefault="00C9224C" w:rsidP="00D26AC7">
      <w:pPr>
        <w:pStyle w:val="dcapa"/>
      </w:pPr>
      <w:r>
        <w:t>2026</w:t>
      </w:r>
    </w:p>
    <w:p w14:paraId="2BA226A1" w14:textId="77777777" w:rsidR="00C9224C" w:rsidRDefault="00C9224C" w:rsidP="00C9224C">
      <w:pPr>
        <w:spacing w:after="160" w:line="259" w:lineRule="auto"/>
      </w:pPr>
      <w:r>
        <w:br w:type="page"/>
      </w:r>
    </w:p>
    <w:p w14:paraId="54AF5758" w14:textId="77777777" w:rsidR="00C9224C" w:rsidRDefault="00C9224C" w:rsidP="00A52E19">
      <w:pPr>
        <w:pStyle w:val="atexto-base"/>
        <w:rPr>
          <w:b/>
        </w:rPr>
      </w:pPr>
      <w:r>
        <w:t xml:space="preserve">CRESSONI, Andrea Nina Maciel; FERREIRA, Tiago Antonio; SILVA DE JESUS, João Maike; BUENO, Davi Corrêa; SIMONETTI FILHO, Pedro Luiz; DE PAULA, Roger Luiz; FERREIRA, Jeferson Ferraz; FRANCO, Diego Gustavo. </w:t>
      </w:r>
      <w:r>
        <w:rPr>
          <w:b/>
        </w:rPr>
        <w:t>Flowity Content Engine 2.0.</w:t>
      </w:r>
      <w:r>
        <w:t xml:space="preserve"> 24f. Relatório Técnico-Científico. Bacharelado em Tecnologia da Informação – </w:t>
      </w:r>
      <w:r>
        <w:rPr>
          <w:b/>
        </w:rPr>
        <w:t>Universidade Virtual do Estado de São Paulo</w:t>
      </w:r>
      <w:r>
        <w:t>. Tutor: Weliton do Carmo Rodrigues. Polo Rio Claro, 2026.</w:t>
      </w:r>
    </w:p>
    <w:p w14:paraId="66204FF1" w14:textId="77777777" w:rsidR="00C9224C" w:rsidRDefault="00C9224C" w:rsidP="00A52E19">
      <w:pPr>
        <w:pStyle w:val="atexto-base"/>
        <w:rPr>
          <w:b/>
        </w:rPr>
      </w:pPr>
    </w:p>
    <w:p w14:paraId="343337A4" w14:textId="77777777" w:rsidR="00C9224C" w:rsidRDefault="00C9224C" w:rsidP="00A52E19">
      <w:pPr>
        <w:pStyle w:val="atexto-base"/>
        <w:rPr>
          <w:b/>
        </w:rPr>
      </w:pPr>
      <w:r>
        <w:rPr>
          <w:b/>
        </w:rPr>
        <w:t>RESUMO</w:t>
      </w:r>
    </w:p>
    <w:p w14:paraId="15C4E5CB" w14:textId="77777777" w:rsidR="00C9224C" w:rsidRDefault="00C9224C" w:rsidP="00BB7815">
      <w:pPr>
        <w:pStyle w:val="fResumoReferncias"/>
      </w:pPr>
      <w:r>
        <w:t>Este relatório parcial apresenta a continuidade do Flowity Content Engine, aplicação web desenvolvida no Projeto Integrador I para organizar referências e gerar o texto das publicações da empresa Flowity AI. O uso contínuo da ferramenta mostrou que o gargalo da empresa se deslocou para a produção visual: imagens e carrosséis ainda são montados em uma ferramenta de design externa, o que consome de trinta a sessenta minutos por publicação, e o texto alternativo das imagens é escrito à mão ou esquecido, o que exclui pessoas com deficiência visual. O objetivo do Projeto Integrador II é evoluir o protótipo para uma aplicação implantada em nuvem, integrada por API, capaz de produzir texto, imagem única e carrossel para o LinkedIn com acessibilidade por padrão, análise de dados das publicações e testes automatizados. A metodologia segue as etapas ouvir, criar e implementar: a comunidade externa foi ouvida por meio de um roteiro de cinco perguntas e de reuniões on-line contínuas; o escopo foi convertido em dezesseis tarefas rastreadas no GitHub; e a implementação ocorre por tarefas isoladas, com revisão por pares antes da integração. Como resultados preliminares, foram definidos a arquitetura da nova versão, o modelo de dados das mídias e das métricas e a API de imagens, já integrados ao repositório, e encontram-se em implementação a geração de imagem e de carrossel, o texto alternativo obrigatório, a implantação em nuvem, o painel de análise e a medição do ganho de tempo. A próxima etapa é apresentar a solução inicial à empresa e coletar sugestões para a solução final.</w:t>
      </w:r>
    </w:p>
    <w:p w14:paraId="6B62F1B3" w14:textId="77777777" w:rsidR="00C9224C" w:rsidRDefault="00C9224C" w:rsidP="00A52E19">
      <w:pPr>
        <w:pStyle w:val="atexto-base"/>
      </w:pPr>
    </w:p>
    <w:p w14:paraId="3599A0C9" w14:textId="0CC45DE2" w:rsidR="00C9224C" w:rsidRDefault="208D8DE8" w:rsidP="00A52E19">
      <w:pPr>
        <w:pStyle w:val="atexto-base"/>
      </w:pPr>
      <w:r>
        <w:rPr>
          <w:b/>
          <w:bCs/>
        </w:rPr>
        <w:t>PALAVRAS-CHAVE:</w:t>
      </w:r>
      <w:r>
        <w:rPr>
          <w:b/>
          <w:bCs/>
        </w:rPr>
        <w:t xml:space="preserve"> Acessibilidade digital; Texto alternativo; Aplicação web; API; Flowity AI.</w:t>
      </w:r>
    </w:p>
    <w:p w14:paraId="02F2C34E" w14:textId="77777777" w:rsidR="00C9224C" w:rsidRDefault="00C9224C" w:rsidP="00A52E19">
      <w:pPr>
        <w:pStyle w:val="atexto-base"/>
      </w:pPr>
    </w:p>
    <w:p w14:paraId="680A4E5D" w14:textId="77777777" w:rsidR="00C9224C" w:rsidRDefault="00C9224C" w:rsidP="00C9224C">
      <w:pPr>
        <w:spacing w:after="160" w:line="259" w:lineRule="auto"/>
        <w:ind w:left="-30" w:firstLine="597"/>
      </w:pPr>
      <w:r>
        <w:br w:type="page"/>
      </w:r>
    </w:p>
    <w:p w14:paraId="3681B271" w14:textId="77777777" w:rsidR="00C9224C" w:rsidRDefault="00C9224C" w:rsidP="00BE56D9">
      <w:pPr>
        <w:pStyle w:val="atexto-base"/>
        <w:rPr>
          <w:b/>
        </w:rPr>
      </w:pPr>
      <w:r>
        <w:rPr>
          <w:b/>
        </w:rPr>
        <w:t>LISTA DE ILUSTRAÇÕES</w:t>
      </w:r>
    </w:p>
    <w:p w14:paraId="1134E7D4" w14:textId="389386DF" w:rsidR="00C9224C" w:rsidRDefault="00C9224C" w:rsidP="00235B32">
      <w:pPr>
        <w:pStyle w:val="Sumrio1"/>
        <w:rPr>
          <w:smallCaps/>
        </w:rPr>
      </w:pPr>
      <w:r>
        <w:rPr>
          <w:smallCaps/>
        </w:rPr>
        <w:t>Figura 1 – Arquitetura da solução em implementação</w:t>
        <w:tab/>
        <w:t>16</w:t>
      </w:r>
    </w:p>
    <w:p w14:paraId="0D30E0E5" w14:textId="0EA9EC43" w:rsidR="00C9224C" w:rsidRDefault="00C9224C" w:rsidP="00235B32">
      <w:pPr>
        <w:pStyle w:val="Sumrio1"/>
        <w:rPr>
          <w:sz w:val="28"/>
          <w:szCs w:val="28"/>
        </w:rPr>
      </w:pPr>
      <w:r>
        <w:rPr>
          <w:smallCaps/>
        </w:rPr>
        <w:t>Figura 2 – Imagem única gerada pela aplicação a partir do texto de um post</w:t>
        <w:tab/>
        <w:t>18</w:t>
      </w:r>
    </w:p>
    <w:p w14:paraId="0D30E0E5" w14:textId="0EA9EC43" w:rsidR="00C9224C" w:rsidRDefault="00C9224C" w:rsidP="00235B32">
      <w:pPr>
        <w:pStyle w:val="Sumrio1"/>
        <w:rPr>
          <w:sz w:val="28"/>
          <w:szCs w:val="28"/>
        </w:rPr>
      </w:pPr>
      <w:r>
        <w:rPr>
          <w:smallCaps/>
        </w:rPr>
        <w:t>Figura 3 – Primeiro slide de um carrossel gerado pela aplicação</w:t>
        <w:tab/>
        <w:t>19</w:t>
      </w:r>
    </w:p>
    <w:p w14:paraId="0D30E0E5" w14:textId="0EA9EC43" w:rsidR="00C9224C" w:rsidRDefault="00C9224C" w:rsidP="00235B32">
      <w:pPr>
        <w:pStyle w:val="Sumrio1"/>
        <w:rPr>
          <w:sz w:val="28"/>
          <w:szCs w:val="28"/>
        </w:rPr>
      </w:pPr>
      <w:r>
        <w:rPr>
          <w:smallCaps/>
        </w:rPr>
        <w:t>Figura 4 – Envio de imagem com texto alternativo obrigatório</w:t>
        <w:tab/>
        <w:t>20</w:t>
      </w:r>
    </w:p>
    <w:p w14:paraId="0D30E0E5" w14:textId="0EA9EC43" w:rsidR="00C9224C" w:rsidRDefault="00C9224C" w:rsidP="00235B32">
      <w:pPr>
        <w:pStyle w:val="Sumrio1"/>
        <w:rPr>
          <w:sz w:val="28"/>
          <w:szCs w:val="28"/>
        </w:rPr>
      </w:pPr>
      <w:r>
        <w:rPr>
          <w:smallCaps/>
        </w:rPr>
        <w:t>Figura 5 – Montagem do carrossel com pré-visualização do slide</w:t>
        <w:tab/>
        <w:t>21</w:t>
      </w:r>
    </w:p>
    <w:p w14:paraId="0D30E0E5" w14:textId="0EA9EC43" w:rsidR="00C9224C" w:rsidRDefault="00C9224C" w:rsidP="00235B32">
      <w:pPr>
        <w:pStyle w:val="Sumrio1"/>
        <w:rPr>
          <w:sz w:val="28"/>
          <w:szCs w:val="28"/>
        </w:rPr>
      </w:pPr>
      <w:r>
        <w:rPr>
          <w:smallCaps/>
        </w:rPr>
        <w:t>Figura 6 – Painel de análise de engajamento (dados de demonstração)</w:t>
        <w:tab/>
        <w:t>22</w:t>
      </w:r>
    </w:p>
    <w:p w14:paraId="769D0D3C" w14:textId="77777777" w:rsidR="00C9224C" w:rsidRDefault="00C9224C" w:rsidP="00BE56D9">
      <w:pPr>
        <w:pStyle w:val="atexto-base"/>
        <w:rPr>
          <w:b/>
        </w:rPr>
      </w:pPr>
    </w:p>
    <w:p w14:paraId="54CD245A" w14:textId="77777777" w:rsidR="00C9224C" w:rsidRDefault="00C9224C" w:rsidP="00BE56D9">
      <w:pPr>
        <w:pStyle w:val="atexto-base"/>
      </w:pPr>
      <w:r>
        <w:br w:type="page"/>
      </w:r>
    </w:p>
    <w:p w14:paraId="53F29C1C" w14:textId="77777777" w:rsidR="00C9224C" w:rsidRDefault="00C9224C" w:rsidP="00BE56D9">
      <w:pPr>
        <w:pStyle w:val="atexto-base"/>
        <w:rPr>
          <w:b/>
        </w:rPr>
      </w:pPr>
      <w:r>
        <w:rPr>
          <w:b/>
        </w:rPr>
        <w:t>LISTA DE TABELAS</w:t>
      </w:r>
    </w:p>
    <w:p w14:paraId="0020E98F" w14:textId="6826981B" w:rsidR="00C9224C" w:rsidRDefault="00C9224C" w:rsidP="00244505">
      <w:pPr>
        <w:pStyle w:val="Sumrio1"/>
      </w:pPr>
      <w:r>
        <w:t>Tabela 1 – Tempo por etapa de uma publicação antes da aplicação</w:t>
        <w:tab/>
        <w:t>10</w:t>
      </w:r>
    </w:p>
    <w:p w14:paraId="108D1A4D" w14:textId="7E21C513" w:rsidR="00C9224C" w:rsidRDefault="00C9224C" w:rsidP="00244505">
      <w:pPr>
        <w:pStyle w:val="Sumrio1"/>
      </w:pPr>
      <w:r>
        <w:t>Tabela 2 – Necessidades levantadas e requisitos correspondentes</w:t>
        <w:tab/>
        <w:t>13</w:t>
      </w:r>
    </w:p>
    <w:p w14:paraId="108D1A4D" w14:textId="7E21C513" w:rsidR="00C9224C" w:rsidRDefault="00C9224C" w:rsidP="00244505">
      <w:pPr>
        <w:pStyle w:val="Sumrio1"/>
      </w:pPr>
      <w:r>
        <w:t>Tabela 3 – Tarefas do PI 2 e situação na data deste relatório</w:t>
        <w:tab/>
        <w:t>17</w:t>
      </w:r>
    </w:p>
    <w:p w14:paraId="36FEB5B0" w14:textId="77777777" w:rsidR="00C9224C" w:rsidRDefault="00C9224C" w:rsidP="00BE56D9">
      <w:pPr>
        <w:pStyle w:val="atexto-base"/>
      </w:pPr>
    </w:p>
    <w:p w14:paraId="30D7AA69" w14:textId="77777777" w:rsidR="00C9224C" w:rsidRDefault="00C9224C" w:rsidP="00BE56D9">
      <w:pPr>
        <w:pStyle w:val="atexto-base"/>
      </w:pPr>
      <w:r>
        <w:br w:type="page"/>
      </w:r>
    </w:p>
    <w:p w14:paraId="44A1A359" w14:textId="77777777" w:rsidR="000075A3" w:rsidRDefault="00C9224C" w:rsidP="00C9224C">
      <w:pPr>
        <w:jc w:val="center"/>
        <w:rPr>
          <w:b/>
        </w:rPr>
      </w:pPr>
      <w:r>
        <w:rPr>
          <w:b/>
        </w:rPr>
        <w:t>SUMÁRIO</w:t>
      </w:r>
    </w:p>
    <w:p w14:paraId="7A3B429F" w14:textId="77777777" w:rsidR="00710BC6" w:rsidRDefault="00C9224C" w:rsidP="00710BC6">
      <w:pPr>
        <w:ind w:left="-30" w:firstLine="30"/>
        <w:jc w:val="center"/>
      </w:pPr>
    </w:p>
    <w:p w14:paraId="7196D064" w14:textId="77777777" w:rsidR="00710BC6" w:rsidRDefault="00710BC6" w:rsidP="00A36CBF">
      <w:pPr>
        <w:pStyle w:val="atexto-base"/>
      </w:pPr>
    </w:p>
    <w:p w14:paraId="79B6934F" w14:textId="3B1B588B" w:rsidR="00F80F33" w:rsidRDefault="006079D1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r>
        <w:t>1 INTRODUÇÃO</w:t>
        <w:tab/>
        <w:t>7</w:t>
      </w:r>
    </w:p>
    <w:p w14:paraId="6C3E482A" w14:textId="4BC5FA8C" w:rsidR="00F80F33" w:rsidRDefault="00F80F33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r>
        <w:t>2 DESENVOLVIMENTO</w:t>
        <w:tab/>
        <w:t>9</w:t>
      </w:r>
    </w:p>
    <w:p w14:paraId="2C6366E0" w14:textId="4EE1B827" w:rsidR="00F80F33" w:rsidRDefault="00F80F33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t>2.1 Objetivos</w:t>
        <w:tab/>
        <w:t>9</w:t>
      </w:r>
    </w:p>
    <w:p w14:paraId="7C6E5D56" w14:textId="0394EE13" w:rsidR="00F80F33" w:rsidRDefault="00F80F33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t>2.2 Justificativa e delimitação do problema</w:t>
        <w:tab/>
        <w:t>9</w:t>
      </w:r>
    </w:p>
    <w:p w14:paraId="30FFB4C3" w14:textId="2945A51E" w:rsidR="00F80F33" w:rsidRDefault="00F80F33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t>2.3 Fundamentação teórica</w:t>
        <w:tab/>
        <w:t>11</w:t>
      </w:r>
    </w:p>
    <w:p w14:paraId="5CC674E1" w14:textId="1BAB2799" w:rsidR="00F80F33" w:rsidRDefault="00F80F33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t>2.4 Metodologia</w:t>
        <w:tab/>
        <w:t>12</w:t>
      </w:r>
    </w:p>
    <w:p w14:paraId="447EC5FD" w14:textId="3B9FEA39" w:rsidR="00F80F33" w:rsidRDefault="00F80F33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t>2.5 Resultados preliminares: solução inicial</w:t>
        <w:tab/>
        <w:t>14</w:t>
      </w:r>
    </w:p>
    <w:p w14:paraId="4E7E441D" w14:textId="51C98672" w:rsidR="00F80F33" w:rsidRDefault="00F80F33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  <w:sectPr w:rsidR="00C9224C" w:rsidSect="001E279A">
          <w:pgSz w:w="11900" w:h="16840" w:code="9"/>
          <w:pgMar w:top="1701" w:right="1134" w:bottom="1134" w:left="1701" w:header="709" w:footer="709" w:gutter="0"/>
          <w:cols w:space="708"/>
          <w:docGrid w:linePitch="360"/>
        </w:sectPr>
      </w:pPr>
      <w:r>
        <w:t>REFERÊNCIAS</w:t>
        <w:tab/>
        <w:t>23</w:t>
      </w:r>
    </w:p>
    <w:p>
      <w:pPr>
        <w:pStyle w:val="1ttulonivel1"/>
      </w:pPr>
      <w:r>
        <w:t>1 INTRODUÇÃO</w:t>
      </w:r>
    </w:p>
    <w:p>
      <w:pPr>
        <w:pStyle w:val="atexto-base"/>
      </w:pPr>
      <w:r>
        <w:t>No Projeto Integrador I, o grupo desenvolveu o Flowity Content Engine, uma aplicação web que centraliza referências e ideias de conteúdo em um banco de dados PostgreSQL e, a partir delas, gera textos de publicações com apoio de inteligência artificial local, além de organizar as postagens em um calendário editorial. O protótipo foi desenvolvido para a Flowity AI, empresa que presta serviços de conteúdo estratégico, e testado pelos colaboradores da empresa no encerramento da disciplina.</w:t>
      </w:r>
    </w:p>
    <w:p>
      <w:pPr>
        <w:pStyle w:val="atexto-base"/>
      </w:pPr>
      <w:r>
        <w:t>Entre maio e agosto de 2026, a aplicação passou a ser usada de forma contínua, e esse uso revelou um problema que não aparecia no diagnóstico inicial. Nenhuma publicação profissional no LinkedIn é feita apenas de texto: cada post é acompanhado de uma imagem única ou de um carrossel de slides. Na prática, o texto gerado na aplicação ainda é copiado para uma ferramenta de design externa, onde a peça visual é montada, exportada, renomeada e enviada manualmente à rede social. Parte do tempo economizado na escrita é devolvida na montagem visual.</w:t>
      </w:r>
    </w:p>
    <w:p>
      <w:pPr>
        <w:pStyle w:val="atexto-base"/>
      </w:pPr>
      <w:r>
        <w:t xml:space="preserve">Esse fluxo manual também produz um problema de acessibilidade. O texto alternativo das imagens, quando escrito, é redigido às pressas no momento da publicação e, com frequência, é esquecido. Para uma pessoa cega que utiliza leitor de tela, um carrossel de sete slides publicado sem descrição equivale a uma publicação vazia. O problema não é isolado: Recchia </w:t>
      </w:r>
      <w:r>
        <w:rPr>
          <w:i/>
        </w:rPr>
        <w:t>et al.</w:t>
      </w:r>
      <w:r>
        <w:t xml:space="preserve"> (2025) relatam que menos de 1% dos sites brasileiros é aprovado em testes básicos de acessibilidade e que cerca de 79,4% dos profissionais de tecnologia da informação nunca receberam treinamento formal sobre o tema.</w:t>
      </w:r>
    </w:p>
    <w:p>
      <w:pPr>
        <w:pStyle w:val="atexto-base"/>
      </w:pPr>
      <w:r>
        <w:t>Diante disso, o tema específico deste trabalho é o desenvolvimento de uma aplicação web em nuvem para a produção de conteúdo profissional completo e acessível. O tema se relaciona diretamente ao tema norteador da Univesp, que trata do desenvolvimento de soluções tecnológicas para problemas reais identificados em comunidades externas, e situa-se na interseção entre desenvolvimento web, banco de dados, engenharia de software e acessibilidade digital.</w:t>
      </w:r>
    </w:p>
    <w:p>
      <w:pPr>
        <w:pStyle w:val="atexto-base"/>
      </w:pPr>
      <w:r>
        <w:t>O objeto do trabalho é a nova versão da aplicação, denominada Flowity Content Engine 2.0, que passa a gerar imagens e carrosséis a partir do texto já produzido, exige texto alternativo em toda imagem, oferece API documentada, roda em nuvem, registra métricas das publicações e é coberta por testes automatizados. A motivação para manter a mesma comunidade externa é a possibilidade de comparar o antes e o depois na mesma organização. Este relatório apresenta os objetivos, a justificativa, a fundamentação teórica, a metodologia e os resultados preliminares da solução inicial, que se encontra em implementação.</w:t>
      </w:r>
    </w:p>
    <w:p>
      <w:pPr>
        <w:pStyle w:val="1ttulonivel1"/>
        <w:pageBreakBefore/>
      </w:pPr>
      <w:r>
        <w:t>2 DESENVOLVIMENTO</w:t>
      </w:r>
    </w:p>
    <w:p>
      <w:pPr>
        <w:pStyle w:val="2ttulonivel2"/>
      </w:pPr>
      <w:r>
        <w:t>2.1 OBJETIVOS</w:t>
      </w:r>
    </w:p>
    <w:p>
      <w:pPr>
        <w:pStyle w:val="atexto-base"/>
        <w:keepNext/>
        <w:ind w:firstLine="0"/>
      </w:pPr>
      <w:r>
        <w:rPr>
          <w:b/>
        </w:rPr>
        <w:t>Objetivo geral</w:t>
      </w:r>
    </w:p>
    <w:p>
      <w:pPr>
        <w:pStyle w:val="atexto-base"/>
      </w:pPr>
      <w:r>
        <w:t>Evoluir o protótipo desenvolvido no Projeto Integrador I para uma aplicação web implantada em nuvem, integrada por API, capaz de produzir a peça de conteúdo completa para o LinkedIn, ou seja, texto, imagem única e carrossel, com acessibilidade assegurada por padrão.</w:t>
      </w:r>
    </w:p>
    <w:p>
      <w:pPr>
        <w:pStyle w:val="atexto-base"/>
        <w:keepNext/>
        <w:ind w:firstLine="0"/>
      </w:pPr>
      <w:r>
        <w:rPr>
          <w:b/>
        </w:rPr>
        <w:t>Objetivos específicos</w:t>
      </w:r>
    </w:p>
    <w:p>
      <w:pPr>
        <w:pStyle w:val="btextocombullets"/>
      </w:pPr>
      <w:r>
        <w:t>Levantar, junto à comunidade externa, as necessidades surgidas com o uso contínuo do protótipo do PI 1;</w:t>
      </w:r>
    </w:p>
    <w:p>
      <w:pPr>
        <w:pStyle w:val="btextocombullets"/>
      </w:pPr>
      <w:r>
        <w:t>Gerar imagens únicas e carrosséis dentro da própria aplicação, a partir do texto já produzido;</w:t>
      </w:r>
    </w:p>
    <w:p>
      <w:pPr>
        <w:pStyle w:val="btextocombullets"/>
      </w:pPr>
      <w:r>
        <w:t>Tornar obrigatório o texto alternativo de toda imagem e garantir navegação por teclado, foco visível, contraste e estrutura semântica conforme a WCAG 2.2, nível AA;</w:t>
      </w:r>
    </w:p>
    <w:p>
      <w:pPr>
        <w:pStyle w:val="btextocombullets"/>
      </w:pPr>
      <w:r>
        <w:t>Implantar a solução em nuvem, com API documentada no padrão OpenAPI e banco de dados relacional;</w:t>
      </w:r>
    </w:p>
    <w:p>
      <w:pPr>
        <w:pStyle w:val="btextocombullets"/>
      </w:pPr>
      <w:r>
        <w:t>Registrar e analisar métricas de engajamento das publicações, com alertas de limite configurável;</w:t>
      </w:r>
    </w:p>
    <w:p>
      <w:pPr>
        <w:pStyle w:val="btextocombullets"/>
      </w:pPr>
      <w:r>
        <w:t>Verificar a qualidade da solução por meio de testes automatizados de back-end e de front-end e de revisão por pares no controle de versão;</w:t>
      </w:r>
    </w:p>
    <w:p>
      <w:pPr>
        <w:pStyle w:val="btextocombullets"/>
      </w:pPr>
      <w:r>
        <w:t>Avaliar o ganho de tempo por publicação, comparando o fluxo manual, o protótipo do PI 1 e a nova versão.</w:t>
      </w:r>
    </w:p>
    <w:p>
      <w:pPr>
        <w:pStyle w:val="2ttulonivel2"/>
      </w:pPr>
      <w:r>
        <w:t>2.2 JUSTIFICATIVA E DELIMITAÇÃO DO PROBLEMA</w:t>
      </w:r>
    </w:p>
    <w:p>
      <w:pPr>
        <w:pStyle w:val="atexto-base"/>
      </w:pPr>
      <w:r>
        <w:t>A partir da escuta da comunidade externa, o grupo formulou a seguinte questão de pesquisa: como ampliar uma aplicação web de gestão de conteúdo para que produza, em um único fluxo, publicações completas, com texto, imagem e carrossel, acessíveis por padrão a pessoas com deficiência visual e com menor tempo de produção?</w:t>
      </w:r>
    </w:p>
    <w:p>
      <w:pPr>
        <w:pStyle w:val="atexto-base"/>
      </w:pPr>
      <w:r>
        <w:t xml:space="preserve">A relevância social do trabalho decorre da legislação e da realidade de uso. A Lei Brasileira de Inclusão estabelece a acessibilidade como direito da pessoa com deficiência (BRASIL, 2015), e a Lei nº 14.126/2021 passou a classificar a visão monocular como deficiência visual, o que amplia o público atingido pela ausência de texto alternativo (BRASIL, 2021). Pereira </w:t>
      </w:r>
      <w:r>
        <w:rPr>
          <w:i/>
        </w:rPr>
        <w:t>et al.</w:t>
      </w:r>
      <w:r>
        <w:t xml:space="preserve"> (2021), em levantamento com 258 usuários de redes sociais e entrevistas com 20 deles, observaram que usuários sem deficiência em geral desconhecem a possibilidade e os benefícios de publicar conteúdo acessível, e que os recursos oferecidos pelas grandes plataformas ainda não bastam. Por isso, a proposta é transformar a acessibilidade em regra do sistema, e não em uma opção que depende da lembrança de quem publica.</w:t>
      </w:r>
    </w:p>
    <w:p>
      <w:pPr>
        <w:pStyle w:val="atexto-base"/>
      </w:pPr>
      <w:r>
        <w:t>A contribuição para o local do projeto pode ser dimensionada. Com base nos registros de maio de 2026, a empresa reconstituiu o tempo gasto em cada etapa de uma publicação antes da aplicação, conforme a Tabela 1. Com o protótipo do PI 1, as três primeiras etapas passaram a somar cerca de 15 a 25 minutos, mas a montagem da peça visual e a publicação continuaram idênticas. É nessa metade do processo que o PI 2 atua.</w:t>
      </w:r>
    </w:p>
    <w:p>
      <w:pPr>
        <w:pStyle w:val="atexto-base"/>
        <w:keepNext/>
        <w:ind w:firstLine="0"/>
        <w:jc w:val="center"/>
      </w:pPr>
      <w:r>
        <w:rPr>
          <w:sz w:val="20"/>
        </w:rPr>
        <w:t>Tabela 1 – Tempo por etapa de uma publicação antes da aplicação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2268"/>
        <w:gridCol w:w="3628"/>
      </w:tblGrid>
      <w:tr>
        <w:trPr>
          <w:tblHeader/>
          <w:cantSplit/>
        </w:trPr>
        <w:tc>
          <w:tcPr>
            <w:tcW w:type="dxa" w:w="3175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2268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b/>
                <w:sz w:val="20"/>
              </w:rPr>
              <w:t>Tempo antes da aplicação</w:t>
            </w:r>
          </w:p>
        </w:tc>
        <w:tc>
          <w:tcPr>
            <w:tcW w:type="dxa" w:w="3628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b/>
                <w:sz w:val="20"/>
              </w:rPr>
              <w:t>Onde acontecia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Encontrar a referência ou ideia</w:t>
            </w:r>
          </w:p>
        </w:tc>
        <w:tc>
          <w:tcPr>
            <w:tcW w:type="dxa" w:w="2268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10 a 20 min</w:t>
            </w:r>
          </w:p>
        </w:tc>
        <w:tc>
          <w:tcPr>
            <w:tcW w:type="dxa" w:w="3628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Anotações, mensagens e itens salvos</w:t>
            </w:r>
          </w:p>
        </w:tc>
      </w:tr>
      <w:tr>
        <w:trPr>
          <w:cantSplit/>
        </w:trPr>
        <w:tc>
          <w:tcPr>
            <w:tcW w:type="dxa" w:w="3175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Escrever o rascunho do post</w:t>
            </w:r>
          </w:p>
        </w:tc>
        <w:tc>
          <w:tcPr>
            <w:tcW w:type="dxa" w:w="2268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25 a 40 min</w:t>
            </w:r>
          </w:p>
        </w:tc>
        <w:tc>
          <w:tcPr>
            <w:tcW w:type="dxa" w:w="3628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Documento em branco</w:t>
            </w:r>
          </w:p>
        </w:tc>
      </w:tr>
      <w:tr>
        <w:trPr>
          <w:cantSplit/>
        </w:trPr>
        <w:tc>
          <w:tcPr>
            <w:tcW w:type="dxa" w:w="3175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Revisar e ajustar o tom</w:t>
            </w:r>
          </w:p>
        </w:tc>
        <w:tc>
          <w:tcPr>
            <w:tcW w:type="dxa" w:w="2268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10 min</w:t>
            </w:r>
          </w:p>
        </w:tc>
        <w:tc>
          <w:tcPr>
            <w:tcW w:type="dxa" w:w="3628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Documento</w:t>
            </w:r>
          </w:p>
        </w:tc>
      </w:tr>
      <w:tr>
        <w:trPr>
          <w:cantSplit/>
        </w:trPr>
        <w:tc>
          <w:tcPr>
            <w:tcW w:type="dxa" w:w="3175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Montar a imagem ou o carrossel</w:t>
            </w:r>
          </w:p>
        </w:tc>
        <w:tc>
          <w:tcPr>
            <w:tcW w:type="dxa" w:w="2268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30 a 60 min</w:t>
            </w:r>
          </w:p>
        </w:tc>
        <w:tc>
          <w:tcPr>
            <w:tcW w:type="dxa" w:w="3628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Ferramenta de design externa</w:t>
            </w:r>
          </w:p>
        </w:tc>
      </w:tr>
      <w:tr>
        <w:trPr>
          <w:cantSplit/>
        </w:trPr>
        <w:tc>
          <w:tcPr>
            <w:tcW w:type="dxa" w:w="3175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Programar ou publicar</w:t>
            </w:r>
          </w:p>
        </w:tc>
        <w:tc>
          <w:tcPr>
            <w:tcW w:type="dxa" w:w="2268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5 a 10 min</w:t>
            </w:r>
          </w:p>
        </w:tc>
        <w:tc>
          <w:tcPr>
            <w:tcW w:type="dxa" w:w="3628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LinkedIn</w:t>
            </w:r>
          </w:p>
        </w:tc>
      </w:tr>
      <w:tr>
        <w:trPr>
          <w:cantSplit/>
        </w:trPr>
        <w:tc>
          <w:tcPr>
            <w:tcW w:type="dxa" w:w="3175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b/>
                <w:sz w:val="20"/>
              </w:rPr>
              <w:t>Total por publicação</w:t>
            </w:r>
          </w:p>
        </w:tc>
        <w:tc>
          <w:tcPr>
            <w:tcW w:type="dxa" w:w="2268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b/>
                <w:sz w:val="20"/>
              </w:rPr>
              <w:t>80 a 140 min</w:t>
            </w:r>
          </w:p>
        </w:tc>
        <w:tc>
          <w:tcPr>
            <w:tcW w:type="dxa" w:w="3628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b/>
                <w:sz w:val="20"/>
              </w:rPr>
              <w:t>–</w:t>
            </w:r>
          </w:p>
        </w:tc>
      </w:tr>
    </w:tbl>
    <w:p>
      <w:pPr>
        <w:pStyle w:val="atexto-base"/>
        <w:spacing w:after="240"/>
        <w:ind w:firstLine="0"/>
        <w:jc w:val="center"/>
      </w:pPr>
      <w:r>
        <w:rPr>
          <w:sz w:val="20"/>
        </w:rPr>
        <w:t>Fonte: Flowity AI, reconstituição a partir dos registros de maio de 2026.</w:t>
      </w:r>
    </w:p>
    <w:p>
      <w:pPr>
        <w:pStyle w:val="atexto-base"/>
      </w:pPr>
      <w:r>
        <w:t>Do ponto de vista acadêmico, o projeto integra conhecimentos das disciplinas de desenvolvimento web, banco de dados, programação, engenharia de software e análise de dados, aplicados a um problema real e com resultados que serão medidos junto à própria comunidade.</w:t>
      </w:r>
    </w:p>
    <w:p>
      <w:pPr>
        <w:pStyle w:val="atexto-base"/>
      </w:pPr>
      <w:r>
        <w:t>Quanto à delimitação, o trabalho se concentra no LinkedIn, canal principal da empresa, com imagem única e carrossel em PDF; a plataforma X entra apenas na comparação de métricas. Duas necessidades levantadas ficaram fora do escopo do semestre e serão registradas como trabalho futuro: a busca e os filtros avançados na biblioteca de referências e a publicação automática pela API do LinkedIn, que depende de aprovação de aplicativo junto à plataforma.</w:t>
      </w:r>
    </w:p>
    <w:p>
      <w:pPr>
        <w:pStyle w:val="2ttulonivel2"/>
      </w:pPr>
      <w:r>
        <w:t>2.3 FUNDAMENTAÇÃO TEÓRICA</w:t>
      </w:r>
    </w:p>
    <w:p>
      <w:pPr>
        <w:pStyle w:val="atexto-base"/>
      </w:pPr>
      <w:r>
        <w:t>A acessibilidade digital parte de um marco legal e de um conjunto de diretrizes técnicas. No Brasil, a Lei Brasileira de Inclusão garante à pessoa com deficiência o acesso à informação e à comunicação (BRASIL, 2015), e o Modelo de Acessibilidade em Governo Eletrônico (eMAG) orienta a aplicação dessas exigências em ambientes digitais (BRASIL, 2014). O eMAG é mantido nesta fundamentação, apesar de publicado em 2014, por ser o modelo oficial vigente, sem versão posterior. No plano internacional, a WCAG 2.2 organiza os requisitos em quatro princípios, perceptível, operável, compreensível e robusto, e define critérios de sucesso verificáveis (WORLD WIDE WEB CONSORTIUM, 2023). O projeto adota os critérios 1.1.1 (conteúdo não textual), 1.4.1 (uso de cor), 1.4.3 (contraste mínimo de 4,5:1), 2.1.1 (teclado), 2.4.1 (ignorar blocos), 2.4.7 (foco visível), 2.4.11 (foco não obscurecido), 2.5.8 (tamanho do alvo) e 4.1.2 (nome, função e valor).</w:t>
      </w:r>
    </w:p>
    <w:p>
      <w:pPr>
        <w:pStyle w:val="atexto-base"/>
      </w:pPr>
      <w:r>
        <w:t xml:space="preserve">A distância entre as diretrizes e a prática, no Brasil, é documentada na literatura. Em revisão sistemática nas bases Lilacs, SciELO e Google Acadêmico, Recchia </w:t>
      </w:r>
      <w:r>
        <w:rPr>
          <w:i/>
        </w:rPr>
        <w:t>et al.</w:t>
      </w:r>
      <w:r>
        <w:t xml:space="preserve"> (2025) não encontraram artigo específico sobre a WCAG 2.2 nas bases tradicionais e identificaram, nos estudos analisados, problemas recorrentes de contraste inadequado, ausência de navegação por teclado e ausência de texto alternativo em elementos gráficos. Esses três problemas correspondem exatamente aos requisitos de acessibilidade escolhidos para o PI 2.</w:t>
      </w:r>
    </w:p>
    <w:p>
      <w:pPr>
        <w:pStyle w:val="atexto-base"/>
      </w:pPr>
      <w:r>
        <w:t>A forma de avaliar a acessibilidade também é discutida. Souza e Almeida (2021) avaliaram os sites das bibliotecas das universidades federais de Minas Gerais com um validador automático e com heurísticas e observaram que um site com 85,21% de conformidade na avaliação automática não implementava nenhum dos sete requisitos verificados manualmente. Os autores concluem que a combinação de avaliação automática e manual é necessária para uma análise completa, o que fundamenta a decisão do grupo de associar ferramentas automáticas à verificação manual por teclado e por leitor de tela.</w:t>
      </w:r>
    </w:p>
    <w:p>
      <w:pPr>
        <w:pStyle w:val="atexto-base"/>
      </w:pPr>
      <w:r>
        <w:t>Sobre o conteúdo do texto alternativo, Stangl, Morris e Gurari (2020) entrevistaram 28 pessoas cegas ou com baixa visão e mostraram que as informações desejadas em uma descrição de imagem variam conforme o tipo de plataforma em que a imagem aparece, como sites de notícias, redes sociais ou comércio eletrônico. Por isso, a aplicação sugere uma descrição a partir do próprio conteúdo do slide, mas exige que o usuário a revise e permite editá-la, em vez de gerar um texto fixo.</w:t>
      </w:r>
    </w:p>
    <w:p>
      <w:pPr>
        <w:pStyle w:val="atexto-base"/>
      </w:pPr>
      <w:r>
        <w:t>Os recursos interativos da interface, como a pré-visualização do envio de imagens, a reordenação dos slides e o carrossel, são implementados em JavaScript, linguagem que permite manipular a estrutura da página e responder a eventos do usuário (HAVERBEKE, 2024). Para que esses componentes sejam utilizáveis por teclado e por leitor de tela, o grupo segue os padrões de projeto do guia WAI-ARIA, que descreve a estrutura, os papéis e o comportamento esperados de componentes como carrosséis e janelas modais (WORLD WIDE WEB CONSORTIUM, 2025).</w:t>
      </w:r>
    </w:p>
    <w:p>
      <w:pPr>
        <w:pStyle w:val="atexto-base"/>
      </w:pPr>
      <w:r>
        <w:t xml:space="preserve">No back-end, a API é construída com o </w:t>
      </w:r>
      <w:r>
        <w:rPr>
          <w:i/>
        </w:rPr>
        <w:t>framework</w:t>
      </w:r>
      <w:r>
        <w:t xml:space="preserve"> FastAPI, que gera automaticamente a documentação dos </w:t>
      </w:r>
      <w:r>
        <w:rPr>
          <w:i/>
        </w:rPr>
        <w:t>endpoints</w:t>
      </w:r>
      <w:r>
        <w:t xml:space="preserve"> (RAMÍREZ, 2026) segundo a especificação OpenAPI, padrão que descreve operações, parâmetros, respostas e erros de uma API de forma legível por pessoas e por máquinas (OPENAPI INITIATIVE, 2024). Esse contrato documentado permite que o front-end e o back-end sejam desenvolvidos em paralelo por integrantes diferentes.</w:t>
      </w:r>
    </w:p>
    <w:p>
      <w:pPr>
        <w:pStyle w:val="atexto-base"/>
      </w:pPr>
      <w:r>
        <w:t>A qualidade do produto é tratada com base na ISO/IEC 25010:2023, cuja revisão reorganiza as características de qualidade e passa a tratar a capacidade de interação, que inclui a acessibilidade, de forma explícita (INTERNATIONAL ORGANIZATION FOR STANDARDIZATION, 2023). Pressman e Maxim (2021) destacam que os testes devem ser planejados desde o início e executados de forma sistemática, e não apenas ao final do desenvolvimento, o que orienta a adoção de testes automatizados a cada tarefa.</w:t>
      </w:r>
    </w:p>
    <w:p>
      <w:pPr>
        <w:pStyle w:val="atexto-base"/>
      </w:pPr>
      <w:r>
        <w:t xml:space="preserve">Por fim, o painel de análise de dados segue a recomendação de Knaflic (2020) de eliminar elementos que não comunicam informação e de não depender apenas da cor para transmitir significado, orientação que coincide com o critério 1.4.1 da WCAG. O controle de versão adota o fluxo de ramificação por tarefa e integração por </w:t>
      </w:r>
      <w:r>
        <w:rPr>
          <w:i/>
        </w:rPr>
        <w:t>pull request</w:t>
      </w:r>
      <w:r>
        <w:t xml:space="preserve"> descrito por Chacon e Straub (2014), obra mantida por ser publicada em edição on-line continuamente atualizada.</w:t>
      </w:r>
    </w:p>
    <w:p>
      <w:pPr>
        <w:pStyle w:val="2ttulonivel2"/>
      </w:pPr>
      <w:r>
        <w:t>2.4 METODOLOGIA</w:t>
      </w:r>
    </w:p>
    <w:p>
      <w:pPr>
        <w:pStyle w:val="atexto-base"/>
      </w:pPr>
      <w:r>
        <w:t>O projeto segue as etapas propostas pela Univesp para o Projeto Integrador: ouvir e interpretar o contexto, criar e prototipar, e implementar e testar.</w:t>
      </w:r>
    </w:p>
    <w:p>
      <w:pPr>
        <w:pStyle w:val="atexto-base"/>
        <w:keepNext/>
        <w:ind w:firstLine="0"/>
      </w:pPr>
      <w:r>
        <w:rPr>
          <w:b/>
        </w:rPr>
        <w:t>Ouvir e interpretar o contexto</w:t>
      </w:r>
    </w:p>
    <w:p>
      <w:pPr>
        <w:pStyle w:val="atexto-base"/>
      </w:pPr>
      <w:r>
        <w:t>A comunidade externa é a Flowity AI, empresa de estrutura enxuta que presta serviços de conteúdo estratégico para negócios e opera em regime remoto, com base administrativa em Araras, no interior de São Paulo. Em reunião realizada em 24/08/2026, o grupo reavaliou a escolha feita no PI 1 e decidiu, por consenso, manter a mesma comunidade, porque o protótipo já havia sido testado pelos colaboradores da empresa, o que permite comparar o antes e o depois na mesma organização.</w:t>
      </w:r>
    </w:p>
    <w:p>
      <w:pPr>
        <w:pStyle w:val="atexto-base"/>
      </w:pPr>
      <w:r>
        <w:t>Participam do projeto a fundadora e responsável técnica da empresa e os colaboradores que utilizam a aplicação no dia a dia. As informações iniciais foram coletadas em 02/09/2026, por meio de um roteiro de cinco perguntas elaborado a partir do Relatório Final do PI 1, respondido por escrito pela empresa, e de uma demonstração do fluxo de trabalho de ponta a ponta, por compartilhamento de tela. Os registros de maio de 2026 foram usados para reconstituir o tempo gasto em cada etapa antes da aplicação. Como a empresa não possui sede física de atendimento, as visitas acontecem on-line, no mesmo ambiente digital em que a equipe trabalha, e o grupo mantém reuniões on-line contínuas com a empresa para acompanhar a evolução do software.</w:t>
      </w:r>
    </w:p>
    <w:p>
      <w:pPr>
        <w:pStyle w:val="atexto-base"/>
        <w:keepNext/>
        <w:ind w:firstLine="0"/>
      </w:pPr>
      <w:r>
        <w:rPr>
          <w:b/>
        </w:rPr>
        <w:t>Criar e prototipar</w:t>
      </w:r>
    </w:p>
    <w:p>
      <w:pPr>
        <w:pStyle w:val="atexto-base"/>
      </w:pPr>
      <w:r>
        <w:t xml:space="preserve">As respostas da comunidade foram analisadas de forma qualitativa: cada necessidade relatada foi convertida em um requisito verificável, conforme a Tabela 2. Os requisitos foram então divididos em dezesseis tarefas, duas por integrante, cada uma com passo a passo e critérios de aceitação. As tarefas foram registradas como </w:t>
      </w:r>
      <w:r>
        <w:rPr>
          <w:i/>
        </w:rPr>
        <w:t>issues</w:t>
      </w:r>
      <w:r>
        <w:t xml:space="preserve"> no GitHub e acompanhadas em um quadro com as colunas "a fazer", "em andamento" e "concluído", distribuídas nas sete quinzenas do plano de ação. A arquitetura da nova versão foi definida antes do início da implementação e é apresentada na seção 2.5.</w:t>
      </w:r>
    </w:p>
    <w:p>
      <w:pPr>
        <w:pStyle w:val="atexto-base"/>
        <w:keepNext/>
        <w:ind w:firstLine="0"/>
        <w:jc w:val="center"/>
      </w:pPr>
      <w:r>
        <w:rPr>
          <w:sz w:val="20"/>
        </w:rPr>
        <w:t>Tabela 2 – Necessidades levantadas e requisitos correspondentes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685"/>
        <w:gridCol w:w="5386"/>
      </w:tblGrid>
      <w:tr>
        <w:trPr>
          <w:tblHeader/>
          <w:cantSplit/>
        </w:trPr>
        <w:tc>
          <w:tcPr>
            <w:tcW w:type="dxa" w:w="3685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b/>
                <w:sz w:val="20"/>
              </w:rPr>
              <w:t>Necessidade levantada</w:t>
            </w:r>
          </w:p>
        </w:tc>
        <w:tc>
          <w:tcPr>
            <w:tcW w:type="dxa" w:w="5386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b/>
                <w:sz w:val="20"/>
              </w:rPr>
              <w:t>Requisito no PI 2</w:t>
            </w:r>
          </w:p>
        </w:tc>
      </w:tr>
      <w:tr>
        <w:trPr>
          <w:cantSplit/>
        </w:trPr>
        <w:tc>
          <w:tcPr>
            <w:tcW w:type="dxa" w:w="3685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Produção visual fora da aplicação</w:t>
            </w:r>
          </w:p>
        </w:tc>
        <w:tc>
          <w:tcPr>
            <w:tcW w:type="dxa" w:w="5386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Geração de imagem única e de carrossel dentro do sistema</w:t>
            </w:r>
          </w:p>
        </w:tc>
      </w:tr>
      <w:tr>
        <w:trPr>
          <w:cantSplit/>
        </w:trPr>
        <w:tc>
          <w:tcPr>
            <w:tcW w:type="dxa" w:w="3685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Texto alternativo esquecido</w:t>
            </w:r>
          </w:p>
        </w:tc>
        <w:tc>
          <w:tcPr>
            <w:tcW w:type="dxa" w:w="5386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Campo obrigatório, validado pela API e pelo banco de dados</w:t>
            </w:r>
          </w:p>
        </w:tc>
      </w:tr>
      <w:tr>
        <w:trPr>
          <w:cantSplit/>
        </w:trPr>
        <w:tc>
          <w:tcPr>
            <w:tcW w:type="dxa" w:w="3685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Exclusão de pessoas com deficiência</w:t>
            </w:r>
          </w:p>
        </w:tc>
        <w:tc>
          <w:tcPr>
            <w:tcW w:type="dxa" w:w="5386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Conformidade com a WCAG 2.2 AA: teclado, foco, contraste e semântica</w:t>
            </w:r>
          </w:p>
        </w:tc>
      </w:tr>
      <w:tr>
        <w:trPr>
          <w:cantSplit/>
        </w:trPr>
        <w:tc>
          <w:tcPr>
            <w:tcW w:type="dxa" w:w="3685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Ganho de tempo não comprovado</w:t>
            </w:r>
          </w:p>
        </w:tc>
        <w:tc>
          <w:tcPr>
            <w:tcW w:type="dxa" w:w="5386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Protocolo de medição com linha de base e tempo por publicação</w:t>
            </w:r>
          </w:p>
        </w:tc>
      </w:tr>
      <w:tr>
        <w:trPr>
          <w:cantSplit/>
        </w:trPr>
        <w:tc>
          <w:tcPr>
            <w:tcW w:type="dxa" w:w="3685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Falta de leitura dos resultados</w:t>
            </w:r>
          </w:p>
        </w:tc>
        <w:tc>
          <w:tcPr>
            <w:tcW w:type="dxa" w:w="5386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Painel de análise de dados e alerta com limite configurável</w:t>
            </w:r>
          </w:p>
        </w:tc>
      </w:tr>
      <w:tr>
        <w:trPr>
          <w:cantSplit/>
        </w:trPr>
        <w:tc>
          <w:tcPr>
            <w:tcW w:type="dxa" w:w="3685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Dúvida sobre o retorno no X</w:t>
            </w:r>
          </w:p>
        </w:tc>
        <w:tc>
          <w:tcPr>
            <w:tcW w:type="dxa" w:w="5386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Comparação entre plataformas com métricas normalizadas</w:t>
            </w:r>
          </w:p>
        </w:tc>
      </w:tr>
      <w:tr>
        <w:trPr>
          <w:cantSplit/>
        </w:trPr>
        <w:tc>
          <w:tcPr>
            <w:tcW w:type="dxa" w:w="3685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Uso restrito à máquina local</w:t>
            </w:r>
          </w:p>
        </w:tc>
        <w:tc>
          <w:tcPr>
            <w:tcW w:type="dxa" w:w="5386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Implantação em nuvem e API documentada</w:t>
            </w:r>
          </w:p>
        </w:tc>
      </w:tr>
    </w:tbl>
    <w:p>
      <w:pPr>
        <w:pStyle w:val="atexto-base"/>
        <w:spacing w:after="240"/>
        <w:ind w:firstLine="0"/>
        <w:jc w:val="center"/>
      </w:pPr>
      <w:r>
        <w:rPr>
          <w:sz w:val="20"/>
        </w:rPr>
        <w:t>Fonte: elaborado pelos autores (2026).</w:t>
      </w:r>
    </w:p>
    <w:p>
      <w:pPr>
        <w:pStyle w:val="atexto-base"/>
        <w:keepNext/>
        <w:ind w:firstLine="0"/>
      </w:pPr>
      <w:r>
        <w:rPr>
          <w:b/>
        </w:rPr>
        <w:t>Implementar e testar</w:t>
      </w:r>
    </w:p>
    <w:p>
      <w:pPr>
        <w:pStyle w:val="atexto-base"/>
      </w:pPr>
      <w:r>
        <w:t xml:space="preserve">Cada tarefa é desenvolvida em um ramo próprio do repositório e integrada ao ramo principal apenas por meio de </w:t>
      </w:r>
      <w:r>
        <w:rPr>
          <w:i/>
        </w:rPr>
        <w:t>pull request</w:t>
      </w:r>
      <w:r>
        <w:t>, após revisão de outro integrante. As alterações no banco de dados são feitas por migrações versionadas com Alembic, para que o banco em nuvem e o banco local evoluam da mesma forma. Os testes automatizados usam pytest no back-end (PYTEST DEVELOPMENT TEAM, 2025) e Vitest no front-end (VITEST, 2025).</w:t>
      </w:r>
    </w:p>
    <w:p>
      <w:pPr>
        <w:pStyle w:val="atexto-base"/>
      </w:pPr>
      <w:r>
        <w:t>A acessibilidade é verificada em duas frentes, conforme discutido na fundamentação: auditoria automática com axe DevTools (DEQUE SYSTEMS, 2025) e Lighthouse (GOOGLE, 2025), e verificação manual, percorrendo as telas apenas pelo teclado e com leitor de tela.</w:t>
      </w:r>
    </w:p>
    <w:p>
      <w:pPr>
        <w:pStyle w:val="atexto-base"/>
      </w:pPr>
      <w:r>
        <w:t>O ganho de tempo será medido por um protocolo definido antes do uso. A métrica principal é o tempo total de produção por publicação, do início da ideia ao arquivo pronto para publicar; as métricas secundárias são o número de ferramentas utilizadas por publicação e o percentual de imagens publicadas com texto alternativo. Serão registradas dez publicações em cada fluxo (manual, protótipo do PI 1 e nova versão), distribuídas entre as quinzenas 4 e 6, e comparadas pela mediana. A hipótese a ser testada é uma redução de pelo menos 50% no tempo total por publicação. As devolutivas da comunidade serão coletadas na apresentação da solução inicial à empresa e orientarão a construção da solução final.</w:t>
      </w:r>
    </w:p>
    <w:p>
      <w:pPr>
        <w:pStyle w:val="2ttulonivel2"/>
      </w:pPr>
      <w:r>
        <w:t>2.5 RESULTADOS PRELIMINARES: SOLUÇÃO INICIAL</w:t>
      </w:r>
    </w:p>
    <w:p>
      <w:pPr>
        <w:pStyle w:val="atexto-base"/>
        <w:keepNext/>
        <w:ind w:firstLine="0"/>
      </w:pPr>
      <w:r>
        <w:rPr>
          <w:b/>
        </w:rPr>
        <w:t>Resultados da etapa ouvir</w:t>
      </w:r>
    </w:p>
    <w:p>
      <w:pPr>
        <w:pStyle w:val="atexto-base"/>
      </w:pPr>
      <w:r>
        <w:t>A escuta da comunidade confirmou que o problema inicial, a dispersão das referências, foi atendido pelo protótipo do PI 1, e revelou quatro problemas novos: a produção visual fora da aplicação, a ausência de texto alternativo nas imagens, a falta de leitura dos resultados das publicações e a execução restrita ao ambiente local, sem testes sistemáticos e sem medição de ganho de tempo.</w:t>
      </w:r>
    </w:p>
    <w:p>
      <w:pPr>
        <w:pStyle w:val="atexto-base"/>
      </w:pPr>
      <w:r>
        <w:t>Nas respostas ao roteiro, a empresa indicou que o painel de análise é importante, mas que o valor está no engajamento por dia, por horário e por formato, e não apenas no número de postagens. Sobre os alertas, indicou que são úteis desde que o limite seja configurável e o aviso seja informativo, com limite inicial sugerido de 2% de taxa de engajamento no LinkedIn e sinalização por ícone e texto, nunca apenas por cor. Sobre a comparação entre LinkedIn e X, alertou que o volume das duas plataformas é muito diferente e que a comparação só é válida com taxas normalizadas pelas impressões e com pelo menos dez publicações por plataforma no período. Por fim, ordenou por impacto os processos ainda feitos fora da aplicação: a montagem da imagem e do carrossel, a escrita do texto alternativo, a exportação dos arquivos, a coleta de métricas e a checklist de publicação.</w:t>
      </w:r>
    </w:p>
    <w:p>
      <w:pPr>
        <w:pStyle w:val="atexto-base"/>
      </w:pPr>
      <w:r>
        <w:t>Na visita on-line realizada entre 19 e 20/09/2026, o grupo apresentou à empresa o andamento do projeto, a arquitetura definida e a parte da solução já integrada ao repositório. Ficou acordado que o acompanhamento seguirá por reuniões on-line contínuas, nas quais a empresa testa as funcionalidades à medida que são entregues.</w:t>
      </w:r>
    </w:p>
    <w:p>
      <w:pPr>
        <w:pStyle w:val="atexto-base"/>
        <w:keepNext/>
        <w:ind w:firstLine="0"/>
      </w:pPr>
      <w:r>
        <w:rPr>
          <w:b/>
        </w:rPr>
        <w:t>Resultados da etapa criar</w:t>
      </w:r>
    </w:p>
    <w:p>
      <w:pPr>
        <w:pStyle w:val="atexto-base"/>
      </w:pPr>
      <w:r>
        <w:t>A arquitetura da solução é apresentada na Figura 1. O usuário acessa o front-end, desenvolvido em React, que se comunica com a API em FastAPI por requisições HTTPS. A API grava os dados em um banco PostgreSQL hospedado no Supabase e os arquivos de imagem, slides e PDF em um disco persistente. O front-end será publicado na Vercel e a API no Render.</w:t>
      </w:r>
    </w:p>
    <w:p>
      <w:pPr>
        <w:pStyle w:val="atexto-base"/>
        <w:keepNext/>
        <w:ind w:firstLine="0"/>
        <w:jc w:val="center"/>
      </w:pPr>
      <w:r>
        <w:rPr>
          <w:sz w:val="20"/>
        </w:rPr>
        <w:t>Figura 1 – Arquitetura da solução em implementação</w:t>
      </w:r>
    </w:p>
    <w:p>
      <w:pPr>
        <w:pStyle w:val="atexto-base"/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633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rquite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63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exto-base"/>
        <w:spacing w:after="240"/>
        <w:ind w:firstLine="0"/>
        <w:jc w:val="center"/>
      </w:pPr>
      <w:r>
        <w:rPr>
          <w:sz w:val="20"/>
        </w:rPr>
        <w:t>Fonte: elaborado pelos autores (2026).</w:t>
      </w:r>
    </w:p>
    <w:p>
      <w:pPr>
        <w:pStyle w:val="atexto-base"/>
      </w:pPr>
      <w:r>
        <w:t>O modelo de dados do PI 1 foi ampliado com duas entidades. A entidade PostAsset representa cada imagem ou slide de um post, com o tipo, a posição na sequência, o caminho do arquivo, o formato, as dimensões, o tamanho, a legenda e o texto alternativo, que é obrigatório no próprio banco de dados. A entidade PostMetric registra as métricas de cada publicação por plataforma, com impressões, curtidas, comentários, compartilhamentos, cliques, data da coleta e origem do registro. Ambas se relacionam com a entidade Post já existente, e cada post passa a ter uma sequência ordenada de imagens e um histórico de métricas.</w:t>
      </w:r>
    </w:p>
    <w:p>
      <w:pPr>
        <w:pStyle w:val="atexto-base"/>
      </w:pPr>
      <w:r>
        <w:t>A API de imagens oferece cinco operações documentadas em OpenAPI: enviar uma imagem e anexá-la ao post, listar as imagens de um post, editar os metadados de uma imagem, reordenar as imagens e remover uma imagem. O envio aceita apenas arquivos PNG, JPEG e WebP de até 5 MB e recusa qualquer imagem enviada sem texto alternativo, com mensagens de erro padronizadas. A API de métricas permite registrar a coleta manual de métricas e consultar um resumo por plataforma, calculado sobre a coleta mais recente de cada publicação.</w:t>
      </w:r>
    </w:p>
    <w:p>
      <w:pPr>
        <w:pStyle w:val="atexto-base"/>
        <w:keepNext/>
        <w:ind w:firstLine="0"/>
      </w:pPr>
      <w:r>
        <w:rPr>
          <w:b/>
        </w:rPr>
        <w:t>Resultados da etapa implementar</w:t>
      </w:r>
    </w:p>
    <w:p>
      <w:pPr>
        <w:pStyle w:val="atexto-base"/>
      </w:pPr>
      <w:r>
        <w:t>A Tabela 3 apresenta a situação das dezesseis tarefas na data deste relatório.</w:t>
      </w:r>
    </w:p>
    <w:p>
      <w:pPr>
        <w:pStyle w:val="atexto-base"/>
        <w:keepNext/>
        <w:ind w:firstLine="0"/>
        <w:jc w:val="center"/>
      </w:pPr>
      <w:r>
        <w:rPr>
          <w:sz w:val="20"/>
        </w:rPr>
        <w:t>Tabela 3 – Tarefas do PI 2 e situação na data deste relatório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4195"/>
        <w:gridCol w:w="1360"/>
        <w:gridCol w:w="2948"/>
      </w:tblGrid>
      <w:tr>
        <w:trPr>
          <w:tblHeader/>
          <w:cantSplit/>
        </w:trPr>
        <w:tc>
          <w:tcPr>
            <w:tcW w:type="dxa" w:w="567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b/>
                <w:sz w:val="20"/>
              </w:rPr>
              <w:t>Nº</w:t>
            </w:r>
          </w:p>
        </w:tc>
        <w:tc>
          <w:tcPr>
            <w:tcW w:type="dxa" w:w="4195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b/>
                <w:sz w:val="20"/>
              </w:rPr>
              <w:t>Tarefa</w:t>
            </w:r>
          </w:p>
        </w:tc>
        <w:tc>
          <w:tcPr>
            <w:tcW w:type="dxa" w:w="1361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b/>
                <w:sz w:val="20"/>
              </w:rPr>
              <w:t>Área</w:t>
            </w:r>
          </w:p>
        </w:tc>
        <w:tc>
          <w:tcPr>
            <w:tcW w:type="dxa" w:w="2948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b/>
                <w:sz w:val="20"/>
              </w:rPr>
              <w:t>Situação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type="dxa" w:w="4195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Modelo PostAsset (imagens e slides do post)</w:t>
            </w:r>
          </w:p>
        </w:tc>
        <w:tc>
          <w:tcPr>
            <w:tcW w:type="dxa" w:w="1361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Back-end</w:t>
            </w:r>
          </w:p>
        </w:tc>
        <w:tc>
          <w:tcPr>
            <w:tcW w:type="dxa" w:w="2948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Concluída e integrada</w:t>
            </w:r>
          </w:p>
        </w:tc>
      </w:tr>
      <w:tr>
        <w:trPr>
          <w:cantSplit/>
        </w:trPr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4195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Acessibilidade: foco, contraste, skip link e HTML semântico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Front-end</w:t>
            </w:r>
          </w:p>
        </w:tc>
        <w:tc>
          <w:tcPr>
            <w:tcW w:type="dxa" w:w="2948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A iniciar</w:t>
            </w:r>
          </w:p>
        </w:tc>
      </w:tr>
      <w:tr>
        <w:trPr>
          <w:cantSplit/>
        </w:trPr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4195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Modelo PostMetric e registro manual de métricas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Back-end</w:t>
            </w:r>
          </w:p>
        </w:tc>
        <w:tc>
          <w:tcPr>
            <w:tcW w:type="dxa" w:w="2948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Concluída e integrada</w:t>
            </w:r>
          </w:p>
        </w:tc>
      </w:tr>
      <w:tr>
        <w:trPr>
          <w:cantSplit/>
        </w:trPr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type="dxa" w:w="4195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Implantação em nuvem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Infraestrutura</w:t>
            </w:r>
          </w:p>
        </w:tc>
        <w:tc>
          <w:tcPr>
            <w:tcW w:type="dxa" w:w="2948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Em revisão; aguarda criação dos serviços</w:t>
            </w:r>
          </w:p>
        </w:tc>
      </w:tr>
      <w:tr>
        <w:trPr>
          <w:cantSplit/>
        </w:trPr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4195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API de imagens do post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Back-end</w:t>
            </w:r>
          </w:p>
        </w:tc>
        <w:tc>
          <w:tcPr>
            <w:tcW w:type="dxa" w:w="2948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Concluída e integrada</w:t>
            </w:r>
          </w:p>
        </w:tc>
      </w:tr>
      <w:tr>
        <w:trPr>
          <w:cantSplit/>
        </w:trPr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6</w:t>
            </w:r>
          </w:p>
        </w:tc>
        <w:tc>
          <w:tcPr>
            <w:tcW w:type="dxa" w:w="4195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Texto alternativo obrigatório na API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Back-end</w:t>
            </w:r>
          </w:p>
        </w:tc>
        <w:tc>
          <w:tcPr>
            <w:tcW w:type="dxa" w:w="2948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Em revisão</w:t>
            </w:r>
          </w:p>
        </w:tc>
      </w:tr>
      <w:tr>
        <w:trPr>
          <w:cantSplit/>
        </w:trPr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7</w:t>
            </w:r>
          </w:p>
        </w:tc>
        <w:tc>
          <w:tcPr>
            <w:tcW w:type="dxa" w:w="4195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Geração da imagem única do post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Back-end</w:t>
            </w:r>
          </w:p>
        </w:tc>
        <w:tc>
          <w:tcPr>
            <w:tcW w:type="dxa" w:w="2948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Em revisão</w:t>
            </w:r>
          </w:p>
        </w:tc>
      </w:tr>
      <w:tr>
        <w:trPr>
          <w:cantSplit/>
        </w:trPr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8</w:t>
            </w:r>
          </w:p>
        </w:tc>
        <w:tc>
          <w:tcPr>
            <w:tcW w:type="dxa" w:w="4195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Geração do carrossel do LinkedIn (PNG e PDF)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Back-end</w:t>
            </w:r>
          </w:p>
        </w:tc>
        <w:tc>
          <w:tcPr>
            <w:tcW w:type="dxa" w:w="2948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Em revisão</w:t>
            </w:r>
          </w:p>
        </w:tc>
      </w:tr>
      <w:tr>
        <w:trPr>
          <w:cantSplit/>
        </w:trPr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9</w:t>
            </w:r>
          </w:p>
        </w:tc>
        <w:tc>
          <w:tcPr>
            <w:tcW w:type="dxa" w:w="4195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Envio de imagem no formulário do post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Front-end</w:t>
            </w:r>
          </w:p>
        </w:tc>
        <w:tc>
          <w:tcPr>
            <w:tcW w:type="dxa" w:w="2948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Em revisão</w:t>
            </w:r>
          </w:p>
        </w:tc>
      </w:tr>
      <w:tr>
        <w:trPr>
          <w:cantSplit/>
        </w:trPr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10</w:t>
            </w:r>
          </w:p>
        </w:tc>
        <w:tc>
          <w:tcPr>
            <w:tcW w:type="dxa" w:w="4195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Montagem e pré-visualização do carrossel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Front-end</w:t>
            </w:r>
          </w:p>
        </w:tc>
        <w:tc>
          <w:tcPr>
            <w:tcW w:type="dxa" w:w="2948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Em revisão</w:t>
            </w:r>
          </w:p>
        </w:tc>
      </w:tr>
      <w:tr>
        <w:trPr>
          <w:cantSplit/>
        </w:trPr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11</w:t>
            </w:r>
          </w:p>
        </w:tc>
        <w:tc>
          <w:tcPr>
            <w:tcW w:type="dxa" w:w="4195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Teclado e leitor de tela no carrossel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Front-end</w:t>
            </w:r>
          </w:p>
        </w:tc>
        <w:tc>
          <w:tcPr>
            <w:tcW w:type="dxa" w:w="2948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A iniciar</w:t>
            </w:r>
          </w:p>
        </w:tc>
      </w:tr>
      <w:tr>
        <w:trPr>
          <w:cantSplit/>
        </w:trPr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12</w:t>
            </w:r>
          </w:p>
        </w:tc>
        <w:tc>
          <w:tcPr>
            <w:tcW w:type="dxa" w:w="4195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Download do carrossel em PDF e checklist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Front-end</w:t>
            </w:r>
          </w:p>
        </w:tc>
        <w:tc>
          <w:tcPr>
            <w:tcW w:type="dxa" w:w="2948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Em revisão</w:t>
            </w:r>
          </w:p>
        </w:tc>
      </w:tr>
      <w:tr>
        <w:trPr>
          <w:cantSplit/>
        </w:trPr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13</w:t>
            </w:r>
          </w:p>
        </w:tc>
        <w:tc>
          <w:tcPr>
            <w:tcW w:type="dxa" w:w="4195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Painel de análise de dados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Front-end</w:t>
            </w:r>
          </w:p>
        </w:tc>
        <w:tc>
          <w:tcPr>
            <w:tcW w:type="dxa" w:w="2948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Em revisão</w:t>
            </w:r>
          </w:p>
        </w:tc>
      </w:tr>
      <w:tr>
        <w:trPr>
          <w:cantSplit/>
        </w:trPr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14</w:t>
            </w:r>
          </w:p>
        </w:tc>
        <w:tc>
          <w:tcPr>
            <w:tcW w:type="dxa" w:w="4195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Alerta de engajamento abaixo do limite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Full-stack</w:t>
            </w:r>
          </w:p>
        </w:tc>
        <w:tc>
          <w:tcPr>
            <w:tcW w:type="dxa" w:w="2948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Em revisão</w:t>
            </w:r>
          </w:p>
        </w:tc>
      </w:tr>
      <w:tr>
        <w:trPr>
          <w:cantSplit/>
        </w:trPr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15</w:t>
            </w:r>
          </w:p>
        </w:tc>
        <w:tc>
          <w:tcPr>
            <w:tcW w:type="dxa" w:w="4195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Testes automatizados (pytest e Vitest)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Testes</w:t>
            </w:r>
          </w:p>
        </w:tc>
        <w:tc>
          <w:tcPr>
            <w:tcW w:type="dxa" w:w="2948"/>
            <w:tcBorders>
              <w:top w:val="nil"/>
              <w:bottom w:val="nil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Em revisão</w:t>
            </w:r>
          </w:p>
        </w:tc>
      </w:tr>
      <w:tr>
        <w:trPr>
          <w:cantSplit/>
        </w:trPr>
        <w:tc>
          <w:tcPr>
            <w:tcW w:type="dxa" w:w="567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16</w:t>
            </w:r>
          </w:p>
        </w:tc>
        <w:tc>
          <w:tcPr>
            <w:tcW w:type="dxa" w:w="4195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Medição do ganho de tempo</w:t>
            </w:r>
          </w:p>
        </w:tc>
        <w:tc>
          <w:tcPr>
            <w:tcW w:type="dxa" w:w="1361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Projeto</w:t>
            </w:r>
          </w:p>
        </w:tc>
        <w:tc>
          <w:tcPr>
            <w:tcW w:type="dxa" w:w="2948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pStyle w:val="atexto-base"/>
              <w:spacing w:after="0" w:before="0" w:line="240" w:lineRule="auto"/>
              <w:ind w:firstLine="0"/>
              <w:jc w:val="left"/>
            </w:pPr>
            <w:r>
              <w:rPr>
                <w:sz w:val="20"/>
              </w:rPr>
              <w:t>Em revisão; coleta de dados a iniciar</w:t>
            </w:r>
          </w:p>
        </w:tc>
      </w:tr>
    </w:tbl>
    <w:p>
      <w:pPr>
        <w:pStyle w:val="atexto-base"/>
        <w:spacing w:after="240"/>
        <w:ind w:firstLine="0"/>
        <w:jc w:val="center"/>
      </w:pPr>
      <w:r>
        <w:rPr>
          <w:sz w:val="20"/>
        </w:rPr>
        <w:t>Fonte: elaborado pelos autores, a partir do repositório do projeto no GitHub (2026).</w:t>
      </w:r>
    </w:p>
    <w:p>
      <w:pPr>
        <w:pStyle w:val="atexto-base"/>
      </w:pPr>
      <w:r>
        <w:t>Três tarefas estão concluídas e integradas ao ramo principal: os modelos PostAsset e PostMetric e a API de imagens. Onze tarefas estão implementadas e em revisão por pull request, com testes automatizados executados a cada alteração; entre elas estão a geração da imagem única e do carrossel, o texto alternativo obrigatório, as telas de envio de imagem e de montagem do carrossel, o painel de análise, os alertas de engajamento e a configuração de implantação em nuvem, que ainda depende da criação dos serviços de hospedagem. As duas tarefas restantes, voltadas à acessibilidade geral da interface e à navegação por teclado e leitor de tela no carrossel, serão iniciadas na próxima quinzena. Um resultado já observado é o valor dos testes automáticos de acessibilidade: na primeira execução, eles encontraram três violações reais no formulário do post, um botão sem nome acessível, um campo sem rótulo e uma lista de seleção sem nome, que foram corrigidas.</w:t>
      </w:r>
    </w:p>
    <w:p>
      <w:pPr>
        <w:pStyle w:val="atexto-base"/>
      </w:pPr>
      <w:r>
        <w:t>A geração de mídia é a funcionalidade central da solução inicial. A partir do texto de um post, a aplicação desenha uma imagem única no formato indicado para o LinkedIn (Figura 2) e divide o conteúdo em slides numerados que compõem o carrossel (Figura 3), exportado também em PDF, que é o formato aceito pela plataforma para documentos. Cada slide recebe um texto alternativo sugerido a partir do próprio conteúdo, que o usuário revisa antes de publicar.</w:t>
      </w:r>
    </w:p>
    <w:p>
      <w:pPr>
        <w:pStyle w:val="atexto-base"/>
        <w:keepNext/>
        <w:ind w:firstLine="0"/>
        <w:jc w:val="center"/>
      </w:pPr>
      <w:r>
        <w:rPr>
          <w:sz w:val="20"/>
        </w:rPr>
        <w:t>Figura 2 – Imagem única gerada pela aplicação a partir do texto de um post</w:t>
      </w:r>
    </w:p>
    <w:p>
      <w:pPr>
        <w:pStyle w:val="atexto-base"/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3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_uni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exto-base"/>
        <w:spacing w:after="240"/>
        <w:ind w:firstLine="0"/>
        <w:jc w:val="center"/>
      </w:pPr>
      <w:r>
        <w:rPr>
          <w:sz w:val="20"/>
        </w:rPr>
        <w:t>Fonte: elaborado pelos autores (2026).</w:t>
      </w:r>
    </w:p>
    <w:p>
      <w:pPr>
        <w:pStyle w:val="atexto-base"/>
        <w:keepNext/>
        <w:ind w:firstLine="0"/>
        <w:jc w:val="center"/>
      </w:pPr>
      <w:r>
        <w:rPr>
          <w:sz w:val="20"/>
        </w:rPr>
        <w:t>Figura 3 – Primeiro slide de um carrossel gerado pela aplicação</w:t>
      </w:r>
    </w:p>
    <w:p>
      <w:pPr>
        <w:pStyle w:val="atexto-base"/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168000" cy="39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rossel_slid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exto-base"/>
        <w:spacing w:after="240"/>
        <w:ind w:firstLine="0"/>
        <w:jc w:val="center"/>
      </w:pPr>
      <w:r>
        <w:rPr>
          <w:sz w:val="20"/>
        </w:rPr>
        <w:t>Fonte: elaborado pelos autores (2026).</w:t>
      </w:r>
    </w:p>
    <w:p>
      <w:pPr>
        <w:pStyle w:val="atexto-base"/>
      </w:pPr>
      <w:r>
        <w:t>Na interface, o envio de imagens no formulário do post exibe uma pré-visualização e só é concluído depois que o texto alternativo, com no mínimo dez caracteres, é preenchido (Figura 4). A tela de montagem do carrossel divide o texto do post em slides editáveis, permite reordená-los por botões acessíveis pelo teclado e mostra a pré-visualização do slide selecionado (Figura 5). Depois de gerado, o carrossel pode ser baixado em PDF, acompanhado de uma checklist de publicação que indica cada item com ícone e texto, e não apenas com cor.</w:t>
      </w:r>
    </w:p>
    <w:p>
      <w:pPr>
        <w:pStyle w:val="atexto-base"/>
        <w:keepNext/>
        <w:ind w:firstLine="0"/>
        <w:jc w:val="center"/>
      </w:pPr>
      <w:r>
        <w:rPr>
          <w:sz w:val="20"/>
        </w:rPr>
        <w:t>Figura 4 – Envio de imagem com texto alternativo obrigatório</w:t>
      </w:r>
    </w:p>
    <w:p>
      <w:pPr>
        <w:pStyle w:val="atexto-base"/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9_uplo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exto-base"/>
        <w:spacing w:after="240"/>
        <w:ind w:firstLine="0"/>
        <w:jc w:val="center"/>
      </w:pPr>
      <w:r>
        <w:rPr>
          <w:sz w:val="20"/>
        </w:rPr>
        <w:t>Fonte: elaborado pelos autores (2026).</w:t>
      </w:r>
    </w:p>
    <w:p>
      <w:pPr>
        <w:pStyle w:val="atexto-base"/>
        <w:keepNext/>
        <w:ind w:firstLine="0"/>
        <w:jc w:val="center"/>
      </w:pPr>
      <w:r>
        <w:rPr>
          <w:sz w:val="20"/>
        </w:rPr>
        <w:t>Figura 5 – Montagem do carrossel com pré-visualização do slide</w:t>
      </w:r>
    </w:p>
    <w:p>
      <w:pPr>
        <w:pStyle w:val="atexto-base"/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0_carross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exto-base"/>
        <w:spacing w:after="240"/>
        <w:ind w:firstLine="0"/>
        <w:jc w:val="center"/>
      </w:pPr>
      <w:r>
        <w:rPr>
          <w:sz w:val="20"/>
        </w:rPr>
        <w:t>Fonte: elaborado pelos autores (2026).</w:t>
      </w:r>
    </w:p>
    <w:p>
      <w:pPr>
        <w:pStyle w:val="atexto-base"/>
      </w:pPr>
      <w:r>
        <w:t>O painel de análise apresenta a taxa média de engajamento por dia da semana e a comparação entre LinkedIn e X, com taxas normalizadas pelas impressões e o número de publicações de cada plataforma, acompanhado de uma tabela com os mesmos dados, para que a informação não dependa apenas do gráfico (Figura 6). Como a coleta de métricas reais ainda não começou, os valores exibidos na figura são dados de demonstração.</w:t>
      </w:r>
    </w:p>
    <w:p>
      <w:pPr>
        <w:pStyle w:val="atexto-base"/>
        <w:keepNext/>
        <w:ind w:firstLine="0"/>
        <w:jc w:val="center"/>
      </w:pPr>
      <w:r>
        <w:rPr>
          <w:sz w:val="20"/>
        </w:rPr>
        <w:t>Figura 6 – Painel de análise de engajamento (dados de demonstração)</w:t>
      </w:r>
    </w:p>
    <w:p>
      <w:pPr>
        <w:pStyle w:val="atexto-base"/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714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3_pain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exto-base"/>
        <w:spacing w:after="240"/>
        <w:ind w:firstLine="0"/>
        <w:jc w:val="center"/>
      </w:pPr>
      <w:r>
        <w:rPr>
          <w:sz w:val="20"/>
        </w:rPr>
        <w:t>Fonte: elaborado pelos autores (2026).</w:t>
      </w:r>
    </w:p>
    <w:p>
      <w:pPr>
        <w:pStyle w:val="atexto-base"/>
      </w:pPr>
      <w:r>
        <w:t>Embora a solução ainda esteja em fase de implementação, os resultados obtidos até aqui mostram que a arquitetura e o modelo de dados sustentam as funcionalidades previstas e que o requisito de acessibilidade está sendo aplicado desde a camada de dados, e não apenas na interface. As próximas etapas são concluir a revisão e a integração das tarefas em andamento, publicar a aplicação em nuvem, apresentar a solução inicial à Flowity AI para coleta de sugestões e iniciar a medição do tempo de produção, cujos resultados serão apresentados no Relatório Final.</w:t>
      </w:r>
    </w:p>
    <w:p>
      <w:pPr>
        <w:pStyle w:val="1ttulonivel1"/>
        <w:pageBreakBefore/>
      </w:pPr>
      <w:r>
        <w:t>REFERÊNCIAS</w:t>
      </w:r>
    </w:p>
    <w:p>
      <w:pPr>
        <w:pStyle w:val="fResumoReferncias"/>
        <w:spacing w:after="240"/>
        <w:jc w:val="left"/>
      </w:pPr>
      <w:r>
        <w:t xml:space="preserve">BRASIL. Governo Digital. </w:t>
      </w:r>
      <w:r>
        <w:rPr>
          <w:b/>
        </w:rPr>
        <w:t>eMAG</w:t>
      </w:r>
      <w:r>
        <w:t>: modelo de acessibilidade em governo eletrônico. Versão 3.1. Brasília, DF, 2014. Disponível em: https://www.gov.br/governodigital/pt-br/acessibilidade-e-usuario/acessibilidade-digital. Acesso em: 22 set. 2026.</w:t>
      </w:r>
    </w:p>
    <w:p>
      <w:pPr>
        <w:pStyle w:val="fResumoReferncias"/>
        <w:spacing w:after="240"/>
        <w:jc w:val="left"/>
      </w:pPr>
      <w:r>
        <w:t xml:space="preserve">BRASIL. </w:t>
      </w:r>
      <w:r>
        <w:rPr>
          <w:b/>
        </w:rPr>
        <w:t>Lei nº 13.146, de 6 de julho de 2015.</w:t>
      </w:r>
      <w:r>
        <w:t xml:space="preserve"> Institui a Lei Brasileira de Inclusão da Pessoa com Deficiência (Estatuto da Pessoa com Deficiência). Brasília, DF: Presidência da República, 2015. Disponível em: https://www.planalto.gov.br/ccivil_03/_ato2015-2018/2015/lei/l13146.htm. Acesso em: 22 set. 2026.</w:t>
      </w:r>
    </w:p>
    <w:p>
      <w:pPr>
        <w:pStyle w:val="fResumoReferncias"/>
        <w:spacing w:after="240"/>
        <w:jc w:val="left"/>
      </w:pPr>
      <w:r>
        <w:t xml:space="preserve">BRASIL. </w:t>
      </w:r>
      <w:r>
        <w:rPr>
          <w:b/>
        </w:rPr>
        <w:t>Lei nº 14.126, de 22 de março de 2021.</w:t>
      </w:r>
      <w:r>
        <w:t xml:space="preserve"> Classifica a visão monocular como deficiência sensorial, do tipo visual. Brasília, DF: Presidência da República, 2021. Disponível em: https://www.planalto.gov.br/ccivil_03/_ato2019-2022/2021/lei/l14126.htm. Acesso em: 22 set. 2026.</w:t>
      </w:r>
    </w:p>
    <w:p>
      <w:pPr>
        <w:pStyle w:val="fResumoReferncias"/>
        <w:spacing w:after="240"/>
        <w:jc w:val="left"/>
      </w:pPr>
      <w:r>
        <w:t xml:space="preserve">CHACON, Scott; STRAUB, Ben. </w:t>
      </w:r>
      <w:r>
        <w:rPr>
          <w:b/>
        </w:rPr>
        <w:t>Pro Git.</w:t>
      </w:r>
      <w:r>
        <w:t xml:space="preserve"> 2. ed. New York: Apress, 2014. Edição on-line. Disponível em: https://git-scm.com/book/pt-br/v2. Acesso em: 22 set. 2026.</w:t>
      </w:r>
    </w:p>
    <w:p>
      <w:pPr>
        <w:pStyle w:val="fResumoReferncias"/>
        <w:spacing w:after="240"/>
        <w:jc w:val="left"/>
      </w:pPr>
      <w:r>
        <w:t xml:space="preserve">DEQUE SYSTEMS. </w:t>
      </w:r>
      <w:r>
        <w:rPr>
          <w:b/>
        </w:rPr>
        <w:t>axe DevTools</w:t>
      </w:r>
      <w:r>
        <w:t>: accessibility testing tools. 2025. Disponível em: https://www.deque.com/axe/. Acesso em: 22 set. 2026.</w:t>
      </w:r>
    </w:p>
    <w:p>
      <w:pPr>
        <w:pStyle w:val="fResumoReferncias"/>
        <w:spacing w:after="240"/>
        <w:jc w:val="left"/>
      </w:pPr>
      <w:r>
        <w:t xml:space="preserve">GOOGLE. </w:t>
      </w:r>
      <w:r>
        <w:rPr>
          <w:b/>
        </w:rPr>
        <w:t>Lighthouse.</w:t>
      </w:r>
      <w:r>
        <w:t xml:space="preserve"> Chrome for Developers, 2025. Disponível em: https://developer.chrome.com/docs/lighthouse/. Acesso em: 22 set. 2026.</w:t>
      </w:r>
    </w:p>
    <w:p>
      <w:pPr>
        <w:pStyle w:val="fResumoReferncias"/>
        <w:spacing w:after="240"/>
        <w:jc w:val="left"/>
      </w:pPr>
      <w:r>
        <w:t xml:space="preserve">HAVERBEKE, Marijn. </w:t>
      </w:r>
      <w:r>
        <w:rPr>
          <w:b/>
        </w:rPr>
        <w:t>Eloquent JavaScript</w:t>
      </w:r>
      <w:r>
        <w:t>: a modern introduction to programming. 4. ed. San Francisco: No Starch Press, 2024. Disponível em: https://eloquentjavascript.net/. Acesso em: 22 set. 2026.</w:t>
      </w:r>
    </w:p>
    <w:p>
      <w:pPr>
        <w:pStyle w:val="fResumoReferncias"/>
        <w:spacing w:after="240"/>
        <w:jc w:val="left"/>
      </w:pPr>
      <w:r>
        <w:t xml:space="preserve">INTERNATIONAL ORGANIZATION FOR STANDARDIZATION. </w:t>
      </w:r>
      <w:r>
        <w:rPr>
          <w:b/>
        </w:rPr>
        <w:t>ISO/IEC 25010:2023</w:t>
      </w:r>
      <w:r>
        <w:t>: systems and software engineering: systems and software quality requirements and evaluation (SQuaRE): product quality model. 2. ed. Geneva: ISO, 2023.</w:t>
      </w:r>
    </w:p>
    <w:p>
      <w:pPr>
        <w:pStyle w:val="fResumoReferncias"/>
        <w:spacing w:after="240"/>
        <w:jc w:val="left"/>
      </w:pPr>
      <w:r>
        <w:t xml:space="preserve">KNAFLIC, Cole Nussbaumer. </w:t>
      </w:r>
      <w:r>
        <w:rPr>
          <w:b/>
        </w:rPr>
        <w:t>Storytelling with data</w:t>
      </w:r>
      <w:r>
        <w:t>: let's practice! Hoboken: Wiley, 2020.</w:t>
      </w:r>
    </w:p>
    <w:p>
      <w:pPr>
        <w:pStyle w:val="fResumoReferncias"/>
        <w:spacing w:after="240"/>
        <w:jc w:val="left"/>
      </w:pPr>
      <w:r>
        <w:t xml:space="preserve">OPENAPI INITIATIVE. </w:t>
      </w:r>
      <w:r>
        <w:rPr>
          <w:b/>
        </w:rPr>
        <w:t>OpenAPI Specification</w:t>
      </w:r>
      <w:r>
        <w:t>: version 3.1.1. The Linux Foundation, 2024. Disponível em: https://spec.openapis.org/oas/v3.1.1.html. Acesso em: 22 set. 2026.</w:t>
      </w:r>
    </w:p>
    <w:p>
      <w:pPr>
        <w:pStyle w:val="fResumoReferncias"/>
        <w:spacing w:after="240"/>
        <w:jc w:val="left"/>
      </w:pPr>
      <w:r>
        <w:t xml:space="preserve">PEREIRA, Letícia Seixas </w:t>
      </w:r>
      <w:r>
        <w:rPr>
          <w:i/>
        </w:rPr>
        <w:t>et al.</w:t>
      </w:r>
      <w:r>
        <w:t xml:space="preserve"> </w:t>
      </w:r>
      <w:r>
        <w:rPr>
          <w:b/>
        </w:rPr>
        <w:t>Barriers and opportunities to accessible social media content authoring.</w:t>
      </w:r>
      <w:r>
        <w:t xml:space="preserve"> arXiv, 2021. Preprint. DOI: 10.48550/arXiv.2104.10968. Disponível em: https://arxiv.org/abs/2104.10968. Acesso em: 22 set. 2026.</w:t>
      </w:r>
    </w:p>
    <w:p>
      <w:pPr>
        <w:pStyle w:val="fResumoReferncias"/>
        <w:spacing w:after="240"/>
        <w:jc w:val="left"/>
      </w:pPr>
      <w:r>
        <w:t xml:space="preserve">PRESSMAN, Roger S.; MAXIM, Bruce R. </w:t>
      </w:r>
      <w:r>
        <w:rPr>
          <w:b/>
        </w:rPr>
        <w:t>Engenharia de software</w:t>
      </w:r>
      <w:r>
        <w:t>: uma abordagem profissional. 9. ed. Porto Alegre: AMGH, 2021.</w:t>
      </w:r>
    </w:p>
    <w:p>
      <w:pPr>
        <w:pStyle w:val="fResumoReferncias"/>
        <w:spacing w:after="240"/>
        <w:jc w:val="left"/>
      </w:pPr>
      <w:r>
        <w:t xml:space="preserve">PYTEST DEVELOPMENT TEAM. </w:t>
      </w:r>
      <w:r>
        <w:rPr>
          <w:b/>
        </w:rPr>
        <w:t>pytest documentation.</w:t>
      </w:r>
      <w:r>
        <w:t xml:space="preserve"> 2025. Disponível em: https://docs.pytest.org/. Acesso em: 22 set. 2026.</w:t>
      </w:r>
    </w:p>
    <w:p>
      <w:pPr>
        <w:pStyle w:val="fResumoReferncias"/>
        <w:spacing w:after="240"/>
        <w:jc w:val="left"/>
      </w:pPr>
      <w:r>
        <w:t xml:space="preserve">RAMÍREZ, Sebastián. </w:t>
      </w:r>
      <w:r>
        <w:rPr>
          <w:b/>
        </w:rPr>
        <w:t>FastAPI.</w:t>
      </w:r>
      <w:r>
        <w:t xml:space="preserve"> Documentação oficial, 2026. Disponível em: https://fastapi.tiangolo.com/. Acesso em: 22 set. 2026.</w:t>
      </w:r>
    </w:p>
    <w:p>
      <w:pPr>
        <w:pStyle w:val="fResumoReferncias"/>
        <w:spacing w:after="240"/>
        <w:jc w:val="left"/>
      </w:pPr>
      <w:r>
        <w:t xml:space="preserve">RECCHIA, Rodrigo Minutti </w:t>
      </w:r>
      <w:r>
        <w:rPr>
          <w:i/>
        </w:rPr>
        <w:t>et al.</w:t>
      </w:r>
      <w:r>
        <w:t xml:space="preserve"> Acessibilidade digital para pessoas com baixa visão: uma análise da literatura sobre as Web Content Accessibility Guidelines (WCAG) 2.2 no contexto brasileiro. </w:t>
      </w:r>
      <w:r>
        <w:rPr>
          <w:b/>
        </w:rPr>
        <w:t>Benjamin Constant</w:t>
      </w:r>
      <w:r>
        <w:t>, Rio de Janeiro, v. 31, n. 69, 2025. Disponível em: https://revista.ibc.gov.br/index.php/BC/article/view/1121. Acesso em: 22 set. 2026.</w:t>
      </w:r>
    </w:p>
    <w:p>
      <w:pPr>
        <w:pStyle w:val="fResumoReferncias"/>
        <w:spacing w:after="240"/>
        <w:jc w:val="left"/>
      </w:pPr>
      <w:r>
        <w:t xml:space="preserve">SOUZA, Marcos de; ALMEIDA, Fernanda Gomes. Acessibilidade Web dos sites das bibliotecas das Universidades Federais do Estado de Minas Gerais. </w:t>
      </w:r>
      <w:r>
        <w:rPr>
          <w:b/>
        </w:rPr>
        <w:t>RDBCI</w:t>
      </w:r>
      <w:r>
        <w:t>: Revista Digital de Biblioteconomia e Ciência da Informação, Campinas, SP, v. 19, 2021. DOI: 10.20396/rdbci.v19i00.8666922.</w:t>
      </w:r>
    </w:p>
    <w:p>
      <w:pPr>
        <w:pStyle w:val="fResumoReferncias"/>
        <w:spacing w:after="240"/>
        <w:jc w:val="left"/>
      </w:pPr>
      <w:r>
        <w:t xml:space="preserve">STANGL, Abigale; MORRIS, Meredith Ringel; GURARI, Danna. "Person, shoes, tree. Is the person naked?" What people with vision impairments want in image descriptions. </w:t>
      </w:r>
      <w:r>
        <w:rPr>
          <w:i/>
        </w:rPr>
        <w:t>In</w:t>
      </w:r>
      <w:r>
        <w:t xml:space="preserve">: CHI CONFERENCE ON HUMAN FACTORS IN COMPUTING SYSTEMS, 2020, Honolulu. </w:t>
      </w:r>
      <w:r>
        <w:rPr>
          <w:b/>
        </w:rPr>
        <w:t>Proceedings</w:t>
      </w:r>
      <w:r>
        <w:t xml:space="preserve"> [...]. New York: ACM, 2020. p. 1-13. DOI: 10.1145/3313831.3376404.</w:t>
      </w:r>
    </w:p>
    <w:p>
      <w:pPr>
        <w:pStyle w:val="fResumoReferncias"/>
        <w:spacing w:after="240"/>
        <w:jc w:val="left"/>
      </w:pPr>
      <w:r>
        <w:t xml:space="preserve">VITEST. </w:t>
      </w:r>
      <w:r>
        <w:rPr>
          <w:b/>
        </w:rPr>
        <w:t>Vitest</w:t>
      </w:r>
      <w:r>
        <w:t>: next generation testing framework. 2025. Disponível em: https://vitest.dev/. Acesso em: 22 set. 2026.</w:t>
      </w:r>
    </w:p>
    <w:p>
      <w:pPr>
        <w:pStyle w:val="fResumoReferncias"/>
        <w:spacing w:after="240"/>
        <w:jc w:val="left"/>
      </w:pPr>
      <w:r>
        <w:t xml:space="preserve">WORLD WIDE WEB CONSORTIUM. </w:t>
      </w:r>
      <w:r>
        <w:rPr>
          <w:b/>
        </w:rPr>
        <w:t>Web Content Accessibility Guidelines (WCAG) 2.2.</w:t>
      </w:r>
      <w:r>
        <w:t xml:space="preserve"> W3C Recommendation, 5 out. 2023. Disponível em: https://www.w3.org/TR/WCAG22/. Acesso em: 22 set. 2026.</w:t>
      </w:r>
    </w:p>
    <w:p>
      <w:pPr>
        <w:pStyle w:val="fResumoReferncias"/>
        <w:spacing w:after="240"/>
        <w:jc w:val="left"/>
      </w:pPr>
      <w:r>
        <w:t xml:space="preserve">WORLD WIDE WEB CONSORTIUM. </w:t>
      </w:r>
      <w:r>
        <w:rPr>
          <w:b/>
        </w:rPr>
        <w:t>WAI-ARIA Authoring Practices Guide (APG).</w:t>
      </w:r>
      <w:r>
        <w:t xml:space="preserve"> Web Accessibility Initiative, 2025. Disponível em: https://www.w3.org/WAI/ARIA/apg/. Acesso em: 22 set. 2026.</w:t>
      </w:r>
    </w:p>
    <w:sectPr w:rsidR="00C9224C" w:rsidSect="001E279A">
      <w:headerReference w:type="default" r:id="rId15"/>
      <w:pgSz w:w="11900" w:h="16840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0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400C4"/>
    <w:multiLevelType w:val="multilevel"/>
    <w:tmpl w:val="05BAF4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CA3017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7635BFE"/>
    <w:multiLevelType w:val="multilevel"/>
    <w:tmpl w:val="B8725E5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AD8171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E5303A2"/>
    <w:multiLevelType w:val="hybridMultilevel"/>
    <w:tmpl w:val="0F78E3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12251A"/>
    <w:multiLevelType w:val="multilevel"/>
    <w:tmpl w:val="2568821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01F4ADB"/>
    <w:multiLevelType w:val="hybridMultilevel"/>
    <w:tmpl w:val="F4589B08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7" w15:restartNumberingAfterBreak="0">
    <w:nsid w:val="32B92F35"/>
    <w:multiLevelType w:val="hybridMultilevel"/>
    <w:tmpl w:val="79088C2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8" w15:restartNumberingAfterBreak="0">
    <w:nsid w:val="34991952"/>
    <w:multiLevelType w:val="hybridMultilevel"/>
    <w:tmpl w:val="391A073C"/>
    <w:lvl w:ilvl="0" w:tplc="0EC05EE0">
      <w:start w:val="1"/>
      <w:numFmt w:val="bullet"/>
      <w:pStyle w:val="btextocom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4F0061B"/>
    <w:multiLevelType w:val="hybridMultilevel"/>
    <w:tmpl w:val="E788FD94"/>
    <w:lvl w:ilvl="0" w:tplc="AE3EFF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00FC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40D5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6E0F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FCC4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146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5E92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2C22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9889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B329F1"/>
    <w:multiLevelType w:val="multilevel"/>
    <w:tmpl w:val="7E24A42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B5C0B83"/>
    <w:multiLevelType w:val="hybridMultilevel"/>
    <w:tmpl w:val="9222AF2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12" w15:restartNumberingAfterBreak="0">
    <w:nsid w:val="56D27A89"/>
    <w:multiLevelType w:val="hybridMultilevel"/>
    <w:tmpl w:val="3EDE41E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13" w15:restartNumberingAfterBreak="0">
    <w:nsid w:val="78936F8D"/>
    <w:multiLevelType w:val="multilevel"/>
    <w:tmpl w:val="EC0E82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20" w:hanging="40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7E526C01"/>
    <w:multiLevelType w:val="hybridMultilevel"/>
    <w:tmpl w:val="4A284874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num w:numId="1" w16cid:durableId="17782879">
    <w:abstractNumId w:val="0"/>
  </w:num>
  <w:num w:numId="2" w16cid:durableId="858860161">
    <w:abstractNumId w:val="10"/>
  </w:num>
  <w:num w:numId="3" w16cid:durableId="1393386769">
    <w:abstractNumId w:val="5"/>
  </w:num>
  <w:num w:numId="4" w16cid:durableId="379062012">
    <w:abstractNumId w:val="2"/>
  </w:num>
  <w:num w:numId="5" w16cid:durableId="140655516">
    <w:abstractNumId w:val="9"/>
  </w:num>
  <w:num w:numId="6" w16cid:durableId="1418138093">
    <w:abstractNumId w:val="1"/>
  </w:num>
  <w:num w:numId="7" w16cid:durableId="790317324">
    <w:abstractNumId w:val="4"/>
  </w:num>
  <w:num w:numId="8" w16cid:durableId="2115202220">
    <w:abstractNumId w:val="3"/>
  </w:num>
  <w:num w:numId="9" w16cid:durableId="542135503">
    <w:abstractNumId w:val="13"/>
  </w:num>
  <w:num w:numId="10" w16cid:durableId="1219510748">
    <w:abstractNumId w:val="12"/>
  </w:num>
  <w:num w:numId="11" w16cid:durableId="149953081">
    <w:abstractNumId w:val="6"/>
  </w:num>
  <w:num w:numId="12" w16cid:durableId="1015612440">
    <w:abstractNumId w:val="11"/>
  </w:num>
  <w:num w:numId="13" w16cid:durableId="262496300">
    <w:abstractNumId w:val="7"/>
  </w:num>
  <w:num w:numId="14" w16cid:durableId="815681277">
    <w:abstractNumId w:val="14"/>
  </w:num>
  <w:num w:numId="15" w16cid:durableId="10147636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24C"/>
    <w:rsid w:val="000075A3"/>
    <w:rsid w:val="0000C410"/>
    <w:rsid w:val="00012697"/>
    <w:rsid w:val="00050D6C"/>
    <w:rsid w:val="000BA06E"/>
    <w:rsid w:val="000F29AC"/>
    <w:rsid w:val="0011321E"/>
    <w:rsid w:val="0013398F"/>
    <w:rsid w:val="001C23E7"/>
    <w:rsid w:val="001E279A"/>
    <w:rsid w:val="001E2C4B"/>
    <w:rsid w:val="00223004"/>
    <w:rsid w:val="00235B32"/>
    <w:rsid w:val="00244505"/>
    <w:rsid w:val="002F5D05"/>
    <w:rsid w:val="00343142"/>
    <w:rsid w:val="00366E6B"/>
    <w:rsid w:val="00432AEE"/>
    <w:rsid w:val="00456F97"/>
    <w:rsid w:val="004642AC"/>
    <w:rsid w:val="00501692"/>
    <w:rsid w:val="005531D2"/>
    <w:rsid w:val="005B5877"/>
    <w:rsid w:val="005E1A0D"/>
    <w:rsid w:val="0060268D"/>
    <w:rsid w:val="006079D1"/>
    <w:rsid w:val="00657C7E"/>
    <w:rsid w:val="006B311C"/>
    <w:rsid w:val="006E5BD9"/>
    <w:rsid w:val="00710BC6"/>
    <w:rsid w:val="0076BD18"/>
    <w:rsid w:val="007959B6"/>
    <w:rsid w:val="007A1FDD"/>
    <w:rsid w:val="007B11A1"/>
    <w:rsid w:val="00801CD8"/>
    <w:rsid w:val="00813CBF"/>
    <w:rsid w:val="008D7F71"/>
    <w:rsid w:val="009A5852"/>
    <w:rsid w:val="009A5A33"/>
    <w:rsid w:val="009B4DF7"/>
    <w:rsid w:val="00A36CBF"/>
    <w:rsid w:val="00A52E19"/>
    <w:rsid w:val="00AA3246"/>
    <w:rsid w:val="00AB6B6F"/>
    <w:rsid w:val="00AF0706"/>
    <w:rsid w:val="00B012ED"/>
    <w:rsid w:val="00B140FE"/>
    <w:rsid w:val="00B23BC8"/>
    <w:rsid w:val="00B33F63"/>
    <w:rsid w:val="00B431D7"/>
    <w:rsid w:val="00B43804"/>
    <w:rsid w:val="00B9552E"/>
    <w:rsid w:val="00BB7815"/>
    <w:rsid w:val="00BE56D9"/>
    <w:rsid w:val="00C802B8"/>
    <w:rsid w:val="00C87137"/>
    <w:rsid w:val="00C9224C"/>
    <w:rsid w:val="00CA44C6"/>
    <w:rsid w:val="00D26AC7"/>
    <w:rsid w:val="00D64244"/>
    <w:rsid w:val="00D963B3"/>
    <w:rsid w:val="00E471C6"/>
    <w:rsid w:val="00EC3999"/>
    <w:rsid w:val="00ED2DA3"/>
    <w:rsid w:val="00EE01FB"/>
    <w:rsid w:val="00F6072D"/>
    <w:rsid w:val="00F80F33"/>
    <w:rsid w:val="01115AF9"/>
    <w:rsid w:val="0177F0FE"/>
    <w:rsid w:val="01D39D7F"/>
    <w:rsid w:val="025DEA00"/>
    <w:rsid w:val="02D5484B"/>
    <w:rsid w:val="03142E3B"/>
    <w:rsid w:val="0375B638"/>
    <w:rsid w:val="03F9BA61"/>
    <w:rsid w:val="098B3AE2"/>
    <w:rsid w:val="09B2AB85"/>
    <w:rsid w:val="0AB1C06A"/>
    <w:rsid w:val="0D9F9661"/>
    <w:rsid w:val="0ECA7897"/>
    <w:rsid w:val="0F842675"/>
    <w:rsid w:val="123A5C12"/>
    <w:rsid w:val="14B58EB4"/>
    <w:rsid w:val="16383040"/>
    <w:rsid w:val="1706BAFF"/>
    <w:rsid w:val="170D7A92"/>
    <w:rsid w:val="18583280"/>
    <w:rsid w:val="1D383E88"/>
    <w:rsid w:val="1D6790F9"/>
    <w:rsid w:val="1EC77404"/>
    <w:rsid w:val="1ED3C240"/>
    <w:rsid w:val="1FCAF549"/>
    <w:rsid w:val="206F92A1"/>
    <w:rsid w:val="208D8DE8"/>
    <w:rsid w:val="23B40D84"/>
    <w:rsid w:val="23C6B4B4"/>
    <w:rsid w:val="23E00C5B"/>
    <w:rsid w:val="24706051"/>
    <w:rsid w:val="254FDDE5"/>
    <w:rsid w:val="25BB92A5"/>
    <w:rsid w:val="260C30B2"/>
    <w:rsid w:val="26DED20C"/>
    <w:rsid w:val="26EBAE46"/>
    <w:rsid w:val="27237039"/>
    <w:rsid w:val="29CB1D78"/>
    <w:rsid w:val="2D139BF6"/>
    <w:rsid w:val="2D19E53D"/>
    <w:rsid w:val="2E358A60"/>
    <w:rsid w:val="2FAD81BA"/>
    <w:rsid w:val="326BA7BF"/>
    <w:rsid w:val="32D463B6"/>
    <w:rsid w:val="3471429D"/>
    <w:rsid w:val="35D4F216"/>
    <w:rsid w:val="36BA7E3C"/>
    <w:rsid w:val="3770C277"/>
    <w:rsid w:val="394046C3"/>
    <w:rsid w:val="394ECF21"/>
    <w:rsid w:val="39802A8D"/>
    <w:rsid w:val="3B7BDFA7"/>
    <w:rsid w:val="3DC6756A"/>
    <w:rsid w:val="3EA5A941"/>
    <w:rsid w:val="41721415"/>
    <w:rsid w:val="42D30BCC"/>
    <w:rsid w:val="462E3930"/>
    <w:rsid w:val="46C7017A"/>
    <w:rsid w:val="474C7C3A"/>
    <w:rsid w:val="47AB3C9C"/>
    <w:rsid w:val="47BED48E"/>
    <w:rsid w:val="497D25FA"/>
    <w:rsid w:val="49F478BD"/>
    <w:rsid w:val="4B254497"/>
    <w:rsid w:val="4B321EB8"/>
    <w:rsid w:val="4C7EADBF"/>
    <w:rsid w:val="4D2EE07C"/>
    <w:rsid w:val="4DA09C29"/>
    <w:rsid w:val="4E0155C3"/>
    <w:rsid w:val="50058FDB"/>
    <w:rsid w:val="50D83CEB"/>
    <w:rsid w:val="5123D1C5"/>
    <w:rsid w:val="5226DFD4"/>
    <w:rsid w:val="55DEEE12"/>
    <w:rsid w:val="599349C4"/>
    <w:rsid w:val="5998277D"/>
    <w:rsid w:val="5B43ABD5"/>
    <w:rsid w:val="5C6F8F15"/>
    <w:rsid w:val="5DF9E172"/>
    <w:rsid w:val="5EBD2A16"/>
    <w:rsid w:val="61BED919"/>
    <w:rsid w:val="62096C45"/>
    <w:rsid w:val="62627DBC"/>
    <w:rsid w:val="627F654D"/>
    <w:rsid w:val="6303976F"/>
    <w:rsid w:val="63BC9071"/>
    <w:rsid w:val="63FA65B6"/>
    <w:rsid w:val="6509DFC5"/>
    <w:rsid w:val="65963617"/>
    <w:rsid w:val="662FC614"/>
    <w:rsid w:val="687ADF07"/>
    <w:rsid w:val="6E358ADD"/>
    <w:rsid w:val="70122A43"/>
    <w:rsid w:val="70DCEF65"/>
    <w:rsid w:val="722322AC"/>
    <w:rsid w:val="77E765DF"/>
    <w:rsid w:val="79064913"/>
    <w:rsid w:val="79867451"/>
    <w:rsid w:val="7A9A2BEE"/>
    <w:rsid w:val="7AA94785"/>
    <w:rsid w:val="7BF1393C"/>
    <w:rsid w:val="7C24C178"/>
    <w:rsid w:val="7D8A78DC"/>
    <w:rsid w:val="7DD9BA36"/>
    <w:rsid w:val="7E283BDF"/>
    <w:rsid w:val="7F758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212D89"/>
  <w14:defaultImageDpi w14:val="330"/>
  <w15:docId w15:val="{5491C790-58F0-4E11-8579-7B66D7FA9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24C"/>
    <w:rPr>
      <w:rFonts w:ascii="Times New Roman" w:eastAsia="Times New Roman" w:hAnsi="Times New Roman" w:cs="Times New Roman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C9224C"/>
    <w:pPr>
      <w:spacing w:line="360" w:lineRule="auto"/>
      <w:outlineLvl w:val="0"/>
    </w:pPr>
    <w:rPr>
      <w:b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9224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79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224C"/>
    <w:rPr>
      <w:rFonts w:ascii="Times New Roman" w:eastAsia="Times New Roman" w:hAnsi="Times New Roman" w:cs="Times New Roman"/>
      <w:b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9224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pt-BR"/>
    </w:rPr>
  </w:style>
  <w:style w:type="character" w:styleId="Hyperlink">
    <w:name w:val="Hyperlink"/>
    <w:basedOn w:val="Fontepargpadro"/>
    <w:uiPriority w:val="99"/>
    <w:unhideWhenUsed/>
    <w:rsid w:val="00C9224C"/>
    <w:rPr>
      <w:color w:val="0000FF" w:themeColor="hyperlink"/>
      <w:u w:val="single"/>
    </w:rPr>
  </w:style>
  <w:style w:type="paragraph" w:customStyle="1" w:styleId="Normal0">
    <w:name w:val="Normal0"/>
    <w:basedOn w:val="Normal"/>
    <w:qFormat/>
    <w:rsid w:val="00C9224C"/>
  </w:style>
  <w:style w:type="paragraph" w:styleId="PargrafodaLista">
    <w:name w:val="List Paragraph"/>
    <w:basedOn w:val="Normal"/>
    <w:uiPriority w:val="34"/>
    <w:qFormat/>
    <w:rsid w:val="00C9224C"/>
    <w:pPr>
      <w:pBdr>
        <w:top w:val="nil"/>
        <w:left w:val="nil"/>
        <w:bottom w:val="nil"/>
        <w:right w:val="nil"/>
        <w:between w:val="nil"/>
      </w:pBdr>
      <w:spacing w:line="360" w:lineRule="auto"/>
      <w:ind w:left="720"/>
      <w:contextualSpacing/>
      <w:jc w:val="center"/>
    </w:pPr>
    <w:rPr>
      <w:rFonts w:ascii="Arial" w:eastAsia="Arial" w:hAnsi="Arial" w:cs="Arial"/>
      <w:color w:val="000000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customStyle="1" w:styleId="atexto-base">
    <w:name w:val="a) texto-base"/>
    <w:qFormat/>
    <w:rsid w:val="005E1A0D"/>
    <w:pPr>
      <w:spacing w:after="360" w:line="360" w:lineRule="auto"/>
      <w:jc w:val="both"/>
    </w:pPr>
    <w:rPr>
      <w:rFonts w:ascii="Times New Roman" w:eastAsia="Times New Roman" w:hAnsi="Times New Roman" w:cs="Times New Roman"/>
      <w:lang w:eastAsia="pt-BR"/>
    </w:rPr>
  </w:style>
  <w:style w:type="paragraph" w:customStyle="1" w:styleId="btextocombullets">
    <w:name w:val="b) texto com bullets"/>
    <w:basedOn w:val="atexto-base"/>
    <w:qFormat/>
    <w:rsid w:val="00B431D7"/>
    <w:pPr>
      <w:numPr>
        <w:numId w:val="15"/>
      </w:numPr>
      <w:contextualSpacing/>
    </w:pPr>
    <w:rPr>
      <w:rFonts w:asciiTheme="majorBidi" w:hAnsiTheme="majorBidi" w:cstheme="majorBidi"/>
      <w:color w:val="000000"/>
    </w:rPr>
  </w:style>
  <w:style w:type="paragraph" w:customStyle="1" w:styleId="ccitao">
    <w:name w:val="c) citação"/>
    <w:basedOn w:val="atexto-base"/>
    <w:qFormat/>
    <w:rsid w:val="00C87137"/>
    <w:pPr>
      <w:spacing w:line="240" w:lineRule="auto"/>
      <w:ind w:left="2268"/>
      <w:contextualSpacing/>
    </w:pPr>
    <w:rPr>
      <w:sz w:val="20"/>
      <w:szCs w:val="20"/>
    </w:rPr>
  </w:style>
  <w:style w:type="paragraph" w:customStyle="1" w:styleId="1ttulonivel1">
    <w:name w:val="1) título nivel 1"/>
    <w:basedOn w:val="atexto-base"/>
    <w:next w:val="atexto-base"/>
    <w:qFormat/>
    <w:rsid w:val="007959B6"/>
    <w:pPr>
      <w:pageBreakBefore/>
      <w:outlineLvl w:val="0"/>
    </w:pPr>
    <w:rPr>
      <w:b/>
      <w:caps/>
    </w:rPr>
  </w:style>
  <w:style w:type="paragraph" w:customStyle="1" w:styleId="2ttulonivel2">
    <w:name w:val="2) título nivel 2"/>
    <w:basedOn w:val="1ttulonivel1"/>
    <w:qFormat/>
    <w:rsid w:val="009A5A33"/>
    <w:pPr>
      <w:keepNext/>
      <w:pageBreakBefore w:val="0"/>
    </w:pPr>
    <w:rPr>
      <w:b w:val="0"/>
    </w:rPr>
  </w:style>
  <w:style w:type="paragraph" w:customStyle="1" w:styleId="dcapa">
    <w:name w:val="d) capa"/>
    <w:basedOn w:val="Normal"/>
    <w:qFormat/>
    <w:rsid w:val="00D26AC7"/>
    <w:pPr>
      <w:widowControl w:val="0"/>
      <w:jc w:val="center"/>
    </w:pPr>
    <w:rPr>
      <w:sz w:val="28"/>
      <w:szCs w:val="28"/>
    </w:rPr>
  </w:style>
  <w:style w:type="paragraph" w:customStyle="1" w:styleId="ecapadescrio">
    <w:name w:val="e) capa descrição"/>
    <w:basedOn w:val="dcapa"/>
    <w:qFormat/>
    <w:rsid w:val="00D963B3"/>
    <w:pPr>
      <w:ind w:left="4536"/>
      <w:jc w:val="left"/>
    </w:pPr>
    <w:rPr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79D1"/>
    <w:rPr>
      <w:rFonts w:asciiTheme="majorHAnsi" w:eastAsiaTheme="majorEastAsia" w:hAnsiTheme="majorHAnsi" w:cstheme="majorBidi"/>
      <w:color w:val="243F60" w:themeColor="accent1" w:themeShade="7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AB6B6F"/>
    <w:pPr>
      <w:tabs>
        <w:tab w:val="right" w:leader="dot" w:pos="9072"/>
      </w:tabs>
      <w:spacing w:after="360"/>
    </w:pPr>
    <w:rPr>
      <w:b/>
      <w:caps/>
    </w:rPr>
  </w:style>
  <w:style w:type="paragraph" w:styleId="Sumrio2">
    <w:name w:val="toc 2"/>
    <w:basedOn w:val="Sumrio1"/>
    <w:next w:val="Normal"/>
    <w:autoRedefine/>
    <w:uiPriority w:val="39"/>
    <w:unhideWhenUsed/>
    <w:rsid w:val="004642AC"/>
    <w:pPr>
      <w:contextualSpacing/>
    </w:pPr>
    <w:rPr>
      <w:b w:val="0"/>
      <w:caps w:val="0"/>
    </w:rPr>
  </w:style>
  <w:style w:type="paragraph" w:customStyle="1" w:styleId="fResumoReferncias">
    <w:name w:val="f) Resumo/Referências"/>
    <w:basedOn w:val="atexto-base"/>
    <w:qFormat/>
    <w:rsid w:val="00BB7815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78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teses.usp.br/index.php?option=com_content&amp;view=article&amp;id=52&amp;Itemid=6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B29BB4-7A73-4CD1-BECD-EA154FF09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14</Pages>
  <Words>1530</Words>
  <Characters>8264</Characters>
  <Application>Microsoft Office Word</Application>
  <DocSecurity>0</DocSecurity>
  <Lines>68</Lines>
  <Paragraphs>19</Paragraphs>
  <ScaleCrop>false</ScaleCrop>
  <Company>Fernanda</Company>
  <LinksUpToDate>false</LinksUpToDate>
  <CharactersWithSpaces>9775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D Olivo</dc:creator>
  <cp:keywords/>
  <dc:description/>
  <cp:lastModifiedBy>Alfredo Salvador Vieira Coelho</cp:lastModifiedBy>
  <cp:revision>13</cp:revision>
  <dcterms:created xsi:type="dcterms:W3CDTF">2023-03-20T13:49:00Z</dcterms:created>
  <dcterms:modified xsi:type="dcterms:W3CDTF">2023-03-20T14:08:00Z</dcterms:modified>
</cp:coreProperties>
</file>