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cf4603f96321a7ad4c3bd7bd00962cb6611e7f0"/>
    <w:p>
      <w:pPr>
        <w:pStyle w:val="Ttulo1"/>
      </w:pPr>
      <w:r>
        <w:t xml:space="preserve">From Signals to Decisions: A Framework for Executive Signal Synthesis in AI Systems</w:t>
      </w:r>
    </w:p>
    <w:p>
      <w:pPr>
        <w:pStyle w:val="FirstParagraph"/>
      </w:pPr>
      <w:r>
        <w:rPr>
          <w:b/>
          <w:bCs/>
        </w:rPr>
        <w:t xml:space="preserve">Author:</w:t>
      </w:r>
      <w:r>
        <w:t xml:space="preserve"> </w:t>
      </w:r>
      <w:r>
        <w:t xml:space="preserve">Nina Cressoni</w:t>
      </w:r>
      <w:r>
        <w:t xml:space="preserve"> </w:t>
      </w:r>
      <w:r>
        <w:rPr>
          <w:b/>
          <w:bCs/>
        </w:rPr>
        <w:t xml:space="preserve">Affiliation:</w:t>
      </w:r>
      <w:r>
        <w:t xml:space="preserve"> </w:t>
      </w:r>
      <w:r>
        <w:t xml:space="preserve">Flowity AI</w:t>
      </w:r>
      <w:r>
        <w:t xml:space="preserve"> </w:t>
      </w:r>
      <w:r>
        <w:rPr>
          <w:b/>
          <w:bCs/>
        </w:rPr>
        <w:t xml:space="preserve">Status:</w:t>
      </w:r>
      <w:r>
        <w:t xml:space="preserve"> </w:t>
      </w:r>
      <w:r>
        <w:t xml:space="preserve">Research preprint — Zenodo submission candidate</w:t>
      </w:r>
      <w:r>
        <w:t xml:space="preserve"> </w:t>
      </w:r>
      <w:r>
        <w:rPr>
          <w:b/>
          <w:bCs/>
        </w:rPr>
        <w:t xml:space="preserve">Version:</w:t>
      </w:r>
      <w:r>
        <w:t xml:space="preserve"> </w:t>
      </w:r>
      <w:r>
        <w:t xml:space="preserve">v3 / run-20260319-141500</w:t>
      </w:r>
      <w:r>
        <w:t xml:space="preserve"> </w:t>
      </w:r>
      <w:r>
        <w:rPr>
          <w:b/>
          <w:bCs/>
        </w:rPr>
        <w:t xml:space="preserve">Date:</w:t>
      </w:r>
      <w:r>
        <w:t xml:space="preserve"> </w:t>
      </w:r>
      <w:r>
        <w:t xml:space="preserve">March 2026</w:t>
      </w:r>
    </w:p>
    <w:p>
      <w:r>
        <w:pict>
          <v:rect style="width:0;height:1.5pt" o:hralign="center" o:hrstd="t" o:hr="t"/>
        </w:pict>
      </w:r>
    </w:p>
    <w:bookmarkStart w:id="9" w:name="abstract"/>
    <w:p>
      <w:pPr>
        <w:pStyle w:val="Ttulo2"/>
      </w:pPr>
      <w:r>
        <w:t xml:space="preserve">Abstract</w:t>
      </w:r>
    </w:p>
    <w:p>
      <w:pPr>
        <w:pStyle w:val="FirstParagraph"/>
      </w:pPr>
      <w:r>
        <w:t xml:space="preserve">Organizations continuously generate heterogeneous information across operational systems — from customer interactions and support activity to internal discussions, market observations, and incident reports. Despite this volume, organizational information rarely reaches decision-makers in a structured, prioritized, or actionable form. This gap —</w:t>
      </w:r>
      <w:r>
        <w:t xml:space="preserve"> </w:t>
      </w:r>
      <w:r>
        <w:rPr>
          <w:i/>
          <w:iCs/>
        </w:rPr>
        <w:t xml:space="preserve">executive decision latency</w:t>
      </w:r>
      <w:r>
        <w:t xml:space="preserve"> </w:t>
      </w:r>
      <w:r>
        <w:t xml:space="preserve">— forces leadership to act on incomplete pattern recognition and fragmented context.</w:t>
      </w:r>
    </w:p>
    <w:p>
      <w:pPr>
        <w:pStyle w:val="BodyText"/>
      </w:pPr>
      <w:r>
        <w:t xml:space="preserve">This paper introduces</w:t>
      </w:r>
      <w:r>
        <w:t xml:space="preserve"> </w:t>
      </w:r>
      <w:r>
        <w:rPr>
          <w:b/>
          <w:bCs/>
        </w:rPr>
        <w:t xml:space="preserve">Executive Signal Synthesis (ESS)</w:t>
      </w:r>
      <w:r>
        <w:t xml:space="preserve">: a new class of AI-assisted decision support defined as</w:t>
      </w:r>
      <w:r>
        <w:t xml:space="preserve"> </w:t>
      </w:r>
      <w:r>
        <w:rPr>
          <w:i/>
          <w:iCs/>
        </w:rPr>
        <w:t xml:space="preserve">signal-to-decision processors</w:t>
      </w:r>
      <w:r>
        <w:t xml:space="preserve"> </w:t>
      </w:r>
      <w:r>
        <w:t xml:space="preserve">— systems that ingest heterogeneous organizational signals and produce structured, explainable executive decision intelligence without requiring pre-defined queries or schemas from the decision-maker. ESS occupies a previously unnamed position in the decision support landscape: beyond retrieval, beyond summarization, and distinct from general-purpose business intelligence.</w:t>
      </w:r>
    </w:p>
    <w:p>
      <w:pPr>
        <w:pStyle w:val="BodyText"/>
      </w:pPr>
      <w:r>
        <w:t xml:space="preserve">The contributions of this paper are:</w:t>
      </w:r>
    </w:p>
    <w:p>
      <w:pPr>
        <w:pStyle w:val="Compact"/>
        <w:numPr>
          <w:ilvl w:val="0"/>
          <w:numId w:val="1001"/>
        </w:numPr>
      </w:pPr>
      <w:r>
        <w:rPr>
          <w:b/>
          <w:bCs/>
        </w:rPr>
        <w:t xml:space="preserve">Category creation:</w:t>
      </w:r>
      <w:r>
        <w:t xml:space="preserve"> </w:t>
      </w:r>
      <w:r>
        <w:t xml:space="preserve">ESS defines a new class of AI systems — signal-to-decision processors — with formal criteria distinguishing them from business intelligence platforms, search systems, and summarization tools.</w:t>
      </w:r>
    </w:p>
    <w:p>
      <w:pPr>
        <w:pStyle w:val="Compact"/>
        <w:numPr>
          <w:ilvl w:val="0"/>
          <w:numId w:val="1001"/>
        </w:numPr>
      </w:pPr>
      <w:r>
        <w:rPr>
          <w:b/>
          <w:bCs/>
        </w:rPr>
        <w:t xml:space="preserve">Framework definition:</w:t>
      </w:r>
      <w:r>
        <w:t xml:space="preserve"> </w:t>
      </w:r>
      <w:r>
        <w:t xml:space="preserve">A four-stage methodological pipeline (Ingestion → Classification → Clustering → Synthesis) specifying the necessary operations, intermediate representations, and outputs for a signal-to-decision system.</w:t>
      </w:r>
    </w:p>
    <w:p>
      <w:pPr>
        <w:pStyle w:val="Compact"/>
        <w:numPr>
          <w:ilvl w:val="0"/>
          <w:numId w:val="1001"/>
        </w:numPr>
      </w:pPr>
      <w:r>
        <w:rPr>
          <w:b/>
          <w:bCs/>
        </w:rPr>
        <w:t xml:space="preserve">Prototype instantiation:</w:t>
      </w:r>
      <w:r>
        <w:t xml:space="preserve"> </w:t>
      </w:r>
      <w:r>
        <w:t xml:space="preserve">A functional Python implementation demonstrating that the ESS pipeline is buildable with standard computational tools, including end-to-end execution and evaluation metrics on a controlled synthetic dataset.</w:t>
      </w:r>
    </w:p>
    <w:p>
      <w:pPr>
        <w:pStyle w:val="FirstParagraph"/>
      </w:pPr>
      <w:r>
        <w:t xml:space="preserve">Prototype evaluation demonstrates structural feasibility: 5 synthetic organizational signals processed across 5 source types, producing 3 clusters of which 2 are cross-source (cross-source ratio: 0.67; signal compression ratio: 1.67×). This is a structural feasibility validation — establishing that the pipeline can execute and detect cross-source patterns — not a decision quality validation, which requires a formal evaluation benchmark not yet established in the literature.</w:t>
      </w:r>
    </w:p>
    <w:p>
      <w:pPr>
        <w:pStyle w:val="BodyText"/>
      </w:pPr>
      <w:r>
        <w:t xml:space="preserve">Prototype limitations are explicit: synthetic data (n=5), keyword-based classification, TF-IDF clustering, rule-based synthesis, and exploratory metrics only. Future research directions include semantic signal representation, graph-based pattern detection, formal decision quality benchmarking, and human-in-the-loop validation with executive stakeholders.</w:t>
      </w:r>
    </w:p>
    <w:p>
      <w:r>
        <w:pict>
          <v:rect style="width:0;height:1.5pt" o:hralign="center" o:hrstd="t" o:hr="t"/>
        </w:pict>
      </w:r>
    </w:p>
    <w:bookmarkEnd w:id="9"/>
    <w:bookmarkStart w:id="10" w:name="problem"/>
    <w:p>
      <w:pPr>
        <w:pStyle w:val="Ttulo2"/>
      </w:pPr>
      <w:r>
        <w:t xml:space="preserve">1. Problem</w:t>
      </w:r>
    </w:p>
    <w:p>
      <w:pPr>
        <w:pStyle w:val="FirstParagraph"/>
      </w:pPr>
      <w:r>
        <w:t xml:space="preserve">Modern organizations continuously generate large volumes of heterogeneous information. Customer support interactions, sales conversations, internal meeting notes, product usage observations, community discussions, and operational incident reports constitute a continuous stream of organizational data. Each source is independently managed, formatted differently, and consumed — if consumed at all — in isolation.</w:t>
      </w:r>
    </w:p>
    <w:p>
      <w:pPr>
        <w:pStyle w:val="BodyText"/>
      </w:pPr>
      <w:r>
        <w:t xml:space="preserve">Despite this volume, this information rarely reaches decision-makers in a form that is structured, prioritized, or actionable. The result is a persistent and systematic gap: the signals an organization produces do not translate into the decisions its leadership can make.</w:t>
      </w:r>
    </w:p>
    <w:p>
      <w:pPr>
        <w:pStyle w:val="BodyText"/>
      </w:pPr>
      <w:r>
        <w:t xml:space="preserve">This gap is not primarily a data collection problem. Most organizations have abundant raw information. The problem is structural: information remains distributed across source systems, lacks a shared schema, and requires significant manual effort to interpret in combination. Executives operate under conditions of</w:t>
      </w:r>
      <w:r>
        <w:t xml:space="preserve"> </w:t>
      </w:r>
      <w:r>
        <w:rPr>
          <w:i/>
          <w:iCs/>
        </w:rPr>
        <w:t xml:space="preserve">signal fragmentation</w:t>
      </w:r>
      <w:r>
        <w:t xml:space="preserve"> </w:t>
      </w:r>
      <w:r>
        <w:t xml:space="preserve">— processing isolated reports rather than synthesized intelligence — which increases decision latency and reduces strategic coherence.</w:t>
      </w:r>
    </w:p>
    <w:p>
      <w:pPr>
        <w:pStyle w:val="BodyText"/>
      </w:pPr>
      <w:r>
        <w:t xml:space="preserve">Daft and Lengel (1986) formally characterized this as an</w:t>
      </w:r>
      <w:r>
        <w:t xml:space="preserve"> </w:t>
      </w:r>
      <w:r>
        <w:rPr>
          <w:i/>
          <w:iCs/>
        </w:rPr>
        <w:t xml:space="preserve">equivocality</w:t>
      </w:r>
      <w:r>
        <w:t xml:space="preserve"> </w:t>
      </w:r>
      <w:r>
        <w:t xml:space="preserve">problem: organizational actors face not a shortage of data but a surplus of uninterpreted, ambiguous information requiring clarity and frame construction. Weick (1995) described the same challenge as organizational sensemaking — the ongoing process by which actors construct plausible interpretations of environmental cues. Critically, sensemaking is a cognitive process that current information systems do not systematically support at the executive level.</w:t>
      </w:r>
    </w:p>
    <w:p>
      <w:pPr>
        <w:pStyle w:val="BodyText"/>
      </w:pPr>
      <w:r>
        <w:rPr>
          <w:b/>
          <w:bCs/>
        </w:rPr>
        <w:t xml:space="preserve">Research Question:</w:t>
      </w:r>
      <w:r>
        <w:t xml:space="preserve"> </w:t>
      </w:r>
      <w:r>
        <w:t xml:space="preserve">Can a structured four-stage pipeline — comprising signal ingestion, classification, clustering, and synthesis — systematically transform fragmented organizational signals into interpretable executive decision artifacts, and can a prototype implementation validate the structural feasibility of this pipeline on a controlled synthetic dataset?</w:t>
      </w:r>
    </w:p>
    <w:p>
      <w:pPr>
        <w:pStyle w:val="BodyText"/>
      </w:pPr>
      <w:r>
        <w:t xml:space="preserve">The contributions of this paper are three: a category definition (ESS as a new class of systems), a methodological framework (the four-stage pipeline), and a prototype instantiation (a functional Python implementation). Each contribution is described in subsequent sections.</w:t>
      </w:r>
    </w:p>
    <w:p>
      <w:r>
        <w:pict>
          <v:rect style="width:0;height:1.5pt" o:hralign="center" o:hrstd="t" o:hr="t"/>
        </w:pict>
      </w:r>
    </w:p>
    <w:bookmarkEnd w:id="10"/>
    <w:bookmarkStart w:id="11" w:name="why-current-systems-fail"/>
    <w:p>
      <w:pPr>
        <w:pStyle w:val="Ttulo2"/>
      </w:pPr>
      <w:r>
        <w:t xml:space="preserve">2. Why Current Systems Fail</w:t>
      </w:r>
    </w:p>
    <w:p>
      <w:pPr>
        <w:pStyle w:val="FirstParagraph"/>
      </w:pPr>
      <w:r>
        <w:t xml:space="preserve">Existing decision support and analytics tools do not close the signal-to-decision gap. Their failure is structural, not incidental, and understanding it precisely is necessary to position ESS correctly.</w:t>
      </w:r>
    </w:p>
    <w:p>
      <w:pPr>
        <w:pStyle w:val="BodyText"/>
      </w:pPr>
      <w:r>
        <w:rPr>
          <w:b/>
          <w:bCs/>
        </w:rPr>
        <w:t xml:space="preserve">Business intelligence (BI) platforms</w:t>
      </w:r>
      <w:r>
        <w:t xml:space="preserve"> </w:t>
      </w:r>
      <w:r>
        <w:t xml:space="preserve">are designed for data retrieval and metric presentation. Dashboards surface numbers; reports aggregate rows. They are query-driven: they produce outputs in response to questions that a human must first formulate. This is their fundamental constraint — they amplify the decision-maker’s existing knowledge but cannot detect patterns the decision-maker has not thought to ask about.</w:t>
      </w:r>
    </w:p>
    <w:p>
      <w:pPr>
        <w:pStyle w:val="BodyText"/>
      </w:pPr>
      <w:r>
        <w:rPr>
          <w:b/>
          <w:bCs/>
        </w:rPr>
        <w:t xml:space="preserve">Search systems</w:t>
      </w:r>
      <w:r>
        <w:t xml:space="preserve"> </w:t>
      </w:r>
      <w:r>
        <w:t xml:space="preserve">retrieve documents matching a query. They do not detect patterns across documents, assess cross-source significance, or produce decision-relevant abstractions. Like BI platforms, they are reactive: useful for retrieving what is known to be sought, not for surfacing what is unknown but relevant.</w:t>
      </w:r>
    </w:p>
    <w:p>
      <w:pPr>
        <w:pStyle w:val="BodyText"/>
      </w:pPr>
      <w:r>
        <w:rPr>
          <w:b/>
          <w:bCs/>
        </w:rPr>
        <w:t xml:space="preserve">Summarization tools</w:t>
      </w:r>
      <w:r>
        <w:t xml:space="preserve"> </w:t>
      </w:r>
      <w:r>
        <w:t xml:space="preserve">condense individual documents. They operate on single inputs and produce compressed versions of those inputs. They do not cross-reference multiple heterogeneous sources to detect emergent patterns. Their output is a shorter version of what was already there — not a new interpretive artifact derived from combining it.</w:t>
      </w:r>
    </w:p>
    <w:p>
      <w:pPr>
        <w:pStyle w:val="BodyText"/>
      </w:pPr>
      <w:r>
        <w:t xml:space="preserve">Gorry and Scott Morton (1971) established the foundational taxonomy of management information needs, distinguishing structured decisions (amenable to algorithmic support) from semi-structured and unstructured decisions (requiring human judgment augmented by system intelligence). Executive decision-making is predominantly semi-structured to unstructured — the category where existing BI, search, and summarization tools provide the least support precisely because they require the human to do the interpretive work before the system can help.</w:t>
      </w:r>
    </w:p>
    <w:p>
      <w:pPr>
        <w:pStyle w:val="BodyText"/>
      </w:pPr>
      <w:r>
        <w:t xml:space="preserve">Shim et al. (2002) traced the evolution of decision support technology across three decades, observing a consistent pattern: each generation extended the information sources it could integrate but stopped short of synthesis-level intelligence. The gap between data access and decision intelligence has been identified — but not systematically filled.</w:t>
      </w:r>
    </w:p>
    <w:p>
      <w:pPr>
        <w:pStyle w:val="BodyText"/>
      </w:pPr>
      <w:r>
        <w:t xml:space="preserve">ESS proposes to fill this gap with a new category of system: one that operates proactively on heterogeneous signal streams, detects cross-source patterns without pre-defined queries, and produces decision-directed artifacts. This is a different kind of tool, not an improved version of an existing one. Table 1 contrasts ESS systems with BI platforms, search systems, and summarization tools across five criteria that jointly define the signal-to-decision processor category.</w:t>
      </w:r>
    </w:p>
    <w:p>
      <w:pPr>
        <w:pStyle w:val="BodyText"/>
      </w:pPr>
      <w:r>
        <w:rPr>
          <w:b/>
          <w:bCs/>
        </w:rPr>
        <w:t xml:space="preserve">Table 1. Comparison of ESS (signal-to-decision processors) against existing decision support system types across five defining criteria.</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t xml:space="preserve">Criterion</w:t>
            </w:r>
          </w:p>
        </w:tc>
        <w:tc>
          <w:tcPr/>
          <w:p>
            <w:pPr>
              <w:pStyle w:val="Compact"/>
              <w:jc w:val="center"/>
            </w:pPr>
            <w:r>
              <w:t xml:space="preserve">BI Platform</w:t>
            </w:r>
          </w:p>
        </w:tc>
        <w:tc>
          <w:tcPr/>
          <w:p>
            <w:pPr>
              <w:pStyle w:val="Compact"/>
              <w:jc w:val="center"/>
            </w:pPr>
            <w:r>
              <w:t xml:space="preserve">Search System</w:t>
            </w:r>
          </w:p>
        </w:tc>
        <w:tc>
          <w:tcPr/>
          <w:p>
            <w:pPr>
              <w:pStyle w:val="Compact"/>
              <w:jc w:val="center"/>
            </w:pPr>
            <w:r>
              <w:t xml:space="preserve">Summarization Tool</w:t>
            </w:r>
          </w:p>
        </w:tc>
        <w:tc>
          <w:tcPr/>
          <w:p>
            <w:pPr>
              <w:pStyle w:val="Compact"/>
              <w:jc w:val="center"/>
            </w:pPr>
            <w:r>
              <w:t xml:space="preserve">ESS (Signal-to-Decision Processor)</w:t>
            </w:r>
          </w:p>
        </w:tc>
      </w:tr>
      <w:tr>
        <w:tc>
          <w:tcPr/>
          <w:p>
            <w:pPr>
              <w:pStyle w:val="Compact"/>
            </w:pPr>
            <w:r>
              <w:t xml:space="preserve">Operates on schema-free heterogeneous input streams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r>
      <w:tr>
        <w:tc>
          <w:tcPr/>
          <w:p>
            <w:pPr>
              <w:pStyle w:val="Compact"/>
            </w:pPr>
            <w:r>
              <w:t xml:space="preserve">Detects cross-source patterns proactively (no query required)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Produces decision artifacts with explicit evidence provenance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Output directed at executive decision-makers without analyst mediation</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Exposes reasoning chain to enable challenge and correction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i/>
          <w:iCs/>
        </w:rPr>
        <w:t xml:space="preserve">BI Platform: dashboards and reporting tools (e.g., business intelligence suites). Partial indicates that some implementations partially satisfy the criterion under specific configurations. ESS criteria are defined in Section 5.</w:t>
      </w:r>
    </w:p>
    <w:p>
      <w:r>
        <w:pict>
          <v:rect style="width:0;height:1.5pt" o:hralign="center" o:hrstd="t" o:hr="t"/>
        </w:pict>
      </w:r>
    </w:p>
    <w:bookmarkEnd w:id="11"/>
    <w:bookmarkStart w:id="12" w:name="definition-signals"/>
    <w:p>
      <w:pPr>
        <w:pStyle w:val="Ttulo2"/>
      </w:pPr>
      <w:r>
        <w:t xml:space="preserve">3. Definition: Signals</w:t>
      </w:r>
    </w:p>
    <w:p>
      <w:pPr>
        <w:pStyle w:val="FirstParagraph"/>
      </w:pPr>
      <w:r>
        <w:t xml:space="preserve">The term</w:t>
      </w:r>
      <w:r>
        <w:t xml:space="preserve"> </w:t>
      </w:r>
      <w:r>
        <w:rPr>
          <w:i/>
          <w:iCs/>
        </w:rPr>
        <w:t xml:space="preserve">signal</w:t>
      </w:r>
      <w:r>
        <w:t xml:space="preserve"> </w:t>
      </w:r>
      <w:r>
        <w:t xml:space="preserve">is used in this framework with a specific technical meaning, distinct from its common use in noise-signal metaphors.</w:t>
      </w:r>
    </w:p>
    <w:p>
      <w:pPr>
        <w:pStyle w:val="BodyText"/>
      </w:pPr>
      <w:r>
        <w:rPr>
          <w:b/>
          <w:bCs/>
        </w:rPr>
        <w:t xml:space="preserve">Definition.</w:t>
      </w:r>
      <w:r>
        <w:t xml:space="preserve"> </w:t>
      </w:r>
      <w:r>
        <w:t xml:space="preserve">A</w:t>
      </w:r>
      <w:r>
        <w:t xml:space="preserve"> </w:t>
      </w:r>
      <w:r>
        <w:rPr>
          <w:i/>
          <w:iCs/>
        </w:rPr>
        <w:t xml:space="preserve">business signal</w:t>
      </w:r>
      <w:r>
        <w:t xml:space="preserve"> </w:t>
      </w:r>
      <w:r>
        <w:t xml:space="preserve">is any discrete, machine-readable unit of organizational information that carries implicit decision-relevant content.</w:t>
      </w:r>
    </w:p>
    <w:p>
      <w:pPr>
        <w:pStyle w:val="BodyText"/>
      </w:pPr>
      <w:r>
        <w:t xml:space="preserve">Signals may originate from multiple source types, including but not limited to:</w:t>
      </w:r>
    </w:p>
    <w:p>
      <w:pPr>
        <w:pStyle w:val="Compact"/>
        <w:numPr>
          <w:ilvl w:val="0"/>
          <w:numId w:val="1002"/>
        </w:numPr>
      </w:pPr>
      <w:r>
        <w:t xml:space="preserve">customer support interactions (tickets, chat transcripts)</w:t>
      </w:r>
    </w:p>
    <w:p>
      <w:pPr>
        <w:pStyle w:val="Compact"/>
        <w:numPr>
          <w:ilvl w:val="0"/>
          <w:numId w:val="1002"/>
        </w:numPr>
      </w:pPr>
      <w:r>
        <w:t xml:space="preserve">sales conversations (call summaries, prospect notes)</w:t>
      </w:r>
    </w:p>
    <w:p>
      <w:pPr>
        <w:pStyle w:val="Compact"/>
        <w:numPr>
          <w:ilvl w:val="0"/>
          <w:numId w:val="1002"/>
        </w:numPr>
      </w:pPr>
      <w:r>
        <w:t xml:space="preserve">product usage observations (behavioral data, drop-off events)</w:t>
      </w:r>
    </w:p>
    <w:p>
      <w:pPr>
        <w:pStyle w:val="Compact"/>
        <w:numPr>
          <w:ilvl w:val="0"/>
          <w:numId w:val="1002"/>
        </w:numPr>
      </w:pPr>
      <w:r>
        <w:t xml:space="preserve">community activity (forum posts, social observations)</w:t>
      </w:r>
    </w:p>
    <w:p>
      <w:pPr>
        <w:pStyle w:val="Compact"/>
        <w:numPr>
          <w:ilvl w:val="0"/>
          <w:numId w:val="1002"/>
        </w:numPr>
      </w:pPr>
      <w:r>
        <w:t xml:space="preserve">internal meeting notes (recorded discussions, decisions)</w:t>
      </w:r>
    </w:p>
    <w:p>
      <w:pPr>
        <w:pStyle w:val="Compact"/>
        <w:numPr>
          <w:ilvl w:val="0"/>
          <w:numId w:val="1002"/>
        </w:numPr>
      </w:pPr>
      <w:r>
        <w:t xml:space="preserve">operational incident reports (system failures, process exceptions)</w:t>
      </w:r>
    </w:p>
    <w:p>
      <w:pPr>
        <w:pStyle w:val="Compact"/>
        <w:numPr>
          <w:ilvl w:val="0"/>
          <w:numId w:val="1002"/>
        </w:numPr>
      </w:pPr>
      <w:r>
        <w:t xml:space="preserve">market observations (competitive intelligence, price signals)</w:t>
      </w:r>
    </w:p>
    <w:p>
      <w:pPr>
        <w:pStyle w:val="FirstParagraph"/>
      </w:pPr>
      <w:r>
        <w:t xml:space="preserve">Signals share four structural properties that jointly define them and distinguish them from general-purpose data:</w:t>
      </w:r>
    </w:p>
    <w:p>
      <w:pPr>
        <w:pStyle w:val="Compact"/>
        <w:numPr>
          <w:ilvl w:val="0"/>
          <w:numId w:val="1003"/>
        </w:numPr>
      </w:pPr>
      <w:r>
        <w:rPr>
          <w:b/>
          <w:bCs/>
        </w:rPr>
        <w:t xml:space="preserve">Heterogeneity</w:t>
      </w:r>
      <w:r>
        <w:t xml:space="preserve"> </w:t>
      </w:r>
      <w:r>
        <w:t xml:space="preserve">— signals originate from different systems, in different formats, at different frequencies, with no common schema.</w:t>
      </w:r>
    </w:p>
    <w:p>
      <w:pPr>
        <w:pStyle w:val="Compact"/>
        <w:numPr>
          <w:ilvl w:val="0"/>
          <w:numId w:val="1003"/>
        </w:numPr>
      </w:pPr>
      <w:r>
        <w:rPr>
          <w:b/>
          <w:bCs/>
        </w:rPr>
        <w:t xml:space="preserve">Partial observability</w:t>
      </w:r>
      <w:r>
        <w:t xml:space="preserve"> </w:t>
      </w:r>
      <w:r>
        <w:t xml:space="preserve">— no single signal provides a complete picture of any organizational state.</w:t>
      </w:r>
    </w:p>
    <w:p>
      <w:pPr>
        <w:pStyle w:val="Compact"/>
        <w:numPr>
          <w:ilvl w:val="0"/>
          <w:numId w:val="1003"/>
        </w:numPr>
      </w:pPr>
      <w:r>
        <w:rPr>
          <w:b/>
          <w:bCs/>
        </w:rPr>
        <w:t xml:space="preserve">Schema absence</w:t>
      </w:r>
      <w:r>
        <w:t xml:space="preserve"> </w:t>
      </w:r>
      <w:r>
        <w:t xml:space="preserve">— signals across sources cannot be joined by structural means; they require semantic interpretation.</w:t>
      </w:r>
    </w:p>
    <w:p>
      <w:pPr>
        <w:pStyle w:val="Compact"/>
        <w:numPr>
          <w:ilvl w:val="0"/>
          <w:numId w:val="1003"/>
        </w:numPr>
      </w:pPr>
      <w:r>
        <w:rPr>
          <w:b/>
          <w:bCs/>
        </w:rPr>
        <w:t xml:space="preserve">Latent decision value</w:t>
      </w:r>
      <w:r>
        <w:t xml:space="preserve"> </w:t>
      </w:r>
      <w:r>
        <w:t xml:space="preserve">— the decision-relevant content of a signal is not apparent from the signal alone; it emerges through cross-signal interpretation.</w:t>
      </w:r>
    </w:p>
    <w:p>
      <w:pPr>
        <w:pStyle w:val="FirstParagraph"/>
      </w:pPr>
      <w:r>
        <w:t xml:space="preserve">This last property is the defining constraint that existing systems fail to address. A support ticket describing onboarding confusion has limited decision value in isolation. A sales note describing prospect drop-off due to complexity has limited decision value in isolation. When clustered with an internal meeting note about activation delays, the combined signal becomes a meaningful organizational pattern warranting executive attention. The value was latent in each signal; it becomes manifest only through synthesis.</w:t>
      </w:r>
    </w:p>
    <w:p>
      <w:pPr>
        <w:pStyle w:val="BodyText"/>
      </w:pPr>
      <w:r>
        <w:t xml:space="preserve">Weick’s (1995) sensemaking framework characterizes organizational actors as processing</w:t>
      </w:r>
      <w:r>
        <w:t xml:space="preserve"> </w:t>
      </w:r>
      <w:r>
        <w:rPr>
          <w:i/>
          <w:iCs/>
        </w:rPr>
        <w:t xml:space="preserve">cues</w:t>
      </w:r>
      <w:r>
        <w:t xml:space="preserve"> </w:t>
      </w:r>
      <w:r>
        <w:t xml:space="preserve">— discrete informational stimuli — rather than complete data objects. Klein et al.’s (2006) data-frame theory models the bidirectional relationship between incoming cues and the cognitive frames that interpret them. ESS operationalizes this theoretical foundation computationally: signals are the cues; synthesis is the frame-construction process.</w:t>
      </w:r>
    </w:p>
    <w:p>
      <w:r>
        <w:pict>
          <v:rect style="width:0;height:1.5pt" o:hralign="center" o:hrstd="t" o:hr="t"/>
        </w:pict>
      </w:r>
    </w:p>
    <w:bookmarkEnd w:id="12"/>
    <w:bookmarkStart w:id="13" w:name="definition-synthesis"/>
    <w:p>
      <w:pPr>
        <w:pStyle w:val="Ttulo2"/>
      </w:pPr>
      <w:r>
        <w:t xml:space="preserve">4. Definition: Synthesis</w:t>
      </w:r>
    </w:p>
    <w:p>
      <w:pPr>
        <w:pStyle w:val="FirstParagraph"/>
      </w:pPr>
      <w:r>
        <w:t xml:space="preserve">Synthesis — as used in this framework — requires precise differentiation from two adjacent and often conflated operations:</w:t>
      </w:r>
      <w:r>
        <w:t xml:space="preserve"> </w:t>
      </w:r>
      <w:r>
        <w:rPr>
          <w:i/>
          <w:iCs/>
        </w:rPr>
        <w:t xml:space="preserve">aggregation</w:t>
      </w:r>
      <w:r>
        <w:t xml:space="preserve"> </w:t>
      </w:r>
      <w:r>
        <w:t xml:space="preserve">and</w:t>
      </w:r>
      <w:r>
        <w:t xml:space="preserve"> </w:t>
      </w:r>
      <w:r>
        <w:rPr>
          <w:i/>
          <w:iCs/>
        </w:rPr>
        <w:t xml:space="preserve">summarization</w:t>
      </w:r>
      <w:r>
        <w:t xml:space="preserve">.</w:t>
      </w:r>
    </w:p>
    <w:p>
      <w:pPr>
        <w:pStyle w:val="BodyText"/>
      </w:pPr>
      <w:r>
        <w:rPr>
          <w:b/>
          <w:bCs/>
        </w:rPr>
        <w:t xml:space="preserve">Aggregation</w:t>
      </w:r>
      <w:r>
        <w:t xml:space="preserve"> </w:t>
      </w:r>
      <w:r>
        <w:t xml:space="preserve">is counting or grouping: counting signals by source, by type, by time period. Aggregation preserves the original units and adds a quantitative dimension. It does not interpret.</w:t>
      </w:r>
    </w:p>
    <w:p>
      <w:pPr>
        <w:pStyle w:val="BodyText"/>
      </w:pPr>
      <w:r>
        <w:rPr>
          <w:b/>
          <w:bCs/>
        </w:rPr>
        <w:t xml:space="preserve">Summarization</w:t>
      </w:r>
      <w:r>
        <w:t xml:space="preserve"> </w:t>
      </w:r>
      <w:r>
        <w:t xml:space="preserve">is compression: condensing a document or corpus into a shorter version. Summarization preserves the semantic content of individual inputs but does not generate new interpretive frames from their combination.</w:t>
      </w:r>
    </w:p>
    <w:p>
      <w:pPr>
        <w:pStyle w:val="BodyText"/>
      </w:pPr>
      <w:r>
        <w:rPr>
          <w:b/>
          <w:bCs/>
        </w:rPr>
        <w:t xml:space="preserve">Synthesis</w:t>
      </w:r>
      <w:r>
        <w:t xml:space="preserve"> </w:t>
      </w:r>
      <w:r>
        <w:t xml:space="preserve">is distinct from both. Signal synthesis involves:</w:t>
      </w:r>
    </w:p>
    <w:p>
      <w:pPr>
        <w:pStyle w:val="Compact"/>
        <w:numPr>
          <w:ilvl w:val="0"/>
          <w:numId w:val="1004"/>
        </w:numPr>
      </w:pPr>
      <w:r>
        <w:rPr>
          <w:b/>
          <w:bCs/>
        </w:rPr>
        <w:t xml:space="preserve">Cross-source pattern recognition</w:t>
      </w:r>
      <w:r>
        <w:t xml:space="preserve"> </w:t>
      </w:r>
      <w:r>
        <w:t xml:space="preserve">— detecting that signals from multiple, independent sources exhibit structural similarity or convergence that a single-source view would not reveal.</w:t>
      </w:r>
    </w:p>
    <w:p>
      <w:pPr>
        <w:pStyle w:val="Compact"/>
        <w:numPr>
          <w:ilvl w:val="0"/>
          <w:numId w:val="1004"/>
        </w:numPr>
      </w:pPr>
      <w:r>
        <w:rPr>
          <w:b/>
          <w:bCs/>
        </w:rPr>
        <w:t xml:space="preserve">Organizational significance assessment</w:t>
      </w:r>
      <w:r>
        <w:t xml:space="preserve"> </w:t>
      </w:r>
      <w:r>
        <w:t xml:space="preserve">— evaluating whether a detected pattern has decision-relevant implications: urgency, risk, opportunity, or required action.</w:t>
      </w:r>
    </w:p>
    <w:p>
      <w:pPr>
        <w:pStyle w:val="Compact"/>
        <w:numPr>
          <w:ilvl w:val="0"/>
          <w:numId w:val="1004"/>
        </w:numPr>
      </w:pPr>
      <w:r>
        <w:rPr>
          <w:b/>
          <w:bCs/>
        </w:rPr>
        <w:t xml:space="preserve">Interpretive reasoning with explicit provenance</w:t>
      </w:r>
      <w:r>
        <w:t xml:space="preserve"> </w:t>
      </w:r>
      <w:r>
        <w:t xml:space="preserve">— producing a structured interpretation that traces from source signals to organizational insight, with reasoning available for inspection and challenge.</w:t>
      </w:r>
    </w:p>
    <w:p>
      <w:pPr>
        <w:pStyle w:val="FirstParagraph"/>
      </w:pPr>
      <w:r>
        <w:t xml:space="preserve">The output of synthesis is not a compressed version of the inputs. It is a new artifact — a</w:t>
      </w:r>
      <w:r>
        <w:t xml:space="preserve"> </w:t>
      </w:r>
      <w:r>
        <w:rPr>
          <w:i/>
          <w:iCs/>
        </w:rPr>
        <w:t xml:space="preserve">decision frame</w:t>
      </w:r>
      <w:r>
        <w:t xml:space="preserve"> </w:t>
      </w:r>
      <w:r>
        <w:t xml:space="preserve">— constructed from combined evidence and designed to be immediately actionable by an executive decision-maker. This is what distinguishes ESS from everything that precedes it in the decision support landscape: it produces something that did not exist before the synthesis step, derived from a combination of inputs that no single source contained.</w:t>
      </w:r>
    </w:p>
    <w:p>
      <w:pPr>
        <w:pStyle w:val="BodyText"/>
      </w:pPr>
      <w:r>
        <w:t xml:space="preserve">Zhao et al. (2020) on multi-source knowledge fusion and Dong and Srivastava (2015) on heterogeneous data integration both position synthesis as a fundamentally different operation from retrieval or compression — one that produces emergent representations from cross-source combination. ESS applies this principle specifically to the organizational intelligence domain.</w:t>
      </w:r>
    </w:p>
    <w:p>
      <w:r>
        <w:pict>
          <v:rect style="width:0;height:1.5pt" o:hralign="center" o:hrstd="t" o:hr="t"/>
        </w:pict>
      </w:r>
    </w:p>
    <w:bookmarkEnd w:id="13"/>
    <w:bookmarkStart w:id="18" w:name="the-ess-framework"/>
    <w:p>
      <w:pPr>
        <w:pStyle w:val="Ttulo2"/>
      </w:pPr>
      <w:r>
        <w:t xml:space="preserve">5. The ESS Framework</w:t>
      </w:r>
    </w:p>
    <w:p>
      <w:pPr>
        <w:pStyle w:val="FirstParagraph"/>
      </w:pPr>
      <w:r>
        <w:t xml:space="preserve">Executive Signal Synthesis (ESS) introduces a new class of AI-assisted decision support systems:</w:t>
      </w:r>
      <w:r>
        <w:t xml:space="preserve"> </w:t>
      </w:r>
      <w:r>
        <w:rPr>
          <w:i/>
          <w:iCs/>
        </w:rPr>
        <w:t xml:space="preserve">signal-to-decision processors</w:t>
      </w:r>
      <w:r>
        <w:t xml:space="preserve">. These are systems that consume streams of heterogeneous organizational signals and produce structured, explainable executive decision intelligence — without requiring the decision-maker to formulate a query, define a schema, or specify which signals matter. The system determines relevance, detects convergence, and surfaces priorities.</w:t>
      </w:r>
    </w:p>
    <w:p>
      <w:pPr>
        <w:pStyle w:val="BodyText"/>
      </w:pPr>
      <w:r>
        <w:t xml:space="preserve">This is a category definition, not just an architecture. ESS-class systems share the following properties:</w:t>
      </w:r>
    </w:p>
    <w:p>
      <w:pPr>
        <w:pStyle w:val="Compact"/>
        <w:numPr>
          <w:ilvl w:val="0"/>
          <w:numId w:val="1005"/>
        </w:numPr>
      </w:pPr>
      <w:r>
        <w:t xml:space="preserve">They operate on heterogeneous, schema-free input streams</w:t>
      </w:r>
    </w:p>
    <w:p>
      <w:pPr>
        <w:pStyle w:val="Compact"/>
        <w:numPr>
          <w:ilvl w:val="0"/>
          <w:numId w:val="1005"/>
        </w:numPr>
      </w:pPr>
      <w:r>
        <w:t xml:space="preserve">They detect cross-source patterns proactively, not reactively</w:t>
      </w:r>
    </w:p>
    <w:p>
      <w:pPr>
        <w:pStyle w:val="Compact"/>
        <w:numPr>
          <w:ilvl w:val="0"/>
          <w:numId w:val="1005"/>
        </w:numPr>
      </w:pPr>
      <w:r>
        <w:t xml:space="preserve">They produce decision artifacts with explicit evidence provenance</w:t>
      </w:r>
    </w:p>
    <w:p>
      <w:pPr>
        <w:pStyle w:val="Compact"/>
        <w:numPr>
          <w:ilvl w:val="0"/>
          <w:numId w:val="1005"/>
        </w:numPr>
      </w:pPr>
      <w:r>
        <w:t xml:space="preserve">Their outputs are directed at executive decision-makers, not analysts or engineers</w:t>
      </w:r>
    </w:p>
    <w:p>
      <w:pPr>
        <w:pStyle w:val="Compact"/>
        <w:numPr>
          <w:ilvl w:val="0"/>
          <w:numId w:val="1005"/>
        </w:numPr>
      </w:pPr>
      <w:r>
        <w:t xml:space="preserve">They expose their reasoning chain to enable challenge and correction</w:t>
      </w:r>
    </w:p>
    <w:p>
      <w:pPr>
        <w:pStyle w:val="FirstParagraph"/>
      </w:pPr>
      <w:r>
        <w:t xml:space="preserve">No existing category — BI platform, search engine, summarization system, or general-purpose language model — satisfies all five criteria simultaneously. ESS defines the category that does. Table 1 (Section 2) provides an explicit cross-system comparison across these five criteria, grounding the category claim in a structured contrast rather than narrative assertion alone.</w:t>
      </w:r>
    </w:p>
    <w:bookmarkStart w:id="14" w:name="framework-overview"/>
    <w:p>
      <w:pPr>
        <w:pStyle w:val="Ttulo3"/>
      </w:pPr>
      <w:r>
        <w:t xml:space="preserve">Framework Overview</w:t>
      </w:r>
    </w:p>
    <w:p>
      <w:pPr>
        <w:pStyle w:val="FirstParagraph"/>
      </w:pPr>
      <w:r>
        <w:t xml:space="preserve">ESS operates across four analytical stages: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Input</w:t>
            </w:r>
          </w:p>
        </w:tc>
        <w:tc>
          <w:tcPr/>
          <w:p>
            <w:pPr>
              <w:pStyle w:val="Compact"/>
            </w:pPr>
            <w:r>
              <w:t xml:space="preserve">Operation</w:t>
            </w:r>
          </w:p>
        </w:tc>
        <w:tc>
          <w:tcPr/>
          <w:p>
            <w:pPr>
              <w:pStyle w:val="Compact"/>
            </w:pPr>
            <w:r>
              <w:t xml:space="preserve">Output</w:t>
            </w:r>
          </w:p>
        </w:tc>
      </w:tr>
      <w:tr>
        <w:tc>
          <w:tcPr/>
          <w:p>
            <w:pPr>
              <w:pStyle w:val="Compact"/>
            </w:pPr>
            <w:r>
              <w:rPr>
                <w:b/>
                <w:bCs/>
              </w:rPr>
              <w:t xml:space="preserve">1. Ingestion</w:t>
            </w:r>
          </w:p>
        </w:tc>
        <w:tc>
          <w:tcPr/>
          <w:p>
            <w:pPr>
              <w:pStyle w:val="Compact"/>
            </w:pPr>
            <w:r>
              <w:t xml:space="preserve">Heterogeneous signal sources</w:t>
            </w:r>
          </w:p>
        </w:tc>
        <w:tc>
          <w:tcPr/>
          <w:p>
            <w:pPr>
              <w:pStyle w:val="Compact"/>
            </w:pPr>
            <w:r>
              <w:t xml:space="preserve">Normalize into structured intermediate representation</w:t>
            </w:r>
          </w:p>
        </w:tc>
        <w:tc>
          <w:tcPr/>
          <w:p>
            <w:pPr>
              <w:pStyle w:val="Compact"/>
            </w:pPr>
            <w:r>
              <w:t xml:space="preserve">Structured signal records</w:t>
            </w:r>
          </w:p>
        </w:tc>
      </w:tr>
      <w:tr>
        <w:tc>
          <w:tcPr/>
          <w:p>
            <w:pPr>
              <w:pStyle w:val="Compact"/>
            </w:pPr>
            <w:r>
              <w:rPr>
                <w:b/>
                <w:bCs/>
              </w:rPr>
              <w:t xml:space="preserve">2. Classification</w:t>
            </w:r>
          </w:p>
        </w:tc>
        <w:tc>
          <w:tcPr/>
          <w:p>
            <w:pPr>
              <w:pStyle w:val="Compact"/>
            </w:pPr>
            <w:r>
              <w:t xml:space="preserve">Structured signal records</w:t>
            </w:r>
          </w:p>
        </w:tc>
        <w:tc>
          <w:tcPr/>
          <w:p>
            <w:pPr>
              <w:pStyle w:val="Compact"/>
            </w:pPr>
            <w:r>
              <w:t xml:space="preserve">Assign type, domain, urgency, and risk metadata</w:t>
            </w:r>
          </w:p>
        </w:tc>
        <w:tc>
          <w:tcPr/>
          <w:p>
            <w:pPr>
              <w:pStyle w:val="Compact"/>
            </w:pPr>
            <w:r>
              <w:t xml:space="preserve">Tagged signal records</w:t>
            </w:r>
          </w:p>
        </w:tc>
      </w:tr>
      <w:tr>
        <w:tc>
          <w:tcPr/>
          <w:p>
            <w:pPr>
              <w:pStyle w:val="Compact"/>
            </w:pPr>
            <w:r>
              <w:rPr>
                <w:b/>
                <w:bCs/>
              </w:rPr>
              <w:t xml:space="preserve">3. Clustering</w:t>
            </w:r>
          </w:p>
        </w:tc>
        <w:tc>
          <w:tcPr/>
          <w:p>
            <w:pPr>
              <w:pStyle w:val="Compact"/>
            </w:pPr>
            <w:r>
              <w:t xml:space="preserve">Tagged signal records</w:t>
            </w:r>
          </w:p>
        </w:tc>
        <w:tc>
          <w:tcPr/>
          <w:p>
            <w:pPr>
              <w:pStyle w:val="Compact"/>
            </w:pPr>
            <w:r>
              <w:t xml:space="preserve">Detect cross-source patterns via similarity grouping</w:t>
            </w:r>
          </w:p>
        </w:tc>
        <w:tc>
          <w:tcPr/>
          <w:p>
            <w:pPr>
              <w:pStyle w:val="Compact"/>
            </w:pPr>
            <w:r>
              <w:t xml:space="preserve">Signal clusters</w:t>
            </w:r>
          </w:p>
        </w:tc>
      </w:tr>
      <w:tr>
        <w:tc>
          <w:tcPr/>
          <w:p>
            <w:pPr>
              <w:pStyle w:val="Compact"/>
            </w:pPr>
            <w:r>
              <w:rPr>
                <w:b/>
                <w:bCs/>
              </w:rPr>
              <w:t xml:space="preserve">4. Synthesis</w:t>
            </w:r>
          </w:p>
        </w:tc>
        <w:tc>
          <w:tcPr/>
          <w:p>
            <w:pPr>
              <w:pStyle w:val="Compact"/>
            </w:pPr>
            <w:r>
              <w:t xml:space="preserve">Signal clusters</w:t>
            </w:r>
          </w:p>
        </w:tc>
        <w:tc>
          <w:tcPr/>
          <w:p>
            <w:pPr>
              <w:pStyle w:val="Compact"/>
            </w:pPr>
            <w:r>
              <w:t xml:space="preserve">Generate decision-relevant interpretation and executive brief</w:t>
            </w:r>
          </w:p>
        </w:tc>
        <w:tc>
          <w:tcPr/>
          <w:p>
            <w:pPr>
              <w:pStyle w:val="Compact"/>
            </w:pPr>
            <w:r>
              <w:t xml:space="preserve">Executive decision artifact</w:t>
            </w:r>
          </w:p>
        </w:tc>
      </w:tr>
    </w:tbl>
    <w:bookmarkEnd w:id="14"/>
    <w:bookmarkStart w:id="15" w:name="stage-descriptions"/>
    <w:p>
      <w:pPr>
        <w:pStyle w:val="Ttulo3"/>
      </w:pPr>
      <w:r>
        <w:t xml:space="preserve">Stage Descriptions</w:t>
      </w:r>
    </w:p>
    <w:p>
      <w:pPr>
        <w:pStyle w:val="FirstParagraph"/>
      </w:pPr>
      <w:r>
        <w:rPr>
          <w:b/>
          <w:bCs/>
        </w:rPr>
        <w:t xml:space="preserve">Ingestion</w:t>
      </w:r>
      <w:r>
        <w:t xml:space="preserve"> </w:t>
      </w:r>
      <w:r>
        <w:t xml:space="preserve">is the boundary operation. It receives signals from heterogeneous sources — each with its own format, schema, and vocabulary — and normalizes them into a structured intermediate representation. This is not a trivial data engineering step: the intermediate representation must preserve source attribution, retain sufficient semantic content for downstream clustering, and accommodate signals that differ in length, structure, and register.</w:t>
      </w:r>
    </w:p>
    <w:p>
      <w:pPr>
        <w:pStyle w:val="BodyText"/>
      </w:pPr>
      <w:r>
        <w:rPr>
          <w:b/>
          <w:bCs/>
        </w:rPr>
        <w:t xml:space="preserve">Classification</w:t>
      </w:r>
      <w:r>
        <w:t xml:space="preserve"> </w:t>
      </w:r>
      <w:r>
        <w:t xml:space="preserve">assigns analytical metadata to each signal. Two functions are served: (a) enabling downstream filtering by signal type and urgency; (b) adding the organizational context — domain, risk profile, impact category — necessary for synthesis to produce meaningful interpretations. Classification is where organizational ontology enters the pipeline; its quality directly constrains synthesis quality.</w:t>
      </w:r>
    </w:p>
    <w:p>
      <w:pPr>
        <w:pStyle w:val="BodyText"/>
      </w:pPr>
      <w:r>
        <w:rPr>
          <w:b/>
          <w:bCs/>
        </w:rPr>
        <w:t xml:space="preserve">Clustering</w:t>
      </w:r>
      <w:r>
        <w:t xml:space="preserve"> </w:t>
      </w:r>
      <w:r>
        <w:t xml:space="preserve">is the cross-source pattern detection stage. It groups signals by semantic or structural similarity, identifying</w:t>
      </w:r>
      <w:r>
        <w:t xml:space="preserve"> </w:t>
      </w:r>
      <w:r>
        <w:rPr>
          <w:i/>
          <w:iCs/>
        </w:rPr>
        <w:t xml:space="preserve">convergent signals</w:t>
      </w:r>
      <w:r>
        <w:t xml:space="preserve"> </w:t>
      </w:r>
      <w:r>
        <w:t xml:space="preserve">— cases where independent organizational sources produce information that, in combination, indicates a shared organizational state or emerging issue. Cross-source clustering is the technical core of ESS: it is the mechanism that makes synthesis different from processing any single source in isolation.</w:t>
      </w:r>
    </w:p>
    <w:p>
      <w:pPr>
        <w:pStyle w:val="BodyText"/>
      </w:pPr>
      <w:r>
        <w:rPr>
          <w:b/>
          <w:bCs/>
        </w:rPr>
        <w:t xml:space="preserve">Synthesis</w:t>
      </w:r>
      <w:r>
        <w:t xml:space="preserve"> </w:t>
      </w:r>
      <w:r>
        <w:t xml:space="preserve">transforms cluster-level evidence into an executive decision artifact — a structured brief that traces from signal sources through pattern detection to organizational interpretation and recommended action. The brief must be legible to a decision-maker in minutes and must expose its reasoning chain in enough detail to be trusted, questioned, and where necessary, overridden.</w:t>
      </w:r>
    </w:p>
    <w:bookmarkEnd w:id="15"/>
    <w:bookmarkStart w:id="16" w:name="Xd30b6ffc206c3ea0c45c22a71aabbc217450fac"/>
    <w:p>
      <w:pPr>
        <w:pStyle w:val="Ttulo3"/>
      </w:pPr>
      <w:r>
        <w:t xml:space="preserve">On the Relationship Between Framework and System</w:t>
      </w:r>
    </w:p>
    <w:p>
      <w:pPr>
        <w:pStyle w:val="FirstParagraph"/>
      </w:pPr>
      <w:r>
        <w:t xml:space="preserve">This paper makes two complementary contributions that should be understood together, not as alternatives. The first is theoretical: a methodological framework (ESS) specifying what a signal-to-decision system must accomplish — what stages it requires, what each stage must produce, and what properties the final output must have. The second is empirical: a prototype implementation demonstrating that this framework is instantiable — that each stage can be implemented with standard computational tools, that the pipeline executes end-to-end, and that cross-source pattern detection is achievable even with lightweight methods on a controlled dataset.</w:t>
      </w:r>
    </w:p>
    <w:p>
      <w:pPr>
        <w:pStyle w:val="BodyText"/>
      </w:pPr>
      <w:r>
        <w:t xml:space="preserve">The framework defines what ESS must do. The prototype demonstrates that it can be done. Neither claim subsumes the other. The framework would be incomplete without a demonstration of instantiability; the prototype would be uninterpretable without a framework to explain what it is doing and why.</w:t>
      </w:r>
    </w:p>
    <w:bookmarkEnd w:id="16"/>
    <w:bookmarkStart w:id="17" w:name="relationship-to-explainability"/>
    <w:p>
      <w:pPr>
        <w:pStyle w:val="Ttulo3"/>
      </w:pPr>
      <w:r>
        <w:t xml:space="preserve">Relationship to Explainability</w:t>
      </w:r>
    </w:p>
    <w:p>
      <w:pPr>
        <w:pStyle w:val="FirstParagraph"/>
      </w:pPr>
      <w:r>
        <w:t xml:space="preserve">Miller (2019) and Arrieta et al. (2020) establish that AI-generated outputs used in organizational decision contexts must be explainable in ways that are contrastive (why this interpretation rather than another?), selective (which evidence matters?), and socially appropriate for the intended audience. ESS addresses this requirement structurally: every synthesis output includes traceable evidence identifiers (evidence_ids), explicit source attribution (unique source types per cluster), and a signal count per pattern. This is not post-hoc rationalization; it is the evidence chain through which an executive can inspect, question, or reject a synthesis result. The traceability of the evidence path from source signals to executive recommendation is the explanation mechanism — grounded in Miller’s (2019) principle that organizational AI gains legitimacy through transparency of reasoning, not just accuracy of output.</w:t>
      </w:r>
    </w:p>
    <w:p>
      <w:r>
        <w:pict>
          <v:rect style="width:0;height:1.5pt" o:hralign="center" o:hrstd="t" o:hr="t"/>
        </w:pict>
      </w:r>
    </w:p>
    <w:bookmarkEnd w:id="17"/>
    <w:bookmarkEnd w:id="18"/>
    <w:bookmarkStart w:id="22" w:name="implementation-mapping"/>
    <w:p>
      <w:pPr>
        <w:pStyle w:val="Ttulo2"/>
      </w:pPr>
      <w:r>
        <w:t xml:space="preserve">6. Implementation Mapping</w:t>
      </w:r>
    </w:p>
    <w:p>
      <w:pPr>
        <w:pStyle w:val="FirstParagraph"/>
      </w:pPr>
      <w:r>
        <w:t xml:space="preserve">The ESS framework is directly instantiated in an open-source Python prototype. This section reports the implementation, its characteristics, and the results of its evaluation. The prototype serves as a</w:t>
      </w:r>
      <w:r>
        <w:t xml:space="preserve"> </w:t>
      </w:r>
      <w:r>
        <w:rPr>
          <w:i/>
          <w:iCs/>
        </w:rPr>
        <w:t xml:space="preserve">proof of instantiability</w:t>
      </w:r>
      <w:r>
        <w:t xml:space="preserve"> </w:t>
      </w:r>
      <w:r>
        <w:t xml:space="preserve">for the ESS framework — not as a performance benchmark.</w:t>
      </w:r>
    </w:p>
    <w:bookmarkStart w:id="19" w:name="stage-to-module-mapping"/>
    <w:p>
      <w:pPr>
        <w:pStyle w:val="Ttulo3"/>
      </w:pPr>
      <w:r>
        <w:t xml:space="preserve">Stage-to-Module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ESS Stage</w:t>
            </w:r>
          </w:p>
        </w:tc>
        <w:tc>
          <w:tcPr/>
          <w:p>
            <w:pPr>
              <w:pStyle w:val="Compact"/>
            </w:pPr>
            <w:r>
              <w:t xml:space="preserve">Module</w:t>
            </w:r>
          </w:p>
        </w:tc>
        <w:tc>
          <w:tcPr/>
          <w:p>
            <w:pPr>
              <w:pStyle w:val="Compact"/>
            </w:pPr>
            <w:r>
              <w:t xml:space="preserve">Core Operation</w:t>
            </w:r>
          </w:p>
        </w:tc>
      </w:tr>
      <w:tr>
        <w:tc>
          <w:tcPr/>
          <w:p>
            <w:pPr>
              <w:pStyle w:val="Compact"/>
            </w:pPr>
            <w:r>
              <w:t xml:space="preserve">Ingestion</w:t>
            </w:r>
          </w:p>
        </w:tc>
        <w:tc>
          <w:tcPr/>
          <w:p>
            <w:pPr>
              <w:pStyle w:val="Compact"/>
            </w:pPr>
            <w:r>
              <w:rPr>
                <w:rStyle w:val="VerbatimChar"/>
              </w:rPr>
              <w:t xml:space="preserve">src/ingest.py</w:t>
            </w:r>
          </w:p>
        </w:tc>
        <w:tc>
          <w:tcPr/>
          <w:p>
            <w:pPr>
              <w:pStyle w:val="Compact"/>
            </w:pPr>
            <w:r>
              <w:rPr>
                <w:rStyle w:val="VerbatimChar"/>
              </w:rPr>
              <w:t xml:space="preserve">load_signals()</w:t>
            </w:r>
            <w:r>
              <w:t xml:space="preserve"> </w:t>
            </w:r>
            <w:r>
              <w:t xml:space="preserve">reads JSON;</w:t>
            </w:r>
            <w:r>
              <w:t xml:space="preserve"> </w:t>
            </w:r>
            <w:r>
              <w:rPr>
                <w:rStyle w:val="VerbatimChar"/>
              </w:rPr>
              <w:t xml:space="preserve">normalize_signals()</w:t>
            </w:r>
            <w:r>
              <w:t xml:space="preserve"> </w:t>
            </w:r>
            <w:r>
              <w:t xml:space="preserve">standardizes text</w:t>
            </w:r>
          </w:p>
        </w:tc>
      </w:tr>
      <w:tr>
        <w:tc>
          <w:tcPr/>
          <w:p>
            <w:pPr>
              <w:pStyle w:val="Compact"/>
            </w:pPr>
            <w:r>
              <w:t xml:space="preserve">Classification</w:t>
            </w:r>
          </w:p>
        </w:tc>
        <w:tc>
          <w:tcPr/>
          <w:p>
            <w:pPr>
              <w:pStyle w:val="Compact"/>
            </w:pPr>
            <w:r>
              <w:rPr>
                <w:rStyle w:val="VerbatimChar"/>
              </w:rPr>
              <w:t xml:space="preserve">src/classify.py</w:t>
            </w:r>
          </w:p>
        </w:tc>
        <w:tc>
          <w:tcPr/>
          <w:p>
            <w:pPr>
              <w:pStyle w:val="Compact"/>
            </w:pPr>
            <w:r>
              <w:t xml:space="preserve">Keyword-rule classification of urgency, churn risk, revenue risk</w:t>
            </w:r>
          </w:p>
        </w:tc>
      </w:tr>
      <w:tr>
        <w:tc>
          <w:tcPr/>
          <w:p>
            <w:pPr>
              <w:pStyle w:val="Compact"/>
            </w:pPr>
            <w:r>
              <w:t xml:space="preserve">Clustering</w:t>
            </w:r>
          </w:p>
        </w:tc>
        <w:tc>
          <w:tcPr/>
          <w:p>
            <w:pPr>
              <w:pStyle w:val="Compact"/>
            </w:pPr>
            <w:r>
              <w:rPr>
                <w:rStyle w:val="VerbatimChar"/>
              </w:rPr>
              <w:t xml:space="preserve">src/cluster.py</w:t>
            </w:r>
          </w:p>
        </w:tc>
        <w:tc>
          <w:tcPr/>
          <w:p>
            <w:pPr>
              <w:pStyle w:val="Compact"/>
            </w:pPr>
            <w:r>
              <w:t xml:space="preserve">TF-IDF vectorization + K-means (k=3, random_state=42)</w:t>
            </w:r>
          </w:p>
        </w:tc>
      </w:tr>
      <w:tr>
        <w:tc>
          <w:tcPr/>
          <w:p>
            <w:pPr>
              <w:pStyle w:val="Compact"/>
            </w:pPr>
            <w:r>
              <w:t xml:space="preserve">Synthesis</w:t>
            </w:r>
          </w:p>
        </w:tc>
        <w:tc>
          <w:tcPr/>
          <w:p>
            <w:pPr>
              <w:pStyle w:val="Compact"/>
            </w:pPr>
            <w:r>
              <w:rPr>
                <w:rStyle w:val="VerbatimChar"/>
              </w:rPr>
              <w:t xml:space="preserve">src/synthesize.py</w:t>
            </w:r>
          </w:p>
        </w:tc>
        <w:tc>
          <w:tcPr/>
          <w:p>
            <w:pPr>
              <w:pStyle w:val="Compact"/>
            </w:pPr>
            <w:r>
              <w:t xml:space="preserve">Per-cluster aggregation: count, sources, sample signal, evidence IDs</w:t>
            </w:r>
          </w:p>
        </w:tc>
      </w:tr>
      <w:tr>
        <w:tc>
          <w:tcPr/>
          <w:p>
            <w:pPr>
              <w:pStyle w:val="Compact"/>
            </w:pPr>
            <w:r>
              <w:t xml:space="preserve">Brief Generation</w:t>
            </w:r>
          </w:p>
        </w:tc>
        <w:tc>
          <w:tcPr/>
          <w:p>
            <w:pPr>
              <w:pStyle w:val="Compact"/>
            </w:pPr>
            <w:r>
              <w:rPr>
                <w:rStyle w:val="VerbatimChar"/>
              </w:rPr>
              <w:t xml:space="preserve">src/generate_brief.py</w:t>
            </w:r>
          </w:p>
        </w:tc>
        <w:tc>
          <w:tcPr/>
          <w:p>
            <w:pPr>
              <w:pStyle w:val="Compact"/>
            </w:pPr>
            <w:r>
              <w:t xml:space="preserve">End-to-end orchestration; structured markdown executive brief</w:t>
            </w:r>
          </w:p>
        </w:tc>
      </w:tr>
      <w:tr>
        <w:tc>
          <w:tcPr/>
          <w:p>
            <w:pPr>
              <w:pStyle w:val="Compact"/>
            </w:pPr>
            <w:r>
              <w:t xml:space="preserve">Evaluation</w:t>
            </w:r>
          </w:p>
        </w:tc>
        <w:tc>
          <w:tcPr/>
          <w:p>
            <w:pPr>
              <w:pStyle w:val="Compact"/>
            </w:pPr>
            <w:r>
              <w:rPr>
                <w:rStyle w:val="VerbatimChar"/>
              </w:rPr>
              <w:t xml:space="preserve">src/evaluate.py</w:t>
            </w:r>
          </w:p>
        </w:tc>
        <w:tc>
          <w:tcPr/>
          <w:p>
            <w:pPr>
              <w:pStyle w:val="Compact"/>
            </w:pPr>
            <w:r>
              <w:t xml:space="preserve">Cross-source ratio, compression ratio, urgency distribution</w:t>
            </w:r>
          </w:p>
        </w:tc>
      </w:tr>
    </w:tbl>
    <w:p>
      <w:pPr>
        <w:pStyle w:val="BodyText"/>
      </w:pPr>
      <w:r>
        <w:t xml:space="preserve">The complete pipeline executes via a single command:</w:t>
      </w:r>
      <w:r>
        <w:t xml:space="preserve"> </w:t>
      </w:r>
      <w:r>
        <w:rPr>
          <w:rStyle w:val="VerbatimChar"/>
        </w:rPr>
        <w:t xml:space="preserve">python run_pipeline.py</w:t>
      </w:r>
      <w:r>
        <w:t xml:space="preserve">. This confirms reproducibility — a necessary property for a research artifact intended for external validation.</w:t>
      </w:r>
    </w:p>
    <w:bookmarkEnd w:id="19"/>
    <w:bookmarkStart w:id="20" w:name="implementation-characteristics"/>
    <w:p>
      <w:pPr>
        <w:pStyle w:val="Ttulo3"/>
      </w:pPr>
      <w:r>
        <w:t xml:space="preserve">Implementation Characteristics</w:t>
      </w:r>
    </w:p>
    <w:p>
      <w:pPr>
        <w:pStyle w:val="FirstParagraph"/>
      </w:pPr>
      <w:r>
        <w:rPr>
          <w:b/>
          <w:bCs/>
        </w:rPr>
        <w:t xml:space="preserve">Ingestion</w:t>
      </w:r>
      <w:r>
        <w:t xml:space="preserve"> </w:t>
      </w:r>
      <w:r>
        <w:t xml:space="preserve">(</w:t>
      </w:r>
      <w:r>
        <w:rPr>
          <w:rStyle w:val="VerbatimChar"/>
        </w:rPr>
        <w:t xml:space="preserve">src/ingest.py</w:t>
      </w:r>
      <w:r>
        <w:t xml:space="preserve">): Signals are loaded from a structured JSON dataset into a pandas DataFrame. Text normalization (lowercasing) prepares inputs for NLP. This implementation confirms the stage’s structural function — schema normalization across heterogeneous source types — while explicitly omitting production-scale concerns (streaming ingestion, authentication, schema inference).</w:t>
      </w:r>
    </w:p>
    <w:p>
      <w:pPr>
        <w:pStyle w:val="BodyText"/>
      </w:pPr>
      <w:r>
        <w:rPr>
          <w:b/>
          <w:bCs/>
        </w:rPr>
        <w:t xml:space="preserve">Classification</w:t>
      </w:r>
      <w:r>
        <w:t xml:space="preserve"> </w:t>
      </w:r>
      <w:r>
        <w:t xml:space="preserve">(</w:t>
      </w:r>
      <w:r>
        <w:rPr>
          <w:rStyle w:val="VerbatimChar"/>
        </w:rPr>
        <w:t xml:space="preserve">src/classify.py</w:t>
      </w:r>
      <w:r>
        <w:t xml:space="preserve">): Keyword-based rules assign urgency (</w:t>
      </w:r>
      <w:r>
        <w:t xml:space="preserve">“high”</w:t>
      </w:r>
      <w:r>
        <w:t xml:space="preserve"> </w:t>
      </w:r>
      <w:r>
        <w:t xml:space="preserve">for signals containing</w:t>
      </w:r>
      <w:r>
        <w:t xml:space="preserve"> </w:t>
      </w:r>
      <w:r>
        <w:t xml:space="preserve">“delay,”</w:t>
      </w:r>
      <w:r>
        <w:t xml:space="preserve"> </w:t>
      </w:r>
      <w:r>
        <w:t xml:space="preserve">“confusion,”</w:t>
      </w:r>
      <w:r>
        <w:t xml:space="preserve"> </w:t>
      </w:r>
      <w:r>
        <w:t xml:space="preserve">“struggling”</w:t>
      </w:r>
      <w:r>
        <w:t xml:space="preserve">), churn risk, and revenue risk flags. The approach is interpretable and auditable. It represents a deliberate lower bound: sufficient for prototype validation, insufficient for production. Its brittleness (no semantic generalization) is acknowledged and quantified under limitations.</w:t>
      </w:r>
    </w:p>
    <w:p>
      <w:pPr>
        <w:pStyle w:val="BodyText"/>
      </w:pPr>
      <w:r>
        <w:rPr>
          <w:b/>
          <w:bCs/>
        </w:rPr>
        <w:t xml:space="preserve">Clustering</w:t>
      </w:r>
      <w:r>
        <w:t xml:space="preserve"> </w:t>
      </w:r>
      <w:r>
        <w:t xml:space="preserve">(</w:t>
      </w:r>
      <w:r>
        <w:rPr>
          <w:rStyle w:val="VerbatimChar"/>
        </w:rPr>
        <w:t xml:space="preserve">src/cluster.py</w:t>
      </w:r>
      <w:r>
        <w:t xml:space="preserve">): TF-IDF vectorization followed by K-means (k=3) groups signals by term-frequency similarity. The choice of TF-IDF + K-means reflects a design principle for prototype-stage research: use methods whose behavior is fully understood and interpretable, even at the cost of representational richness. This enables clean reasoning about what the prototype does and does not demonstrate.</w:t>
      </w:r>
    </w:p>
    <w:p>
      <w:pPr>
        <w:pStyle w:val="BodyText"/>
      </w:pPr>
      <w:r>
        <w:rPr>
          <w:b/>
          <w:bCs/>
        </w:rPr>
        <w:t xml:space="preserve">Synthesis</w:t>
      </w:r>
      <w:r>
        <w:t xml:space="preserve"> </w:t>
      </w:r>
      <w:r>
        <w:t xml:space="preserve">(</w:t>
      </w:r>
      <w:r>
        <w:rPr>
          <w:rStyle w:val="VerbatimChar"/>
        </w:rPr>
        <w:t xml:space="preserve">src/synthesize.py</w:t>
      </w:r>
      <w:r>
        <w:t xml:space="preserve">): Cluster summaries aggregate evidence per cluster: count, unique source types, a sample signal text, and traceable signal IDs. These records are the direct inputs to brief generation and provide the evidence provenance that ESS’s explainability requirement demands.</w:t>
      </w:r>
    </w:p>
    <w:p>
      <w:pPr>
        <w:pStyle w:val="BodyText"/>
      </w:pPr>
      <w:r>
        <w:rPr>
          <w:b/>
          <w:bCs/>
        </w:rPr>
        <w:t xml:space="preserve">Brief Generation</w:t>
      </w:r>
      <w:r>
        <w:t xml:space="preserve"> </w:t>
      </w:r>
      <w:r>
        <w:t xml:space="preserve">(</w:t>
      </w:r>
      <w:r>
        <w:rPr>
          <w:rStyle w:val="VerbatimChar"/>
        </w:rPr>
        <w:t xml:space="preserve">src/generate_brief.py</w:t>
      </w:r>
      <w:r>
        <w:t xml:space="preserve">): The executive brief is written as structured markdown — patterns organized by cluster with source attribution, evidence counts, and suggested actions. The format is designed to be scannable under two minutes.</w:t>
      </w:r>
    </w:p>
    <w:bookmarkEnd w:id="20"/>
    <w:bookmarkStart w:id="21" w:name="X81c5ad400acd29dccb4245e24f1b6fc19d6ab00"/>
    <w:p>
      <w:pPr>
        <w:pStyle w:val="Ttulo3"/>
      </w:pPr>
      <w:r>
        <w:t xml:space="preserve">Evaluation: Structural Feasibility Validation</w:t>
      </w:r>
    </w:p>
    <w:p>
      <w:pPr>
        <w:pStyle w:val="FirstParagraph"/>
      </w:pPr>
      <w:r>
        <w:t xml:space="preserve">The prototype was evaluated on a synthetic dataset of 5 business signals from 5 organizational source types (support ticket, sales call summary, meeting note, customer feedback, community post).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signals processed</w:t>
            </w:r>
          </w:p>
        </w:tc>
        <w:tc>
          <w:tcPr/>
          <w:p>
            <w:pPr>
              <w:pStyle w:val="Compact"/>
            </w:pPr>
            <w:r>
              <w:t xml:space="preserve">5</w:t>
            </w:r>
          </w:p>
        </w:tc>
      </w:tr>
      <w:tr>
        <w:tc>
          <w:tcPr/>
          <w:p>
            <w:pPr>
              <w:pStyle w:val="Compact"/>
            </w:pPr>
            <w:r>
              <w:t xml:space="preserve">Total clusters produced</w:t>
            </w:r>
          </w:p>
        </w:tc>
        <w:tc>
          <w:tcPr/>
          <w:p>
            <w:pPr>
              <w:pStyle w:val="Compact"/>
            </w:pPr>
            <w:r>
              <w:t xml:space="preserve">3</w:t>
            </w:r>
          </w:p>
        </w:tc>
      </w:tr>
      <w:tr>
        <w:tc>
          <w:tcPr/>
          <w:p>
            <w:pPr>
              <w:pStyle w:val="Compact"/>
            </w:pPr>
            <w:r>
              <w:t xml:space="preserve">Cross-source clusters</w:t>
            </w:r>
          </w:p>
        </w:tc>
        <w:tc>
          <w:tcPr/>
          <w:p>
            <w:pPr>
              <w:pStyle w:val="Compact"/>
            </w:pPr>
            <w:r>
              <w:t xml:space="preserve">2</w:t>
            </w:r>
          </w:p>
        </w:tc>
      </w:tr>
      <w:tr>
        <w:tc>
          <w:tcPr/>
          <w:p>
            <w:pPr>
              <w:pStyle w:val="Compact"/>
            </w:pPr>
            <w:r>
              <w:t xml:space="preserve">Cross-source ratio</w:t>
            </w:r>
          </w:p>
        </w:tc>
        <w:tc>
          <w:tcPr/>
          <w:p>
            <w:pPr>
              <w:pStyle w:val="Compact"/>
            </w:pPr>
            <w:r>
              <w:t xml:space="preserve">0.67</w:t>
            </w:r>
          </w:p>
        </w:tc>
      </w:tr>
      <w:tr>
        <w:tc>
          <w:tcPr/>
          <w:p>
            <w:pPr>
              <w:pStyle w:val="Compact"/>
            </w:pPr>
            <w:r>
              <w:t xml:space="preserve">Signal compression ratio</w:t>
            </w:r>
          </w:p>
        </w:tc>
        <w:tc>
          <w:tcPr/>
          <w:p>
            <w:pPr>
              <w:pStyle w:val="Compact"/>
            </w:pPr>
            <w:r>
              <w:t xml:space="preserve">1.67×</w:t>
            </w:r>
          </w:p>
        </w:tc>
      </w:tr>
      <w:tr>
        <w:tc>
          <w:tcPr/>
          <w:p>
            <w:pPr>
              <w:pStyle w:val="Compact"/>
            </w:pPr>
            <w:r>
              <w:t xml:space="preserve">High-urgency signals detected</w:t>
            </w:r>
          </w:p>
        </w:tc>
        <w:tc>
          <w:tcPr/>
          <w:p>
            <w:pPr>
              <w:pStyle w:val="Compact"/>
            </w:pPr>
            <w:r>
              <w:t xml:space="preserve">3</w:t>
            </w:r>
          </w:p>
        </w:tc>
      </w:tr>
    </w:tbl>
    <w:p>
      <w:pPr>
        <w:pStyle w:val="BodyText"/>
      </w:pPr>
      <w:r>
        <w:rPr>
          <w:i/>
          <w:iCs/>
        </w:rPr>
        <w:t xml:space="preserve">Source:</w:t>
      </w:r>
      <w:r>
        <w:rPr>
          <w:i/>
          <w:iCs/>
        </w:rPr>
        <w:t xml:space="preserve"> </w:t>
      </w:r>
      <w:r>
        <w:rPr>
          <w:rStyle w:val="VerbatimChar"/>
          <w:i/>
          <w:iCs/>
        </w:rPr>
        <w:t xml:space="preserve">outputs/evaluation_report.md</w:t>
      </w:r>
    </w:p>
    <w:p>
      <w:pPr>
        <w:pStyle w:val="BodyText"/>
      </w:pPr>
      <w:r>
        <w:rPr>
          <w:b/>
          <w:bCs/>
        </w:rPr>
        <w:t xml:space="preserve">What this evaluation validates and what it does not.</w:t>
      </w:r>
      <w:r>
        <w:t xml:space="preserve"> </w:t>
      </w:r>
      <w:r>
        <w:t xml:space="preserve">The evaluation reported here is a</w:t>
      </w:r>
      <w:r>
        <w:t xml:space="preserve"> </w:t>
      </w:r>
      <w:r>
        <w:rPr>
          <w:i/>
          <w:iCs/>
        </w:rPr>
        <w:t xml:space="preserve">structural feasibility validation</w:t>
      </w:r>
      <w:r>
        <w:t xml:space="preserve"> </w:t>
      </w:r>
      <w:r>
        <w:t xml:space="preserve">— a distinct research target from</w:t>
      </w:r>
      <w:r>
        <w:t xml:space="preserve"> </w:t>
      </w:r>
      <w:r>
        <w:rPr>
          <w:i/>
          <w:iCs/>
        </w:rPr>
        <w:t xml:space="preserve">decision quality validation</w:t>
      </w:r>
      <w:r>
        <w:t xml:space="preserve">, and the appropriate target for a prototype-stage conceptual framework paper. Structural feasibility asks: does the pipeline execute? Does it process heterogeneous inputs? Does it produce cross-source clusters? Does it generate an executive artifact? All four questions are answered affirmatively. Decision quality validation — asking whether the synthesized intelligence is correct, useful, or superior to a baseline — requires a validated evaluation metric for executive synthesis quality that does not yet exist in the literature. Establishing that metric is a primary future research direction (Section 10).</w:t>
      </w:r>
    </w:p>
    <w:p>
      <w:pPr>
        <w:pStyle w:val="BodyText"/>
      </w:pPr>
      <w:r>
        <w:t xml:space="preserve">This scope distinction is not a limitation unique to this work; it reflects the normal research trajectory for new framework proposals. Gorry and Scott Morton (1971) introduced the DSS taxonomy without measuring decision quality improvement. Subsequent decades of research developed and validated those measures. ESS follows the same trajectory: the framework and prototype establish what to measure; formal evaluation establishes how well it performs.</w:t>
      </w:r>
    </w:p>
    <w:p>
      <w:pPr>
        <w:pStyle w:val="BodyText"/>
      </w:pPr>
      <w:r>
        <w:t xml:space="preserve">The cross-source ratio of 0.67 indicates that 2 of 3 clusters successfully grouped signals from multiple independent organizational sources. This is the primary structural validation target: the prototype demonstrates that cross-source pattern detection is achievable with standard NLP tools on a controlled dataset. The signal compression ratio of 1.67× confirms information reduction from raw signals to structured patterns. Neither metric quantifies decision quality; both confirm pipeline behavior.</w:t>
      </w:r>
    </w:p>
    <w:p>
      <w:r>
        <w:pict>
          <v:rect style="width:0;height:1.5pt" o:hralign="center" o:hrstd="t" o:hr="t"/>
        </w:pict>
      </w:r>
    </w:p>
    <w:bookmarkEnd w:id="21"/>
    <w:bookmarkEnd w:id="22"/>
    <w:bookmarkStart w:id="29" w:name="example-flow"/>
    <w:p>
      <w:pPr>
        <w:pStyle w:val="Ttulo2"/>
      </w:pPr>
      <w:r>
        <w:t xml:space="preserve">7. Example Flow</w:t>
      </w:r>
    </w:p>
    <w:p>
      <w:pPr>
        <w:pStyle w:val="FirstParagraph"/>
      </w:pPr>
      <w:r>
        <w:t xml:space="preserve">The following example traces a complete ESS pipeline execution using actual prototype output from</w:t>
      </w:r>
      <w:r>
        <w:t xml:space="preserve"> </w:t>
      </w:r>
      <w:r>
        <w:rPr>
          <w:rStyle w:val="VerbatimChar"/>
        </w:rPr>
        <w:t xml:space="preserve">outputs/sample_decision_brief.md</w:t>
      </w:r>
      <w:r>
        <w:t xml:space="preserve">.</w:t>
      </w:r>
    </w:p>
    <w:bookmarkStart w:id="23" w:name="input-signals"/>
    <w:p>
      <w:pPr>
        <w:pStyle w:val="Ttulo3"/>
      </w:pPr>
      <w:r>
        <w:t xml:space="preserve">Input Signals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Signal ID</w:t>
            </w:r>
          </w:p>
        </w:tc>
        <w:tc>
          <w:tcPr/>
          <w:p>
            <w:pPr>
              <w:pStyle w:val="Compact"/>
            </w:pPr>
            <w:r>
              <w:t xml:space="preserve">Source</w:t>
            </w:r>
          </w:p>
        </w:tc>
        <w:tc>
          <w:tcPr/>
          <w:p>
            <w:pPr>
              <w:pStyle w:val="Compact"/>
            </w:pPr>
            <w:r>
              <w:t xml:space="preserve">Text</w:t>
            </w:r>
          </w:p>
        </w:tc>
      </w:tr>
      <w:tr>
        <w:tc>
          <w:tcPr/>
          <w:p>
            <w:pPr>
              <w:pStyle w:val="Compact"/>
            </w:pPr>
            <w:r>
              <w:t xml:space="preserve">sig_001</w:t>
            </w:r>
          </w:p>
        </w:tc>
        <w:tc>
          <w:tcPr/>
          <w:p>
            <w:pPr>
              <w:pStyle w:val="Compact"/>
            </w:pPr>
            <w:r>
              <w:t xml:space="preserve">support_ticket</w:t>
            </w:r>
          </w:p>
        </w:tc>
        <w:tc>
          <w:tcPr/>
          <w:p>
            <w:pPr>
              <w:pStyle w:val="Compact"/>
            </w:pPr>
            <w:r>
              <w:t xml:space="preserve">“customer reports confusion during onboarding and unclear first report interpretation”</w:t>
            </w:r>
          </w:p>
        </w:tc>
      </w:tr>
      <w:tr>
        <w:tc>
          <w:tcPr/>
          <w:p>
            <w:pPr>
              <w:pStyle w:val="Compact"/>
            </w:pPr>
            <w:r>
              <w:t xml:space="preserve">sig_002</w:t>
            </w:r>
          </w:p>
        </w:tc>
        <w:tc>
          <w:tcPr/>
          <w:p>
            <w:pPr>
              <w:pStyle w:val="Compact"/>
            </w:pPr>
            <w:r>
              <w:t xml:space="preserve">sales_call_summary</w:t>
            </w:r>
          </w:p>
        </w:tc>
        <w:tc>
          <w:tcPr/>
          <w:p>
            <w:pPr>
              <w:pStyle w:val="Compact"/>
            </w:pPr>
            <w:r>
              <w:t xml:space="preserve">“prospect concerned about implementation effort and time to see value”</w:t>
            </w:r>
          </w:p>
        </w:tc>
      </w:tr>
      <w:tr>
        <w:tc>
          <w:tcPr/>
          <w:p>
            <w:pPr>
              <w:pStyle w:val="Compact"/>
            </w:pPr>
            <w:r>
              <w:t xml:space="preserve">sig_003</w:t>
            </w:r>
          </w:p>
        </w:tc>
        <w:tc>
          <w:tcPr/>
          <w:p>
            <w:pPr>
              <w:pStyle w:val="Compact"/>
            </w:pPr>
            <w:r>
              <w:t xml:space="preserve">meeting_note</w:t>
            </w:r>
          </w:p>
        </w:tc>
        <w:tc>
          <w:tcPr/>
          <w:p>
            <w:pPr>
              <w:pStyle w:val="Compact"/>
            </w:pPr>
            <w:r>
              <w:t xml:space="preserve">“team discussed repeated onboarding delays affecting enterprise clients”</w:t>
            </w:r>
          </w:p>
        </w:tc>
      </w:tr>
    </w:tbl>
    <w:bookmarkEnd w:id="23"/>
    <w:bookmarkStart w:id="24" w:name="stage-1-ingestion"/>
    <w:p>
      <w:pPr>
        <w:pStyle w:val="Ttulo3"/>
      </w:pPr>
      <w:r>
        <w:t xml:space="preserve">Stage 1: Ingestion</w:t>
      </w:r>
    </w:p>
    <w:p>
      <w:pPr>
        <w:pStyle w:val="FirstParagraph"/>
      </w:pPr>
      <w:r>
        <w:t xml:space="preserve">Signals are normalized into a common DataFrame structure with fields:</w:t>
      </w:r>
      <w:r>
        <w:t xml:space="preserve"> </w:t>
      </w:r>
      <w:r>
        <w:rPr>
          <w:rStyle w:val="VerbatimChar"/>
        </w:rPr>
        <w:t xml:space="preserve">id</w:t>
      </w:r>
      <w:r>
        <w:t xml:space="preserve">,</w:t>
      </w:r>
      <w:r>
        <w:t xml:space="preserve"> </w:t>
      </w:r>
      <w:r>
        <w:rPr>
          <w:rStyle w:val="VerbatimChar"/>
        </w:rPr>
        <w:t xml:space="preserve">source</w:t>
      </w:r>
      <w:r>
        <w:t xml:space="preserve">,</w:t>
      </w:r>
      <w:r>
        <w:t xml:space="preserve"> </w:t>
      </w:r>
      <w:r>
        <w:rPr>
          <w:rStyle w:val="VerbatimChar"/>
        </w:rPr>
        <w:t xml:space="preserve">text</w:t>
      </w:r>
      <w:r>
        <w:t xml:space="preserve">. Text is lowercased for NLP consistency.</w:t>
      </w:r>
    </w:p>
    <w:bookmarkEnd w:id="24"/>
    <w:bookmarkStart w:id="25" w:name="stage-2-classification"/>
    <w:p>
      <w:pPr>
        <w:pStyle w:val="Ttulo3"/>
      </w:pPr>
      <w:r>
        <w:t xml:space="preserve">Stage 2: Classification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Urgency</w:t>
            </w:r>
          </w:p>
        </w:tc>
        <w:tc>
          <w:tcPr/>
          <w:p>
            <w:pPr>
              <w:pStyle w:val="Compact"/>
            </w:pPr>
            <w:r>
              <w:t xml:space="preserve">Revenue Risk</w:t>
            </w:r>
          </w:p>
        </w:tc>
        <w:tc>
          <w:tcPr/>
          <w:p>
            <w:pPr>
              <w:pStyle w:val="Compact"/>
            </w:pPr>
            <w:r>
              <w:t xml:space="preserve">Churn Risk</w:t>
            </w:r>
          </w:p>
        </w:tc>
      </w:tr>
      <w:tr>
        <w:tc>
          <w:tcPr/>
          <w:p>
            <w:pPr>
              <w:pStyle w:val="Compact"/>
            </w:pPr>
            <w:r>
              <w:t xml:space="preserve">sig_001</w:t>
            </w:r>
          </w:p>
        </w:tc>
        <w:tc>
          <w:tcPr/>
          <w:p>
            <w:pPr>
              <w:pStyle w:val="Compact"/>
            </w:pPr>
            <w:r>
              <w:t xml:space="preserve">high (contains</w:t>
            </w:r>
            <w:r>
              <w:t xml:space="preserve"> </w:t>
            </w:r>
            <w:r>
              <w:t xml:space="preserve">“confusion”</w:t>
            </w:r>
            <w:r>
              <w:t xml:space="preserve">)</w:t>
            </w:r>
          </w:p>
        </w:tc>
        <w:tc>
          <w:tcPr/>
          <w:p>
            <w:pPr>
              <w:pStyle w:val="Compact"/>
            </w:pPr>
            <w:r>
              <w:t xml:space="preserve">False</w:t>
            </w:r>
          </w:p>
        </w:tc>
        <w:tc>
          <w:tcPr/>
          <w:p>
            <w:pPr>
              <w:pStyle w:val="Compact"/>
            </w:pPr>
            <w:r>
              <w:t xml:space="preserve">False</w:t>
            </w:r>
          </w:p>
        </w:tc>
      </w:tr>
      <w:tr>
        <w:tc>
          <w:tcPr/>
          <w:p>
            <w:pPr>
              <w:pStyle w:val="Compact"/>
            </w:pPr>
            <w:r>
              <w:t xml:space="preserve">sig_002</w:t>
            </w:r>
          </w:p>
        </w:tc>
        <w:tc>
          <w:tcPr/>
          <w:p>
            <w:pPr>
              <w:pStyle w:val="Compact"/>
            </w:pPr>
            <w:r>
              <w:t xml:space="preserve">medium</w:t>
            </w:r>
          </w:p>
        </w:tc>
        <w:tc>
          <w:tcPr/>
          <w:p>
            <w:pPr>
              <w:pStyle w:val="Compact"/>
            </w:pPr>
            <w:r>
              <w:t xml:space="preserve">True (contains</w:t>
            </w:r>
            <w:r>
              <w:t xml:space="preserve"> </w:t>
            </w:r>
            <w:r>
              <w:t xml:space="preserve">“implementation”</w:t>
            </w:r>
            <w:r>
              <w:t xml:space="preserve">)</w:t>
            </w:r>
          </w:p>
        </w:tc>
        <w:tc>
          <w:tcPr/>
          <w:p>
            <w:pPr>
              <w:pStyle w:val="Compact"/>
            </w:pPr>
            <w:r>
              <w:t xml:space="preserve">False</w:t>
            </w:r>
          </w:p>
        </w:tc>
      </w:tr>
      <w:tr>
        <w:tc>
          <w:tcPr/>
          <w:p>
            <w:pPr>
              <w:pStyle w:val="Compact"/>
            </w:pPr>
            <w:r>
              <w:t xml:space="preserve">sig_003</w:t>
            </w:r>
          </w:p>
        </w:tc>
        <w:tc>
          <w:tcPr/>
          <w:p>
            <w:pPr>
              <w:pStyle w:val="Compact"/>
            </w:pPr>
            <w:r>
              <w:t xml:space="preserve">high (contains</w:t>
            </w:r>
            <w:r>
              <w:t xml:space="preserve"> </w:t>
            </w:r>
            <w:r>
              <w:t xml:space="preserve">“delay”</w:t>
            </w:r>
            <w:r>
              <w:t xml:space="preserve">)</w:t>
            </w:r>
          </w:p>
        </w:tc>
        <w:tc>
          <w:tcPr/>
          <w:p>
            <w:pPr>
              <w:pStyle w:val="Compact"/>
            </w:pPr>
            <w:r>
              <w:t xml:space="preserve">True (contains</w:t>
            </w:r>
            <w:r>
              <w:t xml:space="preserve"> </w:t>
            </w:r>
            <w:r>
              <w:t xml:space="preserve">“enterprise”</w:t>
            </w:r>
            <w:r>
              <w:t xml:space="preserve">)</w:t>
            </w:r>
          </w:p>
        </w:tc>
        <w:tc>
          <w:tcPr/>
          <w:p>
            <w:pPr>
              <w:pStyle w:val="Compact"/>
            </w:pPr>
            <w:r>
              <w:t xml:space="preserve">False</w:t>
            </w:r>
          </w:p>
        </w:tc>
      </w:tr>
    </w:tbl>
    <w:bookmarkEnd w:id="25"/>
    <w:bookmarkStart w:id="26" w:name="stage-3-clustering"/>
    <w:p>
      <w:pPr>
        <w:pStyle w:val="Ttulo3"/>
      </w:pPr>
      <w:r>
        <w:t xml:space="preserve">Stage 3: Clustering</w:t>
      </w:r>
    </w:p>
    <w:p>
      <w:pPr>
        <w:pStyle w:val="FirstParagraph"/>
      </w:pPr>
      <w:r>
        <w:t xml:space="preserve">TF-IDF vectorization encodes the signal texts as term-frequency feature vectors. K-means assigns sig_001 and sig_003 to</w:t>
      </w:r>
      <w:r>
        <w:t xml:space="preserve"> </w:t>
      </w:r>
      <w:r>
        <w:rPr>
          <w:b/>
          <w:bCs/>
        </w:rPr>
        <w:t xml:space="preserve">Pattern 1</w:t>
      </w:r>
      <w:r>
        <w:t xml:space="preserve"> </w:t>
      </w:r>
      <w:r>
        <w:t xml:space="preserve">— both share vocabulary around onboarding delays and client impact from two independent sources. sig_002 is assigned to</w:t>
      </w:r>
      <w:r>
        <w:t xml:space="preserve"> </w:t>
      </w:r>
      <w:r>
        <w:rPr>
          <w:b/>
          <w:bCs/>
        </w:rPr>
        <w:t xml:space="preserve">Pattern 0</w:t>
      </w:r>
      <w:r>
        <w:t xml:space="preserve"> </w:t>
      </w:r>
      <w:r>
        <w:t xml:space="preserve">as a distinct signal on implementation effort.</w:t>
      </w:r>
    </w:p>
    <w:p>
      <w:pPr>
        <w:pStyle w:val="BodyText"/>
      </w:pPr>
      <w:r>
        <w:rPr>
          <w:b/>
          <w:bCs/>
        </w:rPr>
        <w:t xml:space="preserve">Pattern 1 is a cross-source cluster:</w:t>
      </w:r>
      <w:r>
        <w:t xml:space="preserve"> </w:t>
      </w:r>
      <w:r>
        <w:t xml:space="preserve">it spans</w:t>
      </w:r>
      <w:r>
        <w:t xml:space="preserve"> </w:t>
      </w:r>
      <w:r>
        <w:rPr>
          <w:rStyle w:val="VerbatimChar"/>
        </w:rPr>
        <w:t xml:space="preserve">meeting_note</w:t>
      </w:r>
      <w:r>
        <w:t xml:space="preserve"> </w:t>
      </w:r>
      <w:r>
        <w:t xml:space="preserve">and</w:t>
      </w:r>
      <w:r>
        <w:t xml:space="preserve"> </w:t>
      </w:r>
      <w:r>
        <w:rPr>
          <w:rStyle w:val="VerbatimChar"/>
        </w:rPr>
        <w:t xml:space="preserve">support_ticket</w:t>
      </w:r>
      <w:r>
        <w:t xml:space="preserve"> </w:t>
      </w:r>
      <w:r>
        <w:t xml:space="preserve">— two independent organizational sources converging on the same problem domain.</w:t>
      </w:r>
    </w:p>
    <w:bookmarkEnd w:id="26"/>
    <w:bookmarkStart w:id="27" w:name="stage-4-synthesis"/>
    <w:p>
      <w:pPr>
        <w:pStyle w:val="Ttulo3"/>
      </w:pPr>
      <w:r>
        <w:t xml:space="preserve">Stage 4: Synthesis</w:t>
      </w:r>
    </w:p>
    <w:p>
      <w:pPr>
        <w:pStyle w:val="SourceCode"/>
      </w:pPr>
      <w:r>
        <w:rPr>
          <w:rStyle w:val="VerbatimChar"/>
        </w:rPr>
        <w:t xml:space="preserve">Pattern 1:</w:t>
      </w:r>
      <w:r>
        <w:br/>
      </w:r>
      <w:r>
        <w:rPr>
          <w:rStyle w:val="VerbatimChar"/>
        </w:rPr>
        <w:t xml:space="preserve">  Signal Count:  2</w:t>
      </w:r>
      <w:r>
        <w:br/>
      </w:r>
      <w:r>
        <w:rPr>
          <w:rStyle w:val="VerbatimChar"/>
        </w:rPr>
        <w:t xml:space="preserve">  Sources:       meeting_note, support_ticket</w:t>
      </w:r>
      <w:r>
        <w:br/>
      </w:r>
      <w:r>
        <w:rPr>
          <w:rStyle w:val="VerbatimChar"/>
        </w:rPr>
        <w:t xml:space="preserve">  Example:       "team discussed repeated onboarding delays affecting enterprise clients"</w:t>
      </w:r>
      <w:r>
        <w:br/>
      </w:r>
      <w:r>
        <w:rPr>
          <w:rStyle w:val="VerbatimChar"/>
        </w:rPr>
        <w:t xml:space="preserve">  Evidence IDs:  sig_003, sig_005</w:t>
      </w:r>
    </w:p>
    <w:bookmarkEnd w:id="27"/>
    <w:bookmarkStart w:id="28" w:name="executive-decision-brief-output"/>
    <w:p>
      <w:pPr>
        <w:pStyle w:val="Ttulo3"/>
      </w:pPr>
      <w:r>
        <w:t xml:space="preserve">Executive Decision Brief Output</w:t>
      </w:r>
    </w:p>
    <w:p>
      <w:pPr>
        <w:pStyle w:val="BlockText"/>
      </w:pPr>
      <w:r>
        <w:rPr>
          <w:b/>
          <w:bCs/>
        </w:rPr>
        <w:t xml:space="preserve">Pattern 1 — Cross-source signal: Onboarding delays</w:t>
      </w:r>
      <w:r>
        <w:t xml:space="preserve"> </w:t>
      </w:r>
      <w:r>
        <w:t xml:space="preserve">Two independent organizational sources (internal meeting, support ticket) report repeated onboarding delays affecting enterprise clients.</w:t>
      </w:r>
      <w:r>
        <w:t xml:space="preserve"> </w:t>
      </w:r>
      <w:r>
        <w:rPr>
          <w:b/>
          <w:bCs/>
        </w:rPr>
        <w:t xml:space="preserve">Suggested action:</w:t>
      </w:r>
      <w:r>
        <w:t xml:space="preserve"> </w:t>
      </w:r>
      <w:r>
        <w:t xml:space="preserve">Prioritize investigation of enterprise onboarding process — this signal appears across multiple business contexts, indicating a systemic rather than isolated occurrence.</w:t>
      </w:r>
    </w:p>
    <w:p>
      <w:pPr>
        <w:pStyle w:val="FirstParagraph"/>
      </w:pPr>
      <w:r>
        <w:t xml:space="preserve">The reasoning chain is fully transparent: which signals contributed (sig_003, sig_005), from which sources (meeting_note, support_ticket), why this cluster is prioritized (cross-source, high-urgency), and what action is recommended. An executive can accept this recommendation, question its sources, or request elaboration — all afforded by the explicit evidence provenance.</w:t>
      </w:r>
    </w:p>
    <w:p>
      <w:r>
        <w:pict>
          <v:rect style="width:0;height:1.5pt" o:hralign="center" o:hrstd="t" o:hr="t"/>
        </w:pict>
      </w:r>
    </w:p>
    <w:bookmarkEnd w:id="28"/>
    <w:bookmarkEnd w:id="29"/>
    <w:bookmarkStart w:id="33" w:name="implications"/>
    <w:p>
      <w:pPr>
        <w:pStyle w:val="Ttulo2"/>
      </w:pPr>
      <w:r>
        <w:t xml:space="preserve">8. Implications</w:t>
      </w:r>
    </w:p>
    <w:p>
      <w:pPr>
        <w:pStyle w:val="FirstParagraph"/>
      </w:pPr>
      <w:r>
        <w:t xml:space="preserve">The research presented here has implications at three levels: category-level, methodological, and applied. All implications are stated with appropriate epistemic scope — the prototype is exploratory, and empirical validation at scale is necessary before applied implications can be confirmed.</w:t>
      </w:r>
    </w:p>
    <w:bookmarkStart w:id="30" w:name="category-level-implications"/>
    <w:p>
      <w:pPr>
        <w:pStyle w:val="Ttulo3"/>
      </w:pPr>
      <w:r>
        <w:t xml:space="preserve">Category-Level Implications</w:t>
      </w:r>
    </w:p>
    <w:p>
      <w:pPr>
        <w:pStyle w:val="FirstParagraph"/>
      </w:pPr>
      <w:r>
        <w:t xml:space="preserve">ESS defines a new position in the AI-assisted decision support landscape. Recognizing signal-to-decision processors as a distinct category has consequences for how researchers, practitioners, and system designers think about the problem. It separates the design challenge of cross-source synthesis from the separate challenges of query answering, document retrieval, and text compression — challenges that have received substantial research attention but are fundamentally different from synthesis.</w:t>
      </w:r>
    </w:p>
    <w:p>
      <w:pPr>
        <w:pStyle w:val="BodyText"/>
      </w:pPr>
      <w:r>
        <w:t xml:space="preserve">Naming the category is a research act. It creates a target for formal evaluation, a shared vocabulary for subsequent work, and a basis for comparing approaches. Future research may validate, refine, or challenge the ESS category definition — all of which are productive scientific outcomes.</w:t>
      </w:r>
    </w:p>
    <w:bookmarkEnd w:id="30"/>
    <w:bookmarkStart w:id="31" w:name="methodological-implications"/>
    <w:p>
      <w:pPr>
        <w:pStyle w:val="Ttulo3"/>
      </w:pPr>
      <w:r>
        <w:t xml:space="preserve">Methodological Implications</w:t>
      </w:r>
    </w:p>
    <w:p>
      <w:pPr>
        <w:pStyle w:val="FirstParagraph"/>
      </w:pPr>
      <w:r>
        <w:rPr>
          <w:b/>
          <w:bCs/>
        </w:rPr>
        <w:t xml:space="preserve">For decision support systems research:</w:t>
      </w:r>
      <w:r>
        <w:t xml:space="preserve"> </w:t>
      </w:r>
      <w:r>
        <w:t xml:space="preserve">ESS provides a concrete architectural response to a gap identified since Gorry and Scott Morton (1971): computer-assisted support for semi-structured to unstructured executive decisions. The four-stage pipeline is a testable, extendable framework. Each stage is a research site: classification methods can be compared, clustering algorithms evaluated, synthesis architectures designed and assessed.</w:t>
      </w:r>
    </w:p>
    <w:p>
      <w:pPr>
        <w:pStyle w:val="BodyText"/>
      </w:pPr>
      <w:r>
        <w:rPr>
          <w:b/>
          <w:bCs/>
        </w:rPr>
        <w:t xml:space="preserve">For explainable AI research:</w:t>
      </w:r>
      <w:r>
        <w:t xml:space="preserve"> </w:t>
      </w:r>
      <w:r>
        <w:t xml:space="preserve">ESS frames explainability not as a property of individual model outputs but of the entire pipeline — from ingestion through synthesis. Every stage contributes to the evidence chain that constitutes the explanation. This suggests that XAI evaluation in organizational contexts should assess pipeline-level traceability, not only output-level interpretability (Arrieta et al., 2020; Miller, 2019).</w:t>
      </w:r>
    </w:p>
    <w:p>
      <w:pPr>
        <w:pStyle w:val="BodyText"/>
      </w:pPr>
      <w:r>
        <w:rPr>
          <w:b/>
          <w:bCs/>
        </w:rPr>
        <w:t xml:space="preserve">For organizational information processing:</w:t>
      </w:r>
      <w:r>
        <w:t xml:space="preserve"> </w:t>
      </w:r>
      <w:r>
        <w:t xml:space="preserve">ESS provides a computational instantiation of sensemaking (Weick, 1995) and cue-frame cognition (Klein et al., 2006). This opens empirical research questions: does automated synthesis complement or interfere with human organizational cognition? Under what conditions does it introduce systematic interpretation biases? These are tractable research questions that the ESS framework makes addressable.</w:t>
      </w:r>
    </w:p>
    <w:bookmarkEnd w:id="31"/>
    <w:bookmarkStart w:id="32" w:name="applied-implications"/>
    <w:p>
      <w:pPr>
        <w:pStyle w:val="Ttulo3"/>
      </w:pPr>
      <w:r>
        <w:t xml:space="preserve">Applied Implications</w:t>
      </w:r>
    </w:p>
    <w:p>
      <w:pPr>
        <w:pStyle w:val="FirstParagraph"/>
      </w:pPr>
      <w:r>
        <w:t xml:space="preserve">If signal synthesis becomes systematic and reproducible in organizational contexts, it may enable:</w:t>
      </w:r>
    </w:p>
    <w:p>
      <w:pPr>
        <w:pStyle w:val="Compact"/>
        <w:numPr>
          <w:ilvl w:val="0"/>
          <w:numId w:val="1006"/>
        </w:numPr>
      </w:pPr>
      <w:r>
        <w:rPr>
          <w:b/>
          <w:bCs/>
        </w:rPr>
        <w:t xml:space="preserve">Reduced executive cognitive load</w:t>
      </w:r>
      <w:r>
        <w:t xml:space="preserve"> </w:t>
      </w:r>
      <w:r>
        <w:t xml:space="preserve">— pre-synthesized intelligence reduces the manual cross-referencing burden that currently falls on leadership (Leidner &amp; Elam, 1995).</w:t>
      </w:r>
    </w:p>
    <w:p>
      <w:pPr>
        <w:pStyle w:val="Compact"/>
        <w:numPr>
          <w:ilvl w:val="0"/>
          <w:numId w:val="1006"/>
        </w:numPr>
      </w:pPr>
      <w:r>
        <w:rPr>
          <w:b/>
          <w:bCs/>
        </w:rPr>
        <w:t xml:space="preserve">Earlier cross-functional risk detection</w:t>
      </w:r>
      <w:r>
        <w:t xml:space="preserve"> </w:t>
      </w:r>
      <w:r>
        <w:t xml:space="preserve">— cross-source clustering may surface convergent signals before they appear in any single reporting system.</w:t>
      </w:r>
    </w:p>
    <w:p>
      <w:pPr>
        <w:pStyle w:val="Compact"/>
        <w:numPr>
          <w:ilvl w:val="0"/>
          <w:numId w:val="1006"/>
        </w:numPr>
      </w:pPr>
      <w:r>
        <w:rPr>
          <w:b/>
          <w:bCs/>
        </w:rPr>
        <w:t xml:space="preserve">Traceable decision provenance</w:t>
      </w:r>
      <w:r>
        <w:t xml:space="preserve"> </w:t>
      </w:r>
      <w:r>
        <w:t xml:space="preserve">— synthesis outputs with explicit evidence chains create auditable records, supporting governance and retrospective accountability.</w:t>
      </w:r>
    </w:p>
    <w:p>
      <w:pPr>
        <w:pStyle w:val="Compact"/>
        <w:numPr>
          <w:ilvl w:val="0"/>
          <w:numId w:val="1006"/>
        </w:numPr>
      </w:pPr>
      <w:r>
        <w:rPr>
          <w:b/>
          <w:bCs/>
        </w:rPr>
        <w:t xml:space="preserve">Continuous organizational intelligence</w:t>
      </w:r>
      <w:r>
        <w:t xml:space="preserve"> </w:t>
      </w:r>
      <w:r>
        <w:t xml:space="preserve">— replacing periodic reporting with continuous signal processing could substantially reduce decision latency.</w:t>
      </w:r>
    </w:p>
    <w:p>
      <w:pPr>
        <w:pStyle w:val="FirstParagraph"/>
      </w:pPr>
      <w:r>
        <w:t xml:space="preserve">These implications are conditional on demonstrated decision quality at scale, executive stakeholder validation, and integration into existing organizational information flows. They are research targets, not engineering deliverables — and ESS provides the framework within which to pursue them.</w:t>
      </w:r>
    </w:p>
    <w:p>
      <w:r>
        <w:pict>
          <v:rect style="width:0;height:1.5pt" o:hralign="center" o:hrstd="t" o:hr="t"/>
        </w:pict>
      </w:r>
    </w:p>
    <w:bookmarkEnd w:id="32"/>
    <w:bookmarkEnd w:id="33"/>
    <w:bookmarkStart w:id="34" w:name="limitations"/>
    <w:p>
      <w:pPr>
        <w:pStyle w:val="Ttulo2"/>
      </w:pPr>
      <w:r>
        <w:t xml:space="preserve">9. Limitations</w:t>
      </w:r>
    </w:p>
    <w:p>
      <w:pPr>
        <w:pStyle w:val="FirstParagraph"/>
      </w:pPr>
      <w:r>
        <w:t xml:space="preserve">The limitations of this research are explicit and intentional. They are design boundaries of the current work, stated to define the scope of the contribution rather than to apologize for it.</w:t>
      </w:r>
    </w:p>
    <w:p>
      <w:pPr>
        <w:pStyle w:val="BodyText"/>
      </w:pPr>
      <w:r>
        <w:rPr>
          <w:b/>
          <w:bCs/>
        </w:rPr>
        <w:t xml:space="preserve">1. Synthetic dataset (n=5).</w:t>
      </w:r>
      <w:r>
        <w:t xml:space="preserve"> </w:t>
      </w:r>
      <w:r>
        <w:t xml:space="preserve">The prototype was evaluated on 5 synthetic signals designed to simulate organizational signal environments. This scale is appropriate for structural feasibility validation — sufficient to demonstrate that the pipeline executes and produces cross-source clusters — but insufficient for generalization claims. Volume, vocabulary diversity, semantic complexity, and schema heterogeneity in real organizational data will require evaluation at substantially larger scale.</w:t>
      </w:r>
    </w:p>
    <w:p>
      <w:pPr>
        <w:pStyle w:val="BodyText"/>
      </w:pPr>
      <w:r>
        <w:rPr>
          <w:b/>
          <w:bCs/>
        </w:rPr>
        <w:t xml:space="preserve">2. Keyword-based classification.</w:t>
      </w:r>
      <w:r>
        <w:t xml:space="preserve"> </w:t>
      </w:r>
      <w:r>
        <w:t xml:space="preserve">Signal classification uses string matching against a predefined vocabulary. The approach is interpretable and auditable. It does not generalize to paraphrases, domain-specific language variation, or urgency expressed through implication rather than explicit keywords. This is the most significant methodological constraint on classification quality and the clearest candidate for improvement via supervised or embedding-based classification.</w:t>
      </w:r>
    </w:p>
    <w:p>
      <w:pPr>
        <w:pStyle w:val="BodyText"/>
      </w:pPr>
      <w:r>
        <w:rPr>
          <w:b/>
          <w:bCs/>
        </w:rPr>
        <w:t xml:space="preserve">3. TF-IDF + K-means clustering.</w:t>
      </w:r>
      <w:r>
        <w:t xml:space="preserve"> </w:t>
      </w:r>
      <w:r>
        <w:t xml:space="preserve">TF-IDF treats text as a bag of words, discarding syntactic structure and semantic context. K-means requires a fixed cluster count and assumes spherical cluster geometry. These are known limitations of the chosen methods, selected deliberately for their interpretability at prototype stage. They represent the lower bound of clustering sophistication and the most direct path for technical improvement via semantic embeddings.</w:t>
      </w:r>
    </w:p>
    <w:p>
      <w:pPr>
        <w:pStyle w:val="BodyText"/>
      </w:pPr>
      <w:r>
        <w:rPr>
          <w:b/>
          <w:bCs/>
        </w:rPr>
        <w:t xml:space="preserve">4. Rule-based synthesis.</w:t>
      </w:r>
      <w:r>
        <w:t xml:space="preserve"> </w:t>
      </w:r>
      <w:r>
        <w:t xml:space="preserve">The synthesis module produces structured summaries by aggregation — it does not generate natural language interpretations or perform inferential reasoning over cluster evidence. The executive brief format is template-driven. The richness and contextual nuance of synthesis outputs is therefore constrained by what the template captures, not by what the signal evidence contains.</w:t>
      </w:r>
    </w:p>
    <w:p>
      <w:pPr>
        <w:pStyle w:val="BodyText"/>
      </w:pPr>
      <w:r>
        <w:rPr>
          <w:b/>
          <w:bCs/>
        </w:rPr>
        <w:t xml:space="preserve">5. No decision quality evaluation.</w:t>
      </w:r>
      <w:r>
        <w:t xml:space="preserve"> </w:t>
      </w:r>
      <w:r>
        <w:t xml:space="preserve">The evaluation metrics used (cross-source ratio, compression ratio, urgency distribution) assess pipeline structural behavior, not decision quality. No validated benchmark for executive synthesis quality exists in the literature; developing one is a primary future research direction. This limitation is shared by all early-stage decision support framework papers; it is a consequence of the field’s state, not of this work’s inadequacy.</w:t>
      </w:r>
    </w:p>
    <w:p>
      <w:pPr>
        <w:pStyle w:val="BodyText"/>
      </w:pPr>
      <w:r>
        <w:rPr>
          <w:b/>
          <w:bCs/>
        </w:rPr>
        <w:t xml:space="preserve">6. No baseline comparison.</w:t>
      </w:r>
      <w:r>
        <w:t xml:space="preserve"> </w:t>
      </w:r>
      <w:r>
        <w:t xml:space="preserve">The evaluation does not compare ESS outputs to any alternative — a human analyst, a BI dashboard, or a simpler aggregation rule. Such comparisons require the decision quality benchmark identified above. Absence of baseline is a limitation of scope, not of design.</w:t>
      </w:r>
    </w:p>
    <w:p>
      <w:pPr>
        <w:pStyle w:val="BodyText"/>
      </w:pPr>
      <w:r>
        <w:t xml:space="preserve">These boundaries collectively define what this paper claims and does not claim: structural feasibility of the ESS pipeline, demonstrated on a controlled dataset, as proof of instantiability for a new framework category.</w:t>
      </w:r>
    </w:p>
    <w:p>
      <w:r>
        <w:pict>
          <v:rect style="width:0;height:1.5pt" o:hralign="center" o:hrstd="t" o:hr="t"/>
        </w:pict>
      </w:r>
    </w:p>
    <w:bookmarkEnd w:id="34"/>
    <w:bookmarkStart w:id="35" w:name="future-work"/>
    <w:p>
      <w:pPr>
        <w:pStyle w:val="Ttulo2"/>
      </w:pPr>
      <w:r>
        <w:t xml:space="preserve">10. Future Work</w:t>
      </w:r>
    </w:p>
    <w:p>
      <w:pPr>
        <w:pStyle w:val="FirstParagraph"/>
      </w:pPr>
      <w:r>
        <w:t xml:space="preserve">Each limitation in Section 9 generates a specific research direction. Collectively, these directions constitute a research agenda for ESS as a field of inquiry.</w:t>
      </w:r>
    </w:p>
    <w:p>
      <w:pPr>
        <w:pStyle w:val="BodyText"/>
      </w:pPr>
      <w:r>
        <w:rPr>
          <w:b/>
          <w:bCs/>
        </w:rPr>
        <w:t xml:space="preserve">Semantic signal representation.</w:t>
      </w:r>
      <w:r>
        <w:t xml:space="preserve"> </w:t>
      </w:r>
      <w:r>
        <w:t xml:space="preserve">Replacing TF-IDF with sentence-level embeddings — domain-adapted transformer models, or general-purpose encoders fine-tuned on organizational text — would enable clustering based on semantic similarity rather than surface vocabulary. This is the highest-impact technical extension and is expected to substantially improve cross-source pattern detection on diverse real-world signals with varied terminology.</w:t>
      </w:r>
    </w:p>
    <w:p>
      <w:pPr>
        <w:pStyle w:val="BodyText"/>
      </w:pPr>
      <w:r>
        <w:rPr>
          <w:b/>
          <w:bCs/>
        </w:rPr>
        <w:t xml:space="preserve">Graph-based pattern detection.</w:t>
      </w:r>
      <w:r>
        <w:t xml:space="preserve"> </w:t>
      </w:r>
      <w:r>
        <w:t xml:space="preserve">Flat feature spaces may be inadequate for organizational signal networks where relationships between signals span multiple hops. A graph representation would enable detecting that a signal about customer churn, a signal about product performance degradation, and a signal about increased support volume jointly indicate a systemic risk that no pairwise clustering reveals. Zhao et al. (2020) provide multi-source knowledge fusion techniques applicable to this direction.</w:t>
      </w:r>
    </w:p>
    <w:p>
      <w:pPr>
        <w:pStyle w:val="BodyText"/>
      </w:pPr>
      <w:r>
        <w:rPr>
          <w:b/>
          <w:bCs/>
        </w:rPr>
        <w:t xml:space="preserve">Formal decision quality benchmark.</w:t>
      </w:r>
      <w:r>
        <w:t xml:space="preserve"> </w:t>
      </w:r>
      <w:r>
        <w:t xml:space="preserve">A validated metric for executive synthesis quality is a foundational contribution the field currently lacks. Candidate approaches: structured expert evaluation protocols, longitudinal decision outcome tracking in organizational studies, and information-theoretic measures of synthesis informativeness relative to source entropy. Establishing this benchmark is the critical enabling step for ESS to transition from feasibility demonstration to validated methodology.</w:t>
      </w:r>
    </w:p>
    <w:p>
      <w:pPr>
        <w:pStyle w:val="BodyText"/>
      </w:pPr>
      <w:r>
        <w:rPr>
          <w:b/>
          <w:bCs/>
        </w:rPr>
        <w:t xml:space="preserve">Real-world organizational signal streams.</w:t>
      </w:r>
      <w:r>
        <w:t xml:space="preserve"> </w:t>
      </w:r>
      <w:r>
        <w:t xml:space="preserve">Evaluation on live organizational data — from real support systems, CRM records, meeting transcriptions, and operational logs — is required to assess generalizability and to surface the signal diversity, noise levels, and schema heterogeneity that synthetic datasets cannot replicate.</w:t>
      </w:r>
    </w:p>
    <w:p>
      <w:pPr>
        <w:pStyle w:val="BodyText"/>
      </w:pPr>
      <w:r>
        <w:rPr>
          <w:b/>
          <w:bCs/>
        </w:rPr>
        <w:t xml:space="preserve">Human-in-the-loop validation.</w:t>
      </w:r>
      <w:r>
        <w:t xml:space="preserve"> </w:t>
      </w:r>
      <w:r>
        <w:t xml:space="preserve">ESS outputs are intended for executive consumers. How executives interact with, trust, question, and act on synthesized intelligence must be studied empirically. This research direction connects ESS to human-AI collaboration literature and to XAI evaluation methodology (Arrieta et al., 2020). Validation here is both a scientific requirement and a practical prerequisite for organizational adoption.</w:t>
      </w:r>
    </w:p>
    <w:p>
      <w:pPr>
        <w:pStyle w:val="BodyText"/>
      </w:pPr>
      <w:r>
        <w:rPr>
          <w:b/>
          <w:bCs/>
        </w:rPr>
        <w:t xml:space="preserve">Multi-modal signal integration.</w:t>
      </w:r>
      <w:r>
        <w:t xml:space="preserve"> </w:t>
      </w:r>
      <w:r>
        <w:t xml:space="preserve">Current signals are text-based. Extending ESS to structured numerical data (metrics, KPIs), audio transcripts, and visual information would require multi-modal fusion architectures (Zhao et al., 2020; Dong &amp; Srivastava, 2015) and would substantially expand organizational coverage.</w:t>
      </w:r>
    </w:p>
    <w:p>
      <w:pPr>
        <w:pStyle w:val="BodyText"/>
      </w:pPr>
      <w:r>
        <w:rPr>
          <w:b/>
          <w:bCs/>
        </w:rPr>
        <w:t xml:space="preserve">Comparative evaluation against baselines.</w:t>
      </w:r>
      <w:r>
        <w:t xml:space="preserve"> </w:t>
      </w:r>
      <w:r>
        <w:t xml:space="preserve">Once a decision quality benchmark exists, ESS should be evaluated against: human analyst synthesis, BI dashboard + analyst interpretation, general-purpose language model summarization, and simpler aggregation approaches. These comparisons will establish where ESS adds value and where existing tools are sufficient.</w:t>
      </w:r>
    </w:p>
    <w:p>
      <w:r>
        <w:pict>
          <v:rect style="width:0;height:1.5pt" o:hralign="center" o:hrstd="t" o:hr="t"/>
        </w:pict>
      </w:r>
    </w:p>
    <w:bookmarkEnd w:id="35"/>
    <w:bookmarkStart w:id="36" w:name="references"/>
    <w:p>
      <w:pPr>
        <w:pStyle w:val="Ttulo2"/>
      </w:pPr>
      <w:r>
        <w:t xml:space="preserve">11. References</w:t>
      </w:r>
    </w:p>
    <w:p>
      <w:pPr>
        <w:pStyle w:val="FirstParagraph"/>
      </w:pPr>
      <w:r>
        <w:rPr>
          <w:i/>
          <w:iCs/>
        </w:rPr>
        <w:t xml:space="preserve">References in APA 7th edition.</w:t>
      </w:r>
    </w:p>
    <w:p>
      <w:pPr>
        <w:pStyle w:val="BodyText"/>
      </w:pPr>
      <w:r>
        <w:t xml:space="preserve">Arrieta, A. B., Díaz-Rodríguez, N., Del Ser, J., Bennetot, A., Tabik, S., Barbado, A., García, S., Gil-López, S., Molina, D., Benjamins, R., Chatila, R., &amp; Herrera, F. (2020). Explainable Artificial Intelligence (XAI): Concepts, taxonomies, opportunities and challenges toward responsible AI.</w:t>
      </w:r>
      <w:r>
        <w:t xml:space="preserve"> </w:t>
      </w:r>
      <w:r>
        <w:rPr>
          <w:i/>
          <w:iCs/>
        </w:rPr>
        <w:t xml:space="preserve">Information Fusion, 58</w:t>
      </w:r>
      <w:r>
        <w:t xml:space="preserve">, 82–115. https://doi.org/10.1016/j.inffus.2019.12.012</w:t>
      </w:r>
    </w:p>
    <w:p>
      <w:pPr>
        <w:pStyle w:val="BodyText"/>
      </w:pPr>
      <w:r>
        <w:t xml:space="preserve">Daft, R. L., &amp; Lengel, R. H. (1986). Organizational information requirements, media richness and structural design.</w:t>
      </w:r>
      <w:r>
        <w:t xml:space="preserve"> </w:t>
      </w:r>
      <w:r>
        <w:rPr>
          <w:i/>
          <w:iCs/>
        </w:rPr>
        <w:t xml:space="preserve">Management Science, 32</w:t>
      </w:r>
      <w:r>
        <w:t xml:space="preserve">(5), 554–571. https://doi.org/10.1287/mnsc.32.5.554</w:t>
      </w:r>
    </w:p>
    <w:p>
      <w:pPr>
        <w:pStyle w:val="BodyText"/>
      </w:pPr>
      <w:r>
        <w:t xml:space="preserve">Dong, X. L., &amp; Srivastava, D. (2015).</w:t>
      </w:r>
      <w:r>
        <w:t xml:space="preserve"> </w:t>
      </w:r>
      <w:r>
        <w:rPr>
          <w:i/>
          <w:iCs/>
        </w:rPr>
        <w:t xml:space="preserve">Big data integration</w:t>
      </w:r>
      <w:r>
        <w:t xml:space="preserve">. Synthesis Lectures on Data Management. Morgan &amp; Claypool Publishers. https://doi.org/10.2200/S00578ED1V01Y201404DTM040</w:t>
      </w:r>
    </w:p>
    <w:p>
      <w:pPr>
        <w:pStyle w:val="BodyText"/>
      </w:pPr>
      <w:r>
        <w:t xml:space="preserve">Gorry, G. A., &amp; Scott Morton, M. S. (1971). A framework for management information systems.</w:t>
      </w:r>
      <w:r>
        <w:t xml:space="preserve"> </w:t>
      </w:r>
      <w:r>
        <w:rPr>
          <w:i/>
          <w:iCs/>
        </w:rPr>
        <w:t xml:space="preserve">Sloan Management Review, 13</w:t>
      </w:r>
      <w:r>
        <w:t xml:space="preserve">, 55–70. https://dspace.mit.edu/handle/1721.1/47936</w:t>
      </w:r>
    </w:p>
    <w:p>
      <w:pPr>
        <w:pStyle w:val="BodyText"/>
      </w:pPr>
      <w:r>
        <w:t xml:space="preserve">Klein, G., Moon, B., &amp; Hoffman, R. R. (2006). Making sense of sensemaking 2: A macrocognitive model.</w:t>
      </w:r>
      <w:r>
        <w:t xml:space="preserve"> </w:t>
      </w:r>
      <w:r>
        <w:rPr>
          <w:i/>
          <w:iCs/>
        </w:rPr>
        <w:t xml:space="preserve">IEEE Intelligent Systems, 21</w:t>
      </w:r>
      <w:r>
        <w:t xml:space="preserve">(5), 88–92. https://doi.org/10.1109/MIS.2006.100</w:t>
      </w:r>
    </w:p>
    <w:p>
      <w:pPr>
        <w:pStyle w:val="BodyText"/>
      </w:pPr>
      <w:r>
        <w:t xml:space="preserve">Leidner, D. E., &amp; Elam, J. J. (1995). The impact of executive information systems on organizational design, intelligence, and decision making.</w:t>
      </w:r>
      <w:r>
        <w:t xml:space="preserve"> </w:t>
      </w:r>
      <w:r>
        <w:rPr>
          <w:i/>
          <w:iCs/>
        </w:rPr>
        <w:t xml:space="preserve">Organization Science, 6</w:t>
      </w:r>
      <w:r>
        <w:t xml:space="preserve">(6), 645–664. https://doi.org/10.1287/orsc.6.6.645</w:t>
      </w:r>
    </w:p>
    <w:p>
      <w:pPr>
        <w:pStyle w:val="BodyText"/>
      </w:pPr>
      <w:r>
        <w:t xml:space="preserve">Miller, T. (2019). Explanation in artificial intelligence: Insights from the social sciences.</w:t>
      </w:r>
      <w:r>
        <w:t xml:space="preserve"> </w:t>
      </w:r>
      <w:r>
        <w:rPr>
          <w:i/>
          <w:iCs/>
        </w:rPr>
        <w:t xml:space="preserve">Artificial Intelligence, 267</w:t>
      </w:r>
      <w:r>
        <w:t xml:space="preserve">, 1–38. https://doi.org/10.1016/j.artint.2018.07.007</w:t>
      </w:r>
    </w:p>
    <w:p>
      <w:pPr>
        <w:pStyle w:val="BodyText"/>
      </w:pPr>
      <w:r>
        <w:t xml:space="preserve">Ribeiro, M. T., Singh, S., &amp; Guestrin, C. (2016).</w:t>
      </w:r>
      <w:r>
        <w:t xml:space="preserve"> </w:t>
      </w:r>
      <w:r>
        <w:t xml:space="preserve">“Why should I trust you?”</w:t>
      </w:r>
      <w:r>
        <w:t xml:space="preserve">: Explaining the predictions of any classifier.</w:t>
      </w:r>
      <w:r>
        <w:t xml:space="preserve"> </w:t>
      </w:r>
      <w:r>
        <w:rPr>
          <w:i/>
          <w:iCs/>
        </w:rPr>
        <w:t xml:space="preserve">Proceedings of the 22nd ACM SIGKDD International Conference on Knowledge Discovery and Data Mining</w:t>
      </w:r>
      <w:r>
        <w:t xml:space="preserve">, 1135–1144. https://doi.org/10.1145/2939672.2939778</w:t>
      </w:r>
    </w:p>
    <w:p>
      <w:pPr>
        <w:pStyle w:val="BodyText"/>
      </w:pPr>
      <w:r>
        <w:t xml:space="preserve">Shim, J. P., Warkentin, M., Courtney, J. F., Power, D. J., Sharda, R., &amp; Carlsson, C. (2002). Past, present, and future of decision support technology.</w:t>
      </w:r>
      <w:r>
        <w:t xml:space="preserve"> </w:t>
      </w:r>
      <w:r>
        <w:rPr>
          <w:i/>
          <w:iCs/>
        </w:rPr>
        <w:t xml:space="preserve">Decision Support Systems, 33</w:t>
      </w:r>
      <w:r>
        <w:t xml:space="preserve">(2), 111–126. https://doi.org/10.1016/S0167-9236(01)00139-7</w:t>
      </w:r>
    </w:p>
    <w:p>
      <w:pPr>
        <w:pStyle w:val="BodyText"/>
      </w:pPr>
      <w:r>
        <w:t xml:space="preserve">Weick, K. E. (1995).</w:t>
      </w:r>
      <w:r>
        <w:t xml:space="preserve"> </w:t>
      </w:r>
      <w:r>
        <w:rPr>
          <w:i/>
          <w:iCs/>
        </w:rPr>
        <w:t xml:space="preserve">Sensemaking in organizations</w:t>
      </w:r>
      <w:r>
        <w:t xml:space="preserve">. SAGE Publications. ISBN: 9780803971776</w:t>
      </w:r>
    </w:p>
    <w:p>
      <w:pPr>
        <w:pStyle w:val="BodyText"/>
      </w:pPr>
      <w:r>
        <w:t xml:space="preserve">Zhao, X., Jia, Y., Li, A., Jiang, R., &amp; Song, Y. (2020). Multi-source knowledge fusion: A survey.</w:t>
      </w:r>
      <w:r>
        <w:t xml:space="preserve"> </w:t>
      </w:r>
      <w:r>
        <w:rPr>
          <w:i/>
          <w:iCs/>
        </w:rPr>
        <w:t xml:space="preserve">World Wide Web, 23</w:t>
      </w:r>
      <w:r>
        <w:t xml:space="preserve">(4), 2567–2592. https://doi.org/10.1007/s11280-020-00811-0</w:t>
      </w:r>
    </w:p>
    <w:p>
      <w:r>
        <w:pict>
          <v:rect style="width:0;height:1.5pt" o:hralign="center" o:hrstd="t" o:hr="t"/>
        </w:pict>
      </w:r>
    </w:p>
    <w:p>
      <w:pPr>
        <w:pStyle w:val="FirstParagraph"/>
      </w:pPr>
      <w:r>
        <w:rPr>
          <w:i/>
          <w:iCs/>
        </w:rPr>
        <w:t xml:space="preserve">This paper is a research preprint submitted to Zenodo. The prototype implementation is available as an open-source repository. Flowity AI is the author’s institutional affiliation. The ESS framework is a methodological research contribution. All prototype limitations are stated explicitly as design boundaries of the current work.</w:t>
      </w:r>
    </w:p>
    <w:bookmarkEnd w:id="36"/>
    <w:bookmarkEnd w:id="37"/>
    <w:sectPr w:rsidR="00A321B4" w:rsidRPr="00A321B4">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1B4"/>
    <w:rsid w:val="00A321B4"/>
    <w:rsid w:val="00BB5841"/>
    <w:rsid w:val="00E91938"/>
  </w:rsids>
  <w:themeFontLang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pt-BR"/>
      </w:rPr>
    </w:rPrDefault>
    <w:pPrDefault>
      <w:pPr>
        <w:spacing w:after="16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B5841"/>
  </w:style>
  <w:style w:styleId="Ttulo1" w:type="paragraph">
    <w:name w:val="heading 1"/>
    <w:basedOn w:val="Normal"/>
    <w:next w:val="Normal"/>
    <w:link w:val="Ttulo1Char"/>
    <w:uiPriority w:val="9"/>
    <w:qFormat/>
    <w:rsid w:val="00BB5841"/>
    <w:pPr>
      <w:keepNext/>
      <w:keepLines/>
      <w:spacing w:after="80" w:before="320" w:line="240" w:lineRule="auto"/>
      <w:jc w:val="center"/>
      <w:outlineLvl w:val="0"/>
    </w:pPr>
    <w:rPr>
      <w:rFonts w:asciiTheme="majorHAnsi" w:cstheme="majorBidi" w:eastAsiaTheme="majorEastAsia" w:hAnsiTheme="majorHAnsi"/>
      <w:color w:themeColor="accent1" w:themeShade="BF" w:val="A5A5A5"/>
      <w:sz w:val="40"/>
      <w:szCs w:val="40"/>
    </w:rPr>
  </w:style>
  <w:style w:styleId="Ttulo2" w:type="paragraph">
    <w:name w:val="heading 2"/>
    <w:basedOn w:val="Normal"/>
    <w:next w:val="Normal"/>
    <w:link w:val="Ttulo2Char"/>
    <w:uiPriority w:val="9"/>
    <w:semiHidden/>
    <w:unhideWhenUsed/>
    <w:qFormat/>
    <w:rsid w:val="00BB5841"/>
    <w:pPr>
      <w:keepNext/>
      <w:keepLines/>
      <w:spacing w:after="40" w:before="160" w:line="240" w:lineRule="auto"/>
      <w:jc w:val="center"/>
      <w:outlineLvl w:val="1"/>
    </w:pPr>
    <w:rPr>
      <w:rFonts w:asciiTheme="majorHAnsi" w:cstheme="majorBidi" w:eastAsiaTheme="majorEastAsia" w:hAnsiTheme="majorHAnsi"/>
      <w:sz w:val="32"/>
      <w:szCs w:val="32"/>
    </w:rPr>
  </w:style>
  <w:style w:styleId="Ttulo3" w:type="paragraph">
    <w:name w:val="heading 3"/>
    <w:basedOn w:val="Normal"/>
    <w:next w:val="Normal"/>
    <w:link w:val="Ttulo3Char"/>
    <w:uiPriority w:val="9"/>
    <w:semiHidden/>
    <w:unhideWhenUsed/>
    <w:qFormat/>
    <w:rsid w:val="00BB5841"/>
    <w:pPr>
      <w:keepNext/>
      <w:keepLines/>
      <w:spacing w:after="0" w:before="160" w:line="240" w:lineRule="auto"/>
      <w:outlineLvl w:val="2"/>
    </w:pPr>
    <w:rPr>
      <w:rFonts w:asciiTheme="majorHAnsi" w:cstheme="majorBidi" w:eastAsiaTheme="majorEastAsia" w:hAnsiTheme="majorHAnsi"/>
      <w:sz w:val="32"/>
      <w:szCs w:val="32"/>
    </w:rPr>
  </w:style>
  <w:style w:styleId="Ttulo4" w:type="paragraph">
    <w:name w:val="heading 4"/>
    <w:basedOn w:val="Normal"/>
    <w:next w:val="Normal"/>
    <w:link w:val="Ttulo4Char"/>
    <w:uiPriority w:val="9"/>
    <w:semiHidden/>
    <w:unhideWhenUsed/>
    <w:qFormat/>
    <w:rsid w:val="00BB5841"/>
    <w:pPr>
      <w:keepNext/>
      <w:keepLines/>
      <w:spacing w:after="0" w:before="80"/>
      <w:outlineLvl w:val="3"/>
    </w:pPr>
    <w:rPr>
      <w:rFonts w:asciiTheme="majorHAnsi" w:cstheme="majorBidi" w:eastAsiaTheme="majorEastAsia" w:hAnsiTheme="majorHAnsi"/>
      <w:i/>
      <w:iCs/>
      <w:sz w:val="30"/>
      <w:szCs w:val="30"/>
    </w:rPr>
  </w:style>
  <w:style w:styleId="Ttulo5" w:type="paragraph">
    <w:name w:val="heading 5"/>
    <w:basedOn w:val="Normal"/>
    <w:next w:val="Normal"/>
    <w:link w:val="Ttulo5Char"/>
    <w:uiPriority w:val="9"/>
    <w:semiHidden/>
    <w:unhideWhenUsed/>
    <w:qFormat/>
    <w:rsid w:val="00BB5841"/>
    <w:pPr>
      <w:keepNext/>
      <w:keepLines/>
      <w:spacing w:after="0" w:before="40"/>
      <w:outlineLvl w:val="4"/>
    </w:pPr>
    <w:rPr>
      <w:rFonts w:asciiTheme="majorHAnsi" w:cstheme="majorBidi" w:eastAsiaTheme="majorEastAsia" w:hAnsiTheme="majorHAnsi"/>
      <w:sz w:val="28"/>
      <w:szCs w:val="28"/>
    </w:rPr>
  </w:style>
  <w:style w:styleId="Ttulo6" w:type="paragraph">
    <w:name w:val="heading 6"/>
    <w:basedOn w:val="Normal"/>
    <w:next w:val="Normal"/>
    <w:link w:val="Ttulo6Char"/>
    <w:uiPriority w:val="9"/>
    <w:semiHidden/>
    <w:unhideWhenUsed/>
    <w:qFormat/>
    <w:rsid w:val="00BB5841"/>
    <w:pPr>
      <w:keepNext/>
      <w:keepLines/>
      <w:spacing w:after="0" w:before="40"/>
      <w:outlineLvl w:val="5"/>
    </w:pPr>
    <w:rPr>
      <w:rFonts w:asciiTheme="majorHAnsi" w:cstheme="majorBidi" w:eastAsiaTheme="majorEastAsia" w:hAnsiTheme="majorHAnsi"/>
      <w:i/>
      <w:iCs/>
      <w:sz w:val="26"/>
      <w:szCs w:val="26"/>
    </w:rPr>
  </w:style>
  <w:style w:styleId="Ttulo7" w:type="paragraph">
    <w:name w:val="heading 7"/>
    <w:basedOn w:val="Normal"/>
    <w:next w:val="Normal"/>
    <w:link w:val="Ttulo7Char"/>
    <w:uiPriority w:val="9"/>
    <w:semiHidden/>
    <w:unhideWhenUsed/>
    <w:qFormat/>
    <w:rsid w:val="00BB5841"/>
    <w:pPr>
      <w:keepNext/>
      <w:keepLines/>
      <w:spacing w:after="0" w:before="40"/>
      <w:outlineLvl w:val="6"/>
    </w:pPr>
    <w:rPr>
      <w:rFonts w:asciiTheme="majorHAnsi" w:cstheme="majorBidi" w:eastAsiaTheme="majorEastAsia" w:hAnsiTheme="majorHAnsi"/>
      <w:sz w:val="24"/>
      <w:szCs w:val="24"/>
    </w:rPr>
  </w:style>
  <w:style w:styleId="Ttulo8" w:type="paragraph">
    <w:name w:val="heading 8"/>
    <w:basedOn w:val="Normal"/>
    <w:next w:val="Normal"/>
    <w:link w:val="Ttulo8Char"/>
    <w:uiPriority w:val="9"/>
    <w:semiHidden/>
    <w:unhideWhenUsed/>
    <w:qFormat/>
    <w:rsid w:val="00BB5841"/>
    <w:pPr>
      <w:keepNext/>
      <w:keepLines/>
      <w:spacing w:after="0" w:before="40"/>
      <w:outlineLvl w:val="7"/>
    </w:pPr>
    <w:rPr>
      <w:rFonts w:asciiTheme="majorHAnsi" w:cstheme="majorBidi" w:eastAsiaTheme="majorEastAsia" w:hAnsiTheme="majorHAnsi"/>
      <w:i/>
      <w:iCs/>
      <w:sz w:val="22"/>
      <w:szCs w:val="22"/>
    </w:rPr>
  </w:style>
  <w:style w:styleId="Ttulo9" w:type="paragraph">
    <w:name w:val="heading 9"/>
    <w:basedOn w:val="Normal"/>
    <w:next w:val="Normal"/>
    <w:link w:val="Ttulo9Char"/>
    <w:uiPriority w:val="9"/>
    <w:semiHidden/>
    <w:unhideWhenUsed/>
    <w:qFormat/>
    <w:rsid w:val="00BB5841"/>
    <w:pPr>
      <w:keepNext/>
      <w:keepLines/>
      <w:spacing w:after="0" w:before="40"/>
      <w:outlineLvl w:val="8"/>
    </w:pPr>
    <w:rPr>
      <w:b/>
      <w:bCs/>
      <w:i/>
      <w:iCs/>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1Char" w:type="character">
    <w:name w:val="Título 1 Char"/>
    <w:basedOn w:val="Fontepargpadro"/>
    <w:link w:val="Ttulo1"/>
    <w:uiPriority w:val="9"/>
    <w:rsid w:val="00BB5841"/>
    <w:rPr>
      <w:rFonts w:asciiTheme="majorHAnsi" w:cstheme="majorBidi" w:eastAsiaTheme="majorEastAsia" w:hAnsiTheme="majorHAnsi"/>
      <w:color w:themeColor="accent1" w:themeShade="BF" w:val="A5A5A5"/>
      <w:sz w:val="40"/>
      <w:szCs w:val="40"/>
    </w:rPr>
  </w:style>
  <w:style w:customStyle="1" w:styleId="Ttulo2Char" w:type="character">
    <w:name w:val="Título 2 Char"/>
    <w:basedOn w:val="Fontepargpadro"/>
    <w:link w:val="Ttulo2"/>
    <w:uiPriority w:val="9"/>
    <w:semiHidden/>
    <w:rsid w:val="00BB5841"/>
    <w:rPr>
      <w:rFonts w:asciiTheme="majorHAnsi" w:cstheme="majorBidi" w:eastAsiaTheme="majorEastAsia" w:hAnsiTheme="majorHAnsi"/>
      <w:sz w:val="32"/>
      <w:szCs w:val="32"/>
    </w:rPr>
  </w:style>
  <w:style w:customStyle="1" w:styleId="Ttulo3Char" w:type="character">
    <w:name w:val="Título 3 Char"/>
    <w:basedOn w:val="Fontepargpadro"/>
    <w:link w:val="Ttulo3"/>
    <w:uiPriority w:val="9"/>
    <w:semiHidden/>
    <w:rsid w:val="00BB5841"/>
    <w:rPr>
      <w:rFonts w:asciiTheme="majorHAnsi" w:cstheme="majorBidi" w:eastAsiaTheme="majorEastAsia" w:hAnsiTheme="majorHAnsi"/>
      <w:sz w:val="32"/>
      <w:szCs w:val="32"/>
    </w:rPr>
  </w:style>
  <w:style w:customStyle="1" w:styleId="Ttulo4Char" w:type="character">
    <w:name w:val="Título 4 Char"/>
    <w:basedOn w:val="Fontepargpadro"/>
    <w:link w:val="Ttulo4"/>
    <w:uiPriority w:val="9"/>
    <w:semiHidden/>
    <w:rsid w:val="00BB5841"/>
    <w:rPr>
      <w:rFonts w:asciiTheme="majorHAnsi" w:cstheme="majorBidi" w:eastAsiaTheme="majorEastAsia" w:hAnsiTheme="majorHAnsi"/>
      <w:i/>
      <w:iCs/>
      <w:sz w:val="30"/>
      <w:szCs w:val="30"/>
    </w:rPr>
  </w:style>
  <w:style w:customStyle="1" w:styleId="Ttulo5Char" w:type="character">
    <w:name w:val="Título 5 Char"/>
    <w:basedOn w:val="Fontepargpadro"/>
    <w:link w:val="Ttulo5"/>
    <w:uiPriority w:val="9"/>
    <w:semiHidden/>
    <w:rsid w:val="00BB5841"/>
    <w:rPr>
      <w:rFonts w:asciiTheme="majorHAnsi" w:cstheme="majorBidi" w:eastAsiaTheme="majorEastAsia" w:hAnsiTheme="majorHAnsi"/>
      <w:sz w:val="28"/>
      <w:szCs w:val="28"/>
    </w:rPr>
  </w:style>
  <w:style w:customStyle="1" w:styleId="Ttulo6Char" w:type="character">
    <w:name w:val="Título 6 Char"/>
    <w:basedOn w:val="Fontepargpadro"/>
    <w:link w:val="Ttulo6"/>
    <w:uiPriority w:val="9"/>
    <w:semiHidden/>
    <w:rsid w:val="00BB5841"/>
    <w:rPr>
      <w:rFonts w:asciiTheme="majorHAnsi" w:cstheme="majorBidi" w:eastAsiaTheme="majorEastAsia" w:hAnsiTheme="majorHAnsi"/>
      <w:i/>
      <w:iCs/>
      <w:sz w:val="26"/>
      <w:szCs w:val="26"/>
    </w:rPr>
  </w:style>
  <w:style w:customStyle="1" w:styleId="Ttulo7Char" w:type="character">
    <w:name w:val="Título 7 Char"/>
    <w:basedOn w:val="Fontepargpadro"/>
    <w:link w:val="Ttulo7"/>
    <w:uiPriority w:val="9"/>
    <w:semiHidden/>
    <w:rsid w:val="00BB5841"/>
    <w:rPr>
      <w:rFonts w:asciiTheme="majorHAnsi" w:cstheme="majorBidi" w:eastAsiaTheme="majorEastAsia" w:hAnsiTheme="majorHAnsi"/>
      <w:sz w:val="24"/>
      <w:szCs w:val="24"/>
    </w:rPr>
  </w:style>
  <w:style w:customStyle="1" w:styleId="Ttulo8Char" w:type="character">
    <w:name w:val="Título 8 Char"/>
    <w:basedOn w:val="Fontepargpadro"/>
    <w:link w:val="Ttulo8"/>
    <w:uiPriority w:val="9"/>
    <w:semiHidden/>
    <w:rsid w:val="00BB5841"/>
    <w:rPr>
      <w:rFonts w:asciiTheme="majorHAnsi" w:cstheme="majorBidi" w:eastAsiaTheme="majorEastAsia" w:hAnsiTheme="majorHAnsi"/>
      <w:i/>
      <w:iCs/>
      <w:sz w:val="22"/>
      <w:szCs w:val="22"/>
    </w:rPr>
  </w:style>
  <w:style w:customStyle="1" w:styleId="Ttulo9Char" w:type="character">
    <w:name w:val="Título 9 Char"/>
    <w:basedOn w:val="Fontepargpadro"/>
    <w:link w:val="Ttulo9"/>
    <w:uiPriority w:val="9"/>
    <w:semiHidden/>
    <w:rsid w:val="00BB5841"/>
    <w:rPr>
      <w:b/>
      <w:bCs/>
      <w:i/>
      <w:iCs/>
    </w:rPr>
  </w:style>
  <w:style w:styleId="Ttulo" w:type="paragraph">
    <w:name w:val="Title"/>
    <w:basedOn w:val="Normal"/>
    <w:next w:val="Normal"/>
    <w:link w:val="TtuloChar"/>
    <w:uiPriority w:val="10"/>
    <w:qFormat/>
    <w:rsid w:val="00BB5841"/>
    <w:pPr>
      <w:pBdr>
        <w:top w:color="969696" w:space="8" w:sz="6" w:themeColor="accent3" w:val="single"/>
        <w:bottom w:color="969696" w:space="8" w:sz="6" w:themeColor="accent3" w:val="single"/>
      </w:pBdr>
      <w:spacing w:after="400" w:line="240" w:lineRule="auto"/>
      <w:contextualSpacing/>
      <w:jc w:val="center"/>
    </w:pPr>
    <w:rPr>
      <w:rFonts w:asciiTheme="majorHAnsi" w:cstheme="majorBidi" w:eastAsiaTheme="majorEastAsia" w:hAnsiTheme="majorHAnsi"/>
      <w:caps/>
      <w:color w:themeColor="text2" w:val="000000"/>
      <w:spacing w:val="30"/>
      <w:sz w:val="72"/>
      <w:szCs w:val="72"/>
    </w:rPr>
  </w:style>
  <w:style w:customStyle="1" w:styleId="TtuloChar" w:type="character">
    <w:name w:val="Título Char"/>
    <w:basedOn w:val="Fontepargpadro"/>
    <w:link w:val="Ttulo"/>
    <w:uiPriority w:val="10"/>
    <w:rsid w:val="00BB5841"/>
    <w:rPr>
      <w:rFonts w:asciiTheme="majorHAnsi" w:cstheme="majorBidi" w:eastAsiaTheme="majorEastAsia" w:hAnsiTheme="majorHAnsi"/>
      <w:caps/>
      <w:color w:themeColor="text2" w:val="000000"/>
      <w:spacing w:val="30"/>
      <w:sz w:val="72"/>
      <w:szCs w:val="72"/>
    </w:rPr>
  </w:style>
  <w:style w:styleId="Subttulo" w:type="paragraph">
    <w:name w:val="Subtitle"/>
    <w:basedOn w:val="Normal"/>
    <w:next w:val="Normal"/>
    <w:link w:val="SubttuloChar"/>
    <w:uiPriority w:val="11"/>
    <w:qFormat/>
    <w:rsid w:val="00BB5841"/>
    <w:pPr>
      <w:numPr>
        <w:ilvl w:val="1"/>
      </w:numPr>
      <w:jc w:val="center"/>
    </w:pPr>
    <w:rPr>
      <w:color w:themeColor="text2" w:val="000000"/>
      <w:sz w:val="28"/>
      <w:szCs w:val="28"/>
    </w:rPr>
  </w:style>
  <w:style w:customStyle="1" w:styleId="SubttuloChar" w:type="character">
    <w:name w:val="Subtítulo Char"/>
    <w:basedOn w:val="Fontepargpadro"/>
    <w:link w:val="Subttulo"/>
    <w:uiPriority w:val="11"/>
    <w:rsid w:val="00BB5841"/>
    <w:rPr>
      <w:color w:themeColor="text2" w:val="000000"/>
      <w:sz w:val="28"/>
      <w:szCs w:val="28"/>
    </w:rPr>
  </w:style>
  <w:style w:styleId="Citao" w:type="paragraph">
    <w:name w:val="Quote"/>
    <w:basedOn w:val="Normal"/>
    <w:next w:val="Normal"/>
    <w:link w:val="CitaoChar"/>
    <w:uiPriority w:val="29"/>
    <w:qFormat/>
    <w:rsid w:val="00BB5841"/>
    <w:pPr>
      <w:spacing w:before="160"/>
      <w:ind w:left="720" w:right="720"/>
      <w:jc w:val="center"/>
    </w:pPr>
    <w:rPr>
      <w:i/>
      <w:iCs/>
      <w:color w:themeColor="accent3" w:themeShade="BF" w:val="707070"/>
      <w:sz w:val="24"/>
      <w:szCs w:val="24"/>
    </w:rPr>
  </w:style>
  <w:style w:customStyle="1" w:styleId="CitaoChar" w:type="character">
    <w:name w:val="Citação Char"/>
    <w:basedOn w:val="Fontepargpadro"/>
    <w:link w:val="Citao"/>
    <w:uiPriority w:val="29"/>
    <w:rsid w:val="00BB5841"/>
    <w:rPr>
      <w:i/>
      <w:iCs/>
      <w:color w:themeColor="accent3" w:themeShade="BF" w:val="707070"/>
      <w:sz w:val="24"/>
      <w:szCs w:val="24"/>
    </w:rPr>
  </w:style>
  <w:style w:styleId="PargrafodaLista" w:type="paragraph">
    <w:name w:val="List Paragraph"/>
    <w:basedOn w:val="Normal"/>
    <w:uiPriority w:val="34"/>
    <w:qFormat/>
    <w:rsid w:val="00A321B4"/>
    <w:pPr>
      <w:ind w:left="720"/>
      <w:contextualSpacing/>
    </w:pPr>
  </w:style>
  <w:style w:styleId="nfaseIntensa" w:type="character">
    <w:name w:val="Intense Emphasis"/>
    <w:basedOn w:val="Fontepargpadro"/>
    <w:uiPriority w:val="21"/>
    <w:qFormat/>
    <w:rsid w:val="00BB5841"/>
    <w:rPr>
      <w:b/>
      <w:bCs/>
      <w:i/>
      <w:iCs/>
      <w:color w:val="auto"/>
    </w:rPr>
  </w:style>
  <w:style w:styleId="CitaoIntensa" w:type="paragraph">
    <w:name w:val="Intense Quote"/>
    <w:basedOn w:val="Normal"/>
    <w:next w:val="Normal"/>
    <w:link w:val="CitaoIntensaChar"/>
    <w:uiPriority w:val="30"/>
    <w:qFormat/>
    <w:rsid w:val="00BB5841"/>
    <w:pPr>
      <w:spacing w:before="160" w:line="276" w:lineRule="auto"/>
      <w:ind w:left="936" w:right="936"/>
      <w:jc w:val="center"/>
    </w:pPr>
    <w:rPr>
      <w:rFonts w:asciiTheme="majorHAnsi" w:cstheme="majorBidi" w:eastAsiaTheme="majorEastAsia" w:hAnsiTheme="majorHAnsi"/>
      <w:caps/>
      <w:color w:themeColor="accent1" w:themeShade="BF" w:val="A5A5A5"/>
      <w:sz w:val="28"/>
      <w:szCs w:val="28"/>
    </w:rPr>
  </w:style>
  <w:style w:customStyle="1" w:styleId="CitaoIntensaChar" w:type="character">
    <w:name w:val="Citação Intensa Char"/>
    <w:basedOn w:val="Fontepargpadro"/>
    <w:link w:val="CitaoIntensa"/>
    <w:uiPriority w:val="30"/>
    <w:rsid w:val="00BB5841"/>
    <w:rPr>
      <w:rFonts w:asciiTheme="majorHAnsi" w:cstheme="majorBidi" w:eastAsiaTheme="majorEastAsia" w:hAnsiTheme="majorHAnsi"/>
      <w:caps/>
      <w:color w:themeColor="accent1" w:themeShade="BF" w:val="A5A5A5"/>
      <w:sz w:val="28"/>
      <w:szCs w:val="28"/>
    </w:rPr>
  </w:style>
  <w:style w:styleId="RefernciaIntensa" w:type="character">
    <w:name w:val="Intense Reference"/>
    <w:basedOn w:val="Fontepargpadro"/>
    <w:uiPriority w:val="32"/>
    <w:qFormat/>
    <w:rsid w:val="00BB5841"/>
    <w:rPr>
      <w:b/>
      <w:bCs/>
      <w:caps w:val="0"/>
      <w:smallCaps/>
      <w:color w:val="auto"/>
      <w:spacing w:val="0"/>
      <w:u w:val="single"/>
    </w:rPr>
  </w:style>
  <w:style w:styleId="Legenda" w:type="paragraph">
    <w:name w:val="caption"/>
    <w:basedOn w:val="Normal"/>
    <w:next w:val="Normal"/>
    <w:uiPriority w:val="35"/>
    <w:semiHidden/>
    <w:unhideWhenUsed/>
    <w:qFormat/>
    <w:rsid w:val="00BB5841"/>
    <w:pPr>
      <w:spacing w:line="240" w:lineRule="auto"/>
    </w:pPr>
    <w:rPr>
      <w:b/>
      <w:bCs/>
      <w:color w:themeColor="text1" w:themeTint="BF" w:val="404040"/>
      <w:sz w:val="16"/>
      <w:szCs w:val="16"/>
    </w:rPr>
  </w:style>
  <w:style w:styleId="Forte" w:type="character">
    <w:name w:val="Strong"/>
    <w:basedOn w:val="Fontepargpadro"/>
    <w:uiPriority w:val="22"/>
    <w:qFormat/>
    <w:rsid w:val="00BB5841"/>
    <w:rPr>
      <w:b/>
      <w:bCs/>
    </w:rPr>
  </w:style>
  <w:style w:styleId="nfase" w:type="character">
    <w:name w:val="Emphasis"/>
    <w:basedOn w:val="Fontepargpadro"/>
    <w:uiPriority w:val="20"/>
    <w:qFormat/>
    <w:rsid w:val="00BB5841"/>
    <w:rPr>
      <w:i/>
      <w:iCs/>
      <w:color w:themeColor="text1" w:val="000000"/>
    </w:rPr>
  </w:style>
  <w:style w:styleId="SemEspaamento" w:type="paragraph">
    <w:name w:val="No Spacing"/>
    <w:uiPriority w:val="1"/>
    <w:qFormat/>
    <w:rsid w:val="00BB5841"/>
    <w:pPr>
      <w:spacing w:after="0" w:line="240" w:lineRule="auto"/>
    </w:pPr>
  </w:style>
  <w:style w:styleId="nfaseSutil" w:type="character">
    <w:name w:val="Subtle Emphasis"/>
    <w:basedOn w:val="Fontepargpadro"/>
    <w:uiPriority w:val="19"/>
    <w:qFormat/>
    <w:rsid w:val="00BB5841"/>
    <w:rPr>
      <w:i/>
      <w:iCs/>
      <w:color w:themeColor="text1" w:themeTint="A6" w:val="595959"/>
    </w:rPr>
  </w:style>
  <w:style w:styleId="RefernciaSutil" w:type="character">
    <w:name w:val="Subtle Reference"/>
    <w:basedOn w:val="Fontepargpadro"/>
    <w:uiPriority w:val="31"/>
    <w:qFormat/>
    <w:rsid w:val="00BB5841"/>
    <w:rPr>
      <w:caps w:val="0"/>
      <w:smallCaps/>
      <w:color w:themeColor="text1" w:themeTint="BF" w:val="404040"/>
      <w:spacing w:val="0"/>
      <w:u w:color="7F7F7F" w:themeColor="text1" w:themeTint="80" w:val="single"/>
    </w:rPr>
  </w:style>
  <w:style w:styleId="TtulodoLivro" w:type="character">
    <w:name w:val="Book Title"/>
    <w:basedOn w:val="Fontepargpadro"/>
    <w:uiPriority w:val="33"/>
    <w:qFormat/>
    <w:rsid w:val="00BB5841"/>
    <w:rPr>
      <w:b/>
      <w:bCs/>
      <w:caps w:val="0"/>
      <w:smallCaps/>
      <w:spacing w:val="0"/>
    </w:rPr>
  </w:style>
  <w:style w:styleId="CabealhodoSumrio" w:type="paragraph">
    <w:name w:val="TOC Heading"/>
    <w:basedOn w:val="Ttulo1"/>
    <w:next w:val="Normal"/>
    <w:uiPriority w:val="39"/>
    <w:semiHidden/>
    <w:unhideWhenUsed/>
    <w:qFormat/>
    <w:rsid w:val="00BB5841"/>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fonte 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2026-03-19T23:33:51Z</dcterms:created>
  <dcterms:modified xsi:type="dcterms:W3CDTF">2026-03-19T23:33:51Z</dcterms:modified>
</cp:coreProperties>
</file>

<file path=docProps/custom.xml><?xml version="1.0" encoding="utf-8"?>
<Properties xmlns="http://schemas.openxmlformats.org/officeDocument/2006/custom-properties" xmlns:vt="http://schemas.openxmlformats.org/officeDocument/2006/docPropsVTypes"/>
</file>