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CED0" w14:textId="10E818BE" w:rsidR="00C80C42" w:rsidRPr="006C2778" w:rsidRDefault="0075736F" w:rsidP="0075736F">
      <w:pPr>
        <w:pStyle w:val="Title"/>
      </w:pPr>
      <w:r w:rsidRPr="006C2778">
        <w:t>A Co-Creation Framework for Eliciting Human Behavior Models to Support Crisis Risk Management: Evidence from Greece</w:t>
      </w:r>
    </w:p>
    <w:tbl>
      <w:tblPr>
        <w:tblStyle w:val="a"/>
        <w:tblW w:w="9360" w:type="dxa"/>
        <w:tblLayout w:type="fixed"/>
        <w:tblLook w:val="0000" w:firstRow="0" w:lastRow="0" w:firstColumn="0" w:lastColumn="0" w:noHBand="0" w:noVBand="0"/>
      </w:tblPr>
      <w:tblGrid>
        <w:gridCol w:w="4680"/>
        <w:gridCol w:w="4680"/>
      </w:tblGrid>
      <w:tr w:rsidR="00642D4E" w14:paraId="7B996E29" w14:textId="77777777" w:rsidTr="003F1873">
        <w:tc>
          <w:tcPr>
            <w:tcW w:w="4680" w:type="dxa"/>
            <w:tcMar>
              <w:left w:w="108" w:type="dxa"/>
              <w:right w:w="108" w:type="dxa"/>
            </w:tcMar>
          </w:tcPr>
          <w:p w14:paraId="267EE5DD" w14:textId="77777777" w:rsidR="00642D4E" w:rsidRDefault="00642D4E" w:rsidP="003F1873">
            <w:pPr>
              <w:pBdr>
                <w:top w:val="nil"/>
                <w:left w:val="nil"/>
                <w:bottom w:val="nil"/>
                <w:right w:val="nil"/>
                <w:between w:val="nil"/>
              </w:pBdr>
              <w:spacing w:after="0"/>
              <w:jc w:val="center"/>
              <w:rPr>
                <w:b/>
                <w:color w:val="000000"/>
                <w:sz w:val="32"/>
                <w:szCs w:val="32"/>
              </w:rPr>
            </w:pPr>
          </w:p>
          <w:p w14:paraId="6D45241A" w14:textId="669792DD" w:rsidR="00642D4E" w:rsidRPr="00642D4E" w:rsidRDefault="00642D4E" w:rsidP="003F1873">
            <w:pPr>
              <w:pBdr>
                <w:top w:val="nil"/>
                <w:left w:val="nil"/>
                <w:bottom w:val="nil"/>
                <w:right w:val="nil"/>
                <w:between w:val="nil"/>
              </w:pBdr>
              <w:spacing w:after="0"/>
              <w:jc w:val="center"/>
              <w:rPr>
                <w:color w:val="000000"/>
                <w:lang w:val="fr-FR"/>
              </w:rPr>
            </w:pPr>
            <w:r w:rsidRPr="00642D4E">
              <w:rPr>
                <w:b/>
                <w:color w:val="000000"/>
                <w:sz w:val="32"/>
                <w:szCs w:val="32"/>
                <w:lang w:val="fr-FR"/>
              </w:rPr>
              <w:t>Hossein Moradi</w:t>
            </w:r>
          </w:p>
          <w:p w14:paraId="1086EAF7" w14:textId="1348409D" w:rsidR="00642D4E" w:rsidRPr="00642D4E" w:rsidRDefault="00642D4E" w:rsidP="003F1873">
            <w:pPr>
              <w:pBdr>
                <w:top w:val="nil"/>
                <w:left w:val="nil"/>
                <w:bottom w:val="nil"/>
                <w:right w:val="nil"/>
                <w:between w:val="nil"/>
              </w:pBdr>
              <w:spacing w:after="0"/>
              <w:jc w:val="center"/>
              <w:rPr>
                <w:color w:val="000000"/>
                <w:lang w:val="fr-FR"/>
              </w:rPr>
            </w:pPr>
            <w:r w:rsidRPr="00642D4E">
              <w:rPr>
                <w:color w:val="000000"/>
                <w:sz w:val="24"/>
                <w:szCs w:val="24"/>
                <w:lang w:val="fr-FR"/>
              </w:rPr>
              <w:t>Université Grenoble Alpes, France</w:t>
            </w:r>
          </w:p>
          <w:p w14:paraId="22F0C067" w14:textId="688A50AC" w:rsidR="00642D4E" w:rsidRPr="00642D4E" w:rsidRDefault="00642D4E" w:rsidP="003F1873">
            <w:pPr>
              <w:pBdr>
                <w:top w:val="nil"/>
                <w:left w:val="nil"/>
                <w:bottom w:val="nil"/>
                <w:right w:val="nil"/>
                <w:between w:val="nil"/>
              </w:pBdr>
              <w:spacing w:after="0"/>
              <w:jc w:val="center"/>
              <w:rPr>
                <w:color w:val="000000"/>
                <w:lang w:val="fr-FR"/>
              </w:rPr>
            </w:pPr>
            <w:r w:rsidRPr="00642D4E">
              <w:rPr>
                <w:color w:val="000000"/>
                <w:lang w:val="fr-FR"/>
              </w:rPr>
              <w:t>hossein.moradi@univ-grenoble-alpes.fr</w:t>
            </w:r>
          </w:p>
        </w:tc>
        <w:tc>
          <w:tcPr>
            <w:tcW w:w="4680" w:type="dxa"/>
            <w:tcMar>
              <w:left w:w="108" w:type="dxa"/>
              <w:right w:w="108" w:type="dxa"/>
            </w:tcMar>
          </w:tcPr>
          <w:p w14:paraId="0911EB84" w14:textId="77777777" w:rsidR="00642D4E" w:rsidRPr="00642D4E" w:rsidRDefault="00642D4E" w:rsidP="003F1873">
            <w:pPr>
              <w:pBdr>
                <w:top w:val="nil"/>
                <w:left w:val="nil"/>
                <w:bottom w:val="nil"/>
                <w:right w:val="nil"/>
                <w:between w:val="nil"/>
              </w:pBdr>
              <w:spacing w:after="0"/>
              <w:jc w:val="center"/>
              <w:rPr>
                <w:b/>
                <w:color w:val="000000"/>
                <w:sz w:val="32"/>
                <w:szCs w:val="32"/>
                <w:lang w:val="fr-FR"/>
              </w:rPr>
            </w:pPr>
          </w:p>
          <w:p w14:paraId="0F84CDFE" w14:textId="7828675E" w:rsidR="00642D4E" w:rsidRDefault="00642D4E" w:rsidP="003F1873">
            <w:pPr>
              <w:pBdr>
                <w:top w:val="nil"/>
                <w:left w:val="nil"/>
                <w:bottom w:val="nil"/>
                <w:right w:val="nil"/>
                <w:between w:val="nil"/>
              </w:pBdr>
              <w:spacing w:after="0"/>
              <w:jc w:val="center"/>
              <w:rPr>
                <w:color w:val="000000"/>
              </w:rPr>
            </w:pPr>
            <w:r>
              <w:rPr>
                <w:b/>
                <w:color w:val="000000"/>
                <w:sz w:val="32"/>
                <w:szCs w:val="32"/>
              </w:rPr>
              <w:t>Rouba Iskandar</w:t>
            </w:r>
          </w:p>
          <w:p w14:paraId="74DF5519" w14:textId="3F032EF6" w:rsidR="00642D4E" w:rsidRDefault="00F522AA" w:rsidP="003F1873">
            <w:pPr>
              <w:pBdr>
                <w:top w:val="nil"/>
                <w:left w:val="nil"/>
                <w:bottom w:val="nil"/>
                <w:right w:val="nil"/>
                <w:between w:val="nil"/>
              </w:pBdr>
              <w:spacing w:after="0"/>
              <w:jc w:val="center"/>
              <w:rPr>
                <w:color w:val="000000"/>
              </w:rPr>
            </w:pPr>
            <w:r w:rsidRPr="00642D4E">
              <w:rPr>
                <w:color w:val="000000"/>
                <w:sz w:val="24"/>
                <w:szCs w:val="24"/>
                <w:lang w:val="fr-FR"/>
              </w:rPr>
              <w:t>Université</w:t>
            </w:r>
            <w:r w:rsidR="00642D4E" w:rsidRPr="00642D4E">
              <w:rPr>
                <w:color w:val="000000"/>
                <w:sz w:val="24"/>
                <w:szCs w:val="24"/>
              </w:rPr>
              <w:t xml:space="preserve"> Grenoble Alps, France</w:t>
            </w:r>
          </w:p>
          <w:p w14:paraId="36D09964" w14:textId="25A715AF" w:rsidR="00642D4E" w:rsidRDefault="00642D4E" w:rsidP="003F1873">
            <w:pPr>
              <w:pBdr>
                <w:top w:val="nil"/>
                <w:left w:val="nil"/>
                <w:bottom w:val="nil"/>
                <w:right w:val="nil"/>
                <w:between w:val="nil"/>
              </w:pBdr>
              <w:spacing w:after="0"/>
              <w:jc w:val="center"/>
              <w:rPr>
                <w:color w:val="000000"/>
              </w:rPr>
            </w:pPr>
            <w:r w:rsidRPr="00642D4E">
              <w:rPr>
                <w:color w:val="000000"/>
              </w:rPr>
              <w:t>rouba.iskandar@univ-grenoble-alpes.fr</w:t>
            </w:r>
          </w:p>
        </w:tc>
      </w:tr>
      <w:tr w:rsidR="00642D4E" w14:paraId="7843738C" w14:textId="77777777" w:rsidTr="003F1873">
        <w:tc>
          <w:tcPr>
            <w:tcW w:w="4680" w:type="dxa"/>
            <w:tcMar>
              <w:left w:w="108" w:type="dxa"/>
              <w:right w:w="108" w:type="dxa"/>
            </w:tcMar>
          </w:tcPr>
          <w:p w14:paraId="48241D1F" w14:textId="77777777" w:rsidR="00642D4E" w:rsidRDefault="00642D4E" w:rsidP="003F1873">
            <w:pPr>
              <w:pBdr>
                <w:top w:val="nil"/>
                <w:left w:val="nil"/>
                <w:bottom w:val="nil"/>
                <w:right w:val="nil"/>
                <w:between w:val="nil"/>
              </w:pBdr>
              <w:spacing w:after="0"/>
              <w:ind w:left="3690"/>
              <w:jc w:val="center"/>
              <w:rPr>
                <w:color w:val="000000"/>
              </w:rPr>
            </w:pPr>
          </w:p>
        </w:tc>
        <w:tc>
          <w:tcPr>
            <w:tcW w:w="4680" w:type="dxa"/>
            <w:tcMar>
              <w:left w:w="108" w:type="dxa"/>
              <w:right w:w="108" w:type="dxa"/>
            </w:tcMar>
          </w:tcPr>
          <w:p w14:paraId="2C7DFC43" w14:textId="77777777" w:rsidR="00642D4E" w:rsidRDefault="00642D4E" w:rsidP="003F1873">
            <w:pPr>
              <w:pBdr>
                <w:top w:val="nil"/>
                <w:left w:val="nil"/>
                <w:bottom w:val="nil"/>
                <w:right w:val="nil"/>
                <w:between w:val="nil"/>
              </w:pBdr>
              <w:spacing w:after="0"/>
              <w:ind w:left="3690"/>
              <w:jc w:val="center"/>
              <w:rPr>
                <w:color w:val="000000"/>
              </w:rPr>
            </w:pPr>
          </w:p>
        </w:tc>
      </w:tr>
      <w:tr w:rsidR="00642D4E" w:rsidRPr="00B96101" w14:paraId="763E3B9F" w14:textId="77777777" w:rsidTr="003F1873">
        <w:tc>
          <w:tcPr>
            <w:tcW w:w="4680" w:type="dxa"/>
            <w:tcMar>
              <w:left w:w="108" w:type="dxa"/>
              <w:right w:w="108" w:type="dxa"/>
            </w:tcMar>
          </w:tcPr>
          <w:p w14:paraId="4EB4C090" w14:textId="4E486F5B" w:rsidR="00642D4E" w:rsidRPr="00642D4E" w:rsidRDefault="00642D4E" w:rsidP="003F1873">
            <w:pPr>
              <w:pBdr>
                <w:top w:val="nil"/>
                <w:left w:val="nil"/>
                <w:bottom w:val="nil"/>
                <w:right w:val="nil"/>
                <w:between w:val="nil"/>
              </w:pBdr>
              <w:spacing w:after="0"/>
              <w:jc w:val="center"/>
              <w:rPr>
                <w:color w:val="000000"/>
                <w:lang w:val="fr-FR"/>
              </w:rPr>
            </w:pPr>
            <w:r w:rsidRPr="00642D4E">
              <w:rPr>
                <w:b/>
                <w:color w:val="000000"/>
                <w:sz w:val="32"/>
                <w:szCs w:val="32"/>
                <w:lang w:val="fr-FR"/>
              </w:rPr>
              <w:t>Julie Dugdale</w:t>
            </w:r>
          </w:p>
          <w:p w14:paraId="3322B000" w14:textId="77777777" w:rsidR="00642D4E" w:rsidRPr="00642D4E" w:rsidRDefault="00642D4E" w:rsidP="00642D4E">
            <w:pPr>
              <w:pBdr>
                <w:top w:val="nil"/>
                <w:left w:val="nil"/>
                <w:bottom w:val="nil"/>
                <w:right w:val="nil"/>
                <w:between w:val="nil"/>
              </w:pBdr>
              <w:spacing w:after="0"/>
              <w:jc w:val="center"/>
              <w:rPr>
                <w:color w:val="000000"/>
                <w:lang w:val="fr-FR"/>
              </w:rPr>
            </w:pPr>
            <w:r w:rsidRPr="00642D4E">
              <w:rPr>
                <w:color w:val="000000"/>
                <w:sz w:val="24"/>
                <w:szCs w:val="24"/>
                <w:lang w:val="fr-FR"/>
              </w:rPr>
              <w:t>Université Grenoble Alpes, France</w:t>
            </w:r>
          </w:p>
          <w:p w14:paraId="1179557F" w14:textId="19786208" w:rsidR="00642D4E" w:rsidRDefault="00642D4E" w:rsidP="003F1873">
            <w:pPr>
              <w:pBdr>
                <w:top w:val="nil"/>
                <w:left w:val="nil"/>
                <w:bottom w:val="nil"/>
                <w:right w:val="nil"/>
                <w:between w:val="nil"/>
              </w:pBdr>
              <w:spacing w:after="0"/>
              <w:jc w:val="center"/>
              <w:rPr>
                <w:color w:val="000000"/>
              </w:rPr>
            </w:pPr>
            <w:r w:rsidRPr="00642D4E">
              <w:rPr>
                <w:color w:val="000000"/>
              </w:rPr>
              <w:t>julie.dugdale@imag.fr</w:t>
            </w:r>
          </w:p>
        </w:tc>
        <w:tc>
          <w:tcPr>
            <w:tcW w:w="4680" w:type="dxa"/>
            <w:tcMar>
              <w:left w:w="108" w:type="dxa"/>
              <w:right w:w="108" w:type="dxa"/>
            </w:tcMar>
          </w:tcPr>
          <w:p w14:paraId="76D1ABBF" w14:textId="2F6A3FA8" w:rsidR="00642D4E" w:rsidRPr="00642D4E" w:rsidRDefault="00642D4E" w:rsidP="003F1873">
            <w:pPr>
              <w:pBdr>
                <w:top w:val="nil"/>
                <w:left w:val="nil"/>
                <w:bottom w:val="nil"/>
                <w:right w:val="nil"/>
                <w:between w:val="nil"/>
              </w:pBdr>
              <w:spacing w:after="0"/>
              <w:jc w:val="center"/>
              <w:rPr>
                <w:color w:val="000000"/>
                <w:lang w:val="fr-FR"/>
              </w:rPr>
            </w:pPr>
            <w:r w:rsidRPr="00642D4E">
              <w:rPr>
                <w:b/>
                <w:color w:val="000000"/>
                <w:sz w:val="32"/>
                <w:szCs w:val="32"/>
                <w:lang w:val="fr-FR"/>
              </w:rPr>
              <w:t>Fanny Di Tursi</w:t>
            </w:r>
          </w:p>
          <w:p w14:paraId="45BAAF66" w14:textId="77777777" w:rsidR="00642D4E" w:rsidRPr="00642D4E" w:rsidRDefault="00642D4E" w:rsidP="00642D4E">
            <w:pPr>
              <w:pBdr>
                <w:top w:val="nil"/>
                <w:left w:val="nil"/>
                <w:bottom w:val="nil"/>
                <w:right w:val="nil"/>
                <w:between w:val="nil"/>
              </w:pBdr>
              <w:spacing w:after="0"/>
              <w:jc w:val="center"/>
              <w:rPr>
                <w:color w:val="000000"/>
                <w:lang w:val="fr-FR"/>
              </w:rPr>
            </w:pPr>
            <w:r w:rsidRPr="00642D4E">
              <w:rPr>
                <w:color w:val="000000"/>
                <w:sz w:val="24"/>
                <w:szCs w:val="24"/>
                <w:lang w:val="fr-FR"/>
              </w:rPr>
              <w:t>Université Grenoble Alpes, France</w:t>
            </w:r>
          </w:p>
          <w:p w14:paraId="4EBAFB0F" w14:textId="647D3EED" w:rsidR="00642D4E" w:rsidRPr="00642D4E" w:rsidRDefault="00642D4E" w:rsidP="003F1873">
            <w:pPr>
              <w:pBdr>
                <w:top w:val="nil"/>
                <w:left w:val="nil"/>
                <w:bottom w:val="nil"/>
                <w:right w:val="nil"/>
                <w:between w:val="nil"/>
              </w:pBdr>
              <w:spacing w:after="0"/>
              <w:jc w:val="center"/>
              <w:rPr>
                <w:color w:val="000000"/>
                <w:lang w:val="fr-FR"/>
              </w:rPr>
            </w:pPr>
            <w:r w:rsidRPr="00642D4E">
              <w:rPr>
                <w:color w:val="000000"/>
                <w:lang w:val="fr-FR"/>
              </w:rPr>
              <w:t>fanny.di-tursi@univ-grenoble-alpes.fr</w:t>
            </w:r>
          </w:p>
        </w:tc>
      </w:tr>
      <w:tr w:rsidR="00642D4E" w14:paraId="707E0CB4" w14:textId="77777777" w:rsidTr="00642D4E">
        <w:tblPrEx>
          <w:tblLook w:val="04A0" w:firstRow="1" w:lastRow="0" w:firstColumn="1" w:lastColumn="0" w:noHBand="0" w:noVBand="1"/>
        </w:tblPrEx>
        <w:tc>
          <w:tcPr>
            <w:tcW w:w="4680" w:type="dxa"/>
          </w:tcPr>
          <w:p w14:paraId="2C788F32" w14:textId="77777777" w:rsidR="00642D4E" w:rsidRPr="00642D4E" w:rsidRDefault="00642D4E" w:rsidP="003F1873">
            <w:pPr>
              <w:pBdr>
                <w:top w:val="nil"/>
                <w:left w:val="nil"/>
                <w:bottom w:val="nil"/>
                <w:right w:val="nil"/>
                <w:between w:val="nil"/>
              </w:pBdr>
              <w:spacing w:after="0"/>
              <w:jc w:val="center"/>
              <w:rPr>
                <w:b/>
                <w:color w:val="000000"/>
                <w:sz w:val="32"/>
                <w:szCs w:val="32"/>
                <w:lang w:val="fr-FR"/>
              </w:rPr>
            </w:pPr>
          </w:p>
          <w:p w14:paraId="281A29A9" w14:textId="28A61652" w:rsidR="00642D4E" w:rsidRDefault="00642D4E" w:rsidP="003F1873">
            <w:pPr>
              <w:pBdr>
                <w:top w:val="nil"/>
                <w:left w:val="nil"/>
                <w:bottom w:val="nil"/>
                <w:right w:val="nil"/>
                <w:between w:val="nil"/>
              </w:pBdr>
              <w:spacing w:after="0"/>
              <w:jc w:val="center"/>
              <w:rPr>
                <w:color w:val="000000"/>
              </w:rPr>
            </w:pPr>
            <w:r w:rsidRPr="00642D4E">
              <w:rPr>
                <w:b/>
                <w:color w:val="000000"/>
                <w:sz w:val="32"/>
                <w:szCs w:val="32"/>
              </w:rPr>
              <w:t>Sebastian</w:t>
            </w:r>
            <w:r w:rsidRPr="00642D4E">
              <w:rPr>
                <w:b/>
                <w:color w:val="000000"/>
                <w:sz w:val="32"/>
                <w:szCs w:val="32"/>
              </w:rPr>
              <w:tab/>
              <w:t>Rodriguez</w:t>
            </w:r>
          </w:p>
          <w:p w14:paraId="0EBD1097" w14:textId="3766DB84" w:rsidR="00642D4E" w:rsidRDefault="00642D4E" w:rsidP="003F1873">
            <w:pPr>
              <w:pBdr>
                <w:top w:val="nil"/>
                <w:left w:val="nil"/>
                <w:bottom w:val="nil"/>
                <w:right w:val="nil"/>
                <w:between w:val="nil"/>
              </w:pBdr>
              <w:spacing w:after="0"/>
              <w:jc w:val="center"/>
              <w:rPr>
                <w:color w:val="000000"/>
              </w:rPr>
            </w:pPr>
            <w:r w:rsidRPr="00642D4E">
              <w:rPr>
                <w:color w:val="000000"/>
                <w:sz w:val="24"/>
                <w:szCs w:val="24"/>
              </w:rPr>
              <w:t>RMIT University, Australia</w:t>
            </w:r>
          </w:p>
          <w:p w14:paraId="06321C51" w14:textId="456E0CA1" w:rsidR="00642D4E" w:rsidRDefault="0055776D" w:rsidP="003F1873">
            <w:pPr>
              <w:pBdr>
                <w:top w:val="nil"/>
                <w:left w:val="nil"/>
                <w:bottom w:val="nil"/>
                <w:right w:val="nil"/>
                <w:between w:val="nil"/>
              </w:pBdr>
              <w:spacing w:after="0"/>
              <w:jc w:val="center"/>
              <w:rPr>
                <w:color w:val="000000"/>
              </w:rPr>
            </w:pPr>
            <w:r>
              <w:rPr>
                <w:color w:val="000000"/>
              </w:rPr>
              <w:t>s</w:t>
            </w:r>
            <w:r w:rsidR="00642D4E" w:rsidRPr="00642D4E">
              <w:rPr>
                <w:color w:val="000000"/>
              </w:rPr>
              <w:t>ebastian.rodriguez@rmit.edu.au</w:t>
            </w:r>
          </w:p>
        </w:tc>
        <w:tc>
          <w:tcPr>
            <w:tcW w:w="4680" w:type="dxa"/>
          </w:tcPr>
          <w:p w14:paraId="4B751063" w14:textId="77777777" w:rsidR="00642D4E" w:rsidRDefault="00642D4E" w:rsidP="003F1873">
            <w:pPr>
              <w:pBdr>
                <w:top w:val="nil"/>
                <w:left w:val="nil"/>
                <w:bottom w:val="nil"/>
                <w:right w:val="nil"/>
                <w:between w:val="nil"/>
              </w:pBdr>
              <w:spacing w:after="0"/>
              <w:jc w:val="center"/>
              <w:rPr>
                <w:b/>
                <w:color w:val="000000"/>
                <w:sz w:val="32"/>
                <w:szCs w:val="32"/>
              </w:rPr>
            </w:pPr>
          </w:p>
          <w:p w14:paraId="6502924F" w14:textId="6E5B9139" w:rsidR="00642D4E" w:rsidRDefault="00642D4E" w:rsidP="00642D4E">
            <w:pPr>
              <w:pBdr>
                <w:top w:val="nil"/>
                <w:left w:val="nil"/>
                <w:bottom w:val="nil"/>
                <w:right w:val="nil"/>
                <w:between w:val="nil"/>
              </w:pBdr>
              <w:spacing w:after="0"/>
              <w:jc w:val="center"/>
              <w:rPr>
                <w:color w:val="000000"/>
              </w:rPr>
            </w:pPr>
            <w:r w:rsidRPr="00642D4E">
              <w:rPr>
                <w:b/>
                <w:color w:val="000000"/>
                <w:sz w:val="32"/>
                <w:szCs w:val="32"/>
              </w:rPr>
              <w:t>Dhirendra</w:t>
            </w:r>
            <w:r>
              <w:rPr>
                <w:b/>
                <w:color w:val="000000"/>
                <w:sz w:val="32"/>
                <w:szCs w:val="32"/>
              </w:rPr>
              <w:t xml:space="preserve"> </w:t>
            </w:r>
            <w:r w:rsidRPr="00642D4E">
              <w:rPr>
                <w:b/>
                <w:color w:val="000000"/>
                <w:sz w:val="32"/>
                <w:szCs w:val="32"/>
              </w:rPr>
              <w:t>Singh</w:t>
            </w:r>
          </w:p>
          <w:p w14:paraId="2EB3D391" w14:textId="53EC365F" w:rsidR="00642D4E" w:rsidRDefault="00642D4E" w:rsidP="003F1873">
            <w:pPr>
              <w:pBdr>
                <w:top w:val="nil"/>
                <w:left w:val="nil"/>
                <w:bottom w:val="nil"/>
                <w:right w:val="nil"/>
                <w:between w:val="nil"/>
              </w:pBdr>
              <w:spacing w:after="0"/>
              <w:jc w:val="center"/>
              <w:rPr>
                <w:color w:val="000000"/>
              </w:rPr>
            </w:pPr>
            <w:r w:rsidRPr="00642D4E">
              <w:rPr>
                <w:color w:val="000000"/>
                <w:sz w:val="24"/>
                <w:szCs w:val="24"/>
              </w:rPr>
              <w:t>CSIRO Data61, Australia</w:t>
            </w:r>
          </w:p>
          <w:p w14:paraId="43C8269C" w14:textId="2326CAC1" w:rsidR="00642D4E" w:rsidRDefault="0055776D" w:rsidP="003F1873">
            <w:pPr>
              <w:pBdr>
                <w:top w:val="nil"/>
                <w:left w:val="nil"/>
                <w:bottom w:val="nil"/>
                <w:right w:val="nil"/>
                <w:between w:val="nil"/>
              </w:pBdr>
              <w:spacing w:after="0"/>
              <w:jc w:val="center"/>
              <w:rPr>
                <w:color w:val="000000"/>
              </w:rPr>
            </w:pPr>
            <w:r w:rsidRPr="0055776D">
              <w:rPr>
                <w:color w:val="000000"/>
              </w:rPr>
              <w:t>dhirendra.singh@data61.csiro.au</w:t>
            </w:r>
          </w:p>
        </w:tc>
      </w:tr>
      <w:tr w:rsidR="00642D4E" w14:paraId="5FF44983" w14:textId="77777777" w:rsidTr="00642D4E">
        <w:tblPrEx>
          <w:tblLook w:val="04A0" w:firstRow="1" w:lastRow="0" w:firstColumn="1" w:lastColumn="0" w:noHBand="0" w:noVBand="1"/>
        </w:tblPrEx>
        <w:tc>
          <w:tcPr>
            <w:tcW w:w="4680" w:type="dxa"/>
          </w:tcPr>
          <w:p w14:paraId="2EBA5405" w14:textId="77777777" w:rsidR="00642D4E" w:rsidRDefault="00642D4E" w:rsidP="003F1873">
            <w:pPr>
              <w:pBdr>
                <w:top w:val="nil"/>
                <w:left w:val="nil"/>
                <w:bottom w:val="nil"/>
                <w:right w:val="nil"/>
                <w:between w:val="nil"/>
              </w:pBdr>
              <w:spacing w:after="0"/>
              <w:ind w:left="3690"/>
              <w:jc w:val="center"/>
              <w:rPr>
                <w:color w:val="000000"/>
              </w:rPr>
            </w:pPr>
          </w:p>
        </w:tc>
        <w:tc>
          <w:tcPr>
            <w:tcW w:w="4680" w:type="dxa"/>
          </w:tcPr>
          <w:p w14:paraId="3D361C9B" w14:textId="77777777" w:rsidR="00642D4E" w:rsidRDefault="00642D4E" w:rsidP="003F1873">
            <w:pPr>
              <w:pBdr>
                <w:top w:val="nil"/>
                <w:left w:val="nil"/>
                <w:bottom w:val="nil"/>
                <w:right w:val="nil"/>
                <w:between w:val="nil"/>
              </w:pBdr>
              <w:spacing w:after="0"/>
              <w:ind w:left="3690"/>
              <w:jc w:val="center"/>
              <w:rPr>
                <w:color w:val="000000"/>
              </w:rPr>
            </w:pPr>
          </w:p>
        </w:tc>
      </w:tr>
      <w:tr w:rsidR="00642D4E" w14:paraId="6BB8EA1D" w14:textId="77777777" w:rsidTr="00642D4E">
        <w:tblPrEx>
          <w:tblLook w:val="04A0" w:firstRow="1" w:lastRow="0" w:firstColumn="1" w:lastColumn="0" w:noHBand="0" w:noVBand="1"/>
        </w:tblPrEx>
        <w:tc>
          <w:tcPr>
            <w:tcW w:w="4680" w:type="dxa"/>
          </w:tcPr>
          <w:p w14:paraId="39B51350" w14:textId="7435202F" w:rsidR="00642D4E" w:rsidRDefault="0055776D" w:rsidP="003F1873">
            <w:pPr>
              <w:pBdr>
                <w:top w:val="nil"/>
                <w:left w:val="nil"/>
                <w:bottom w:val="nil"/>
                <w:right w:val="nil"/>
                <w:between w:val="nil"/>
              </w:pBdr>
              <w:spacing w:after="0"/>
              <w:jc w:val="center"/>
              <w:rPr>
                <w:color w:val="000000"/>
              </w:rPr>
            </w:pPr>
            <w:r w:rsidRPr="0055776D">
              <w:rPr>
                <w:b/>
                <w:color w:val="000000"/>
                <w:sz w:val="32"/>
                <w:szCs w:val="32"/>
              </w:rPr>
              <w:t>Dimitrios Tzempelikos</w:t>
            </w:r>
          </w:p>
          <w:p w14:paraId="72B2AD0A" w14:textId="02F47490" w:rsidR="00642D4E" w:rsidRDefault="0055776D" w:rsidP="003F1873">
            <w:pPr>
              <w:pBdr>
                <w:top w:val="nil"/>
                <w:left w:val="nil"/>
                <w:bottom w:val="nil"/>
                <w:right w:val="nil"/>
                <w:between w:val="nil"/>
              </w:pBdr>
              <w:spacing w:after="0"/>
              <w:jc w:val="center"/>
              <w:rPr>
                <w:color w:val="000000"/>
              </w:rPr>
            </w:pPr>
            <w:r w:rsidRPr="0055776D">
              <w:rPr>
                <w:color w:val="000000"/>
                <w:sz w:val="24"/>
                <w:szCs w:val="24"/>
              </w:rPr>
              <w:t>Municipality of Egaleo, Greece</w:t>
            </w:r>
          </w:p>
          <w:p w14:paraId="4BA555B0" w14:textId="790B66A7" w:rsidR="00642D4E" w:rsidRDefault="0055776D" w:rsidP="003F1873">
            <w:pPr>
              <w:pBdr>
                <w:top w:val="nil"/>
                <w:left w:val="nil"/>
                <w:bottom w:val="nil"/>
                <w:right w:val="nil"/>
                <w:between w:val="nil"/>
              </w:pBdr>
              <w:spacing w:after="0"/>
              <w:jc w:val="center"/>
              <w:rPr>
                <w:color w:val="000000"/>
              </w:rPr>
            </w:pPr>
            <w:r w:rsidRPr="0055776D">
              <w:rPr>
                <w:color w:val="000000"/>
              </w:rPr>
              <w:t>tzempelikos@egaleo.gr</w:t>
            </w:r>
          </w:p>
        </w:tc>
        <w:tc>
          <w:tcPr>
            <w:tcW w:w="4680" w:type="dxa"/>
          </w:tcPr>
          <w:p w14:paraId="20D520EC" w14:textId="0BA1011D" w:rsidR="00642D4E" w:rsidRDefault="0055776D" w:rsidP="003F1873">
            <w:pPr>
              <w:pBdr>
                <w:top w:val="nil"/>
                <w:left w:val="nil"/>
                <w:bottom w:val="nil"/>
                <w:right w:val="nil"/>
                <w:between w:val="nil"/>
              </w:pBdr>
              <w:spacing w:after="0"/>
              <w:jc w:val="center"/>
              <w:rPr>
                <w:color w:val="000000"/>
              </w:rPr>
            </w:pPr>
            <w:r w:rsidRPr="0055776D">
              <w:rPr>
                <w:b/>
                <w:color w:val="000000"/>
                <w:sz w:val="32"/>
                <w:szCs w:val="32"/>
              </w:rPr>
              <w:t>Athanasios Sfetsos</w:t>
            </w:r>
          </w:p>
          <w:p w14:paraId="2B5CCB5D" w14:textId="4BE0CFFB" w:rsidR="00642D4E" w:rsidRDefault="0055776D" w:rsidP="003F1873">
            <w:pPr>
              <w:pBdr>
                <w:top w:val="nil"/>
                <w:left w:val="nil"/>
                <w:bottom w:val="nil"/>
                <w:right w:val="nil"/>
                <w:between w:val="nil"/>
              </w:pBdr>
              <w:spacing w:after="0"/>
              <w:jc w:val="center"/>
              <w:rPr>
                <w:color w:val="000000"/>
              </w:rPr>
            </w:pPr>
            <w:r w:rsidRPr="0055776D">
              <w:rPr>
                <w:color w:val="000000"/>
                <w:sz w:val="24"/>
                <w:szCs w:val="24"/>
              </w:rPr>
              <w:t>National Center for Scientific Research, Greece</w:t>
            </w:r>
          </w:p>
          <w:p w14:paraId="21F26928" w14:textId="4EA5F570" w:rsidR="00642D4E" w:rsidRDefault="0055776D" w:rsidP="003F1873">
            <w:pPr>
              <w:pBdr>
                <w:top w:val="nil"/>
                <w:left w:val="nil"/>
                <w:bottom w:val="nil"/>
                <w:right w:val="nil"/>
                <w:between w:val="nil"/>
              </w:pBdr>
              <w:spacing w:after="0"/>
              <w:jc w:val="center"/>
              <w:rPr>
                <w:color w:val="000000"/>
              </w:rPr>
            </w:pPr>
            <w:r w:rsidRPr="0055776D">
              <w:rPr>
                <w:color w:val="000000"/>
              </w:rPr>
              <w:t>ts@ipta.demokritos.gr</w:t>
            </w:r>
          </w:p>
        </w:tc>
      </w:tr>
    </w:tbl>
    <w:p w14:paraId="1A1773B7" w14:textId="4177EC3A" w:rsidR="00C80C42" w:rsidRPr="006C2778" w:rsidRDefault="00CE3822">
      <w:pPr>
        <w:pStyle w:val="Heading1"/>
      </w:pPr>
      <w:r w:rsidRPr="006C2778">
        <w:t>ABSTRACT</w:t>
      </w:r>
    </w:p>
    <w:p w14:paraId="130C4853" w14:textId="7B034804" w:rsidR="005210FE" w:rsidRDefault="005210FE">
      <w:pPr>
        <w:pBdr>
          <w:top w:val="nil"/>
          <w:left w:val="nil"/>
          <w:bottom w:val="nil"/>
          <w:right w:val="nil"/>
          <w:between w:val="nil"/>
        </w:pBdr>
        <w:rPr>
          <w:color w:val="000000"/>
        </w:rPr>
      </w:pPr>
      <w:r w:rsidRPr="005210FE">
        <w:rPr>
          <w:color w:val="000000"/>
        </w:rPr>
        <w:t xml:space="preserve">Human behavior models (HBMs) are representations of how individuals perceive risk, make decisions, and act during crises. </w:t>
      </w:r>
      <w:r w:rsidR="002F0E86">
        <w:rPr>
          <w:color w:val="000000"/>
        </w:rPr>
        <w:t>These models</w:t>
      </w:r>
      <w:r w:rsidRPr="005210FE">
        <w:rPr>
          <w:color w:val="000000"/>
        </w:rPr>
        <w:t xml:space="preserve"> are increasingly used in computational simulations to support disaster risk management, e.g., in assessing current or devising future evacuation strategies. However, </w:t>
      </w:r>
      <w:r w:rsidR="002F0E86">
        <w:rPr>
          <w:color w:val="000000"/>
        </w:rPr>
        <w:t>current HBMs</w:t>
      </w:r>
      <w:r w:rsidRPr="005210FE">
        <w:rPr>
          <w:color w:val="000000"/>
        </w:rPr>
        <w:t xml:space="preserve"> are often developed in an ad hoc manner and remain weakly grounded in empirical and participatory evidence. This limits the realism and transferability of simulations, ultimately reducing their value for crisis risk management. Accordingly, this paper presents a generalizable, iterative co-creation framework for eliciting HBMs. The framework translates contextual, social, and decision-making knowledge into validated, model-ready behavioral representations through empirical data, expert validation, and continuous stakeholder feedback. To evaluate the framework, it was applied in Egaleo, Greece, for earthquake and heatwave scenarios, where evacuation strategies were tested using agent-based simulations coupled with elicited HBMs. The results of simulations reveal significant differences in evacuation timing and spatial congestion.</w:t>
      </w:r>
    </w:p>
    <w:p w14:paraId="3E6A4C8E" w14:textId="77777777" w:rsidR="00C80C42" w:rsidRPr="006C2778" w:rsidRDefault="00CE3822">
      <w:pPr>
        <w:pStyle w:val="Heading2"/>
      </w:pPr>
      <w:r w:rsidRPr="006C2778">
        <w:t>Keywords</w:t>
      </w:r>
    </w:p>
    <w:p w14:paraId="0F07C825" w14:textId="47EEC494" w:rsidR="00C80C42" w:rsidRPr="006C2778" w:rsidRDefault="0075736F">
      <w:pPr>
        <w:pBdr>
          <w:top w:val="nil"/>
          <w:left w:val="nil"/>
          <w:bottom w:val="nil"/>
          <w:right w:val="nil"/>
          <w:between w:val="nil"/>
        </w:pBdr>
        <w:jc w:val="left"/>
        <w:rPr>
          <w:color w:val="000000"/>
        </w:rPr>
      </w:pPr>
      <w:r w:rsidRPr="006C2778">
        <w:rPr>
          <w:color w:val="000000"/>
        </w:rPr>
        <w:t xml:space="preserve">Human Behavior Model, Co-Creation Framework, Crisis Risk Management, </w:t>
      </w:r>
      <w:r w:rsidR="005E7C5C" w:rsidRPr="002368C8">
        <w:rPr>
          <w:color w:val="000000"/>
        </w:rPr>
        <w:t>Agent</w:t>
      </w:r>
      <w:r w:rsidR="005E7C5C" w:rsidRPr="006C2778">
        <w:rPr>
          <w:color w:val="000000"/>
        </w:rPr>
        <w:t xml:space="preserve">-based Model, </w:t>
      </w:r>
      <w:r w:rsidRPr="006C2778">
        <w:rPr>
          <w:color w:val="000000"/>
        </w:rPr>
        <w:t>Simulation-Based Decision Support</w:t>
      </w:r>
    </w:p>
    <w:p w14:paraId="1530ACA9" w14:textId="5AA0AEF5" w:rsidR="0075736F" w:rsidRPr="006C2778" w:rsidRDefault="00CE3822" w:rsidP="0075736F">
      <w:pPr>
        <w:pStyle w:val="Heading1"/>
      </w:pPr>
      <w:bookmarkStart w:id="0" w:name="_Hlk223098060"/>
      <w:r w:rsidRPr="006C2778">
        <w:t>INTRODUCTION</w:t>
      </w:r>
    </w:p>
    <w:p w14:paraId="5F1AB0E5" w14:textId="3399EDF0" w:rsidR="0075736F" w:rsidRPr="006C2778" w:rsidRDefault="0075736F" w:rsidP="0075736F">
      <w:pPr>
        <w:pBdr>
          <w:top w:val="nil"/>
          <w:left w:val="nil"/>
          <w:bottom w:val="nil"/>
          <w:right w:val="nil"/>
          <w:between w:val="nil"/>
        </w:pBdr>
        <w:rPr>
          <w:color w:val="000000"/>
        </w:rPr>
      </w:pPr>
      <w:r w:rsidRPr="006C2778">
        <w:rPr>
          <w:color w:val="000000"/>
        </w:rPr>
        <w:t xml:space="preserve">Crisis management and disaster risk reduction increasingly rely on simulation-based tools to inform preparedness, response, and policy design across a wide range of hazards </w:t>
      </w:r>
      <w:r w:rsidRPr="006C2778">
        <w:rPr>
          <w:color w:val="000000"/>
        </w:rPr>
        <w:fldChar w:fldCharType="begin"/>
      </w:r>
      <w:r w:rsidR="00C42DB3">
        <w:rPr>
          <w:color w:val="000000"/>
        </w:rPr>
        <w:instrText xml:space="preserve"> ADDIN ZOTERO_ITEM CSL_CITATION {"citationID":"SNwUtsV4","properties":{"formattedCitation":"(Tasantab et al., 2021)","plainCitation":"(Tasantab et al., 2021)","noteIndex":0},"citationItems":[{"id":"ueiO9W5d/PTlR92aK","uris":["http://zotero.org/users/local/fUjRzi5I/items/Z79HUVGY"],"itemData":{"id":3,"type":"article-journal","abstract":"Conventional lecture-based educational approaches alone might not be able to portray the complexity of disaster risk management practice and its real-life dynamics. One work-integrated learning practice that can give students practical work-related experiences is simulation-based learning. However, there is a limited discourse on simulation-based learning in disaster risk management education at the tertiary level. As tertiary education plays a crucial role in developing capabilities within the workforce, simulation-based learning can evoke or replicate substantial aspects of the real world in a fully interactive fashion. This paper aims to present outcomes of simulation-based learning sessions the authors designed and delivered in a disaster risk management course.The authors developed a framework to illustrate simulation-based learning in a disaster risk management programme. It was then used as a guide to design and execute simulation-based learning sessions. An autoethnographic methodology was then applied to reflectively narrate the experiences and feelings during the design and execution of the simulations.The evaluation of the simulation sessions showed that participants were able to apply their knowledge and demonstrate the skills required to make critical decisions in disaster risk reduction. The conclusion from the simulation-based learning sessions is that making simulation-based learning a part of the pedagogy of disaster risk management education enables students to gain practical experience, deliberate ethical tensions and practical dilemmas and develop the ability to work with multiple perspectives.The simulated workplace experience allowed students to experience decision-making as disaster risk management professionals, allowing them to integrate theory with practice.","container-title":"International Journal of Disaster Resilience in the Built Environment","DOI":"10.1108/IJDRBE-04-2021-0045","ISSN":"1759-5908","issue":"1","journalAbbreviation":"International Journal of Disaster Resilience in the Built Environment","page":"21-39","source":"Silverchair","title":"Simulation-based learning in tertiary-level disaster risk management education: a class-room experiment","title-short":"Simulation-based learning in tertiary-level disaster risk management education","volume":"14","author":[{"family":"Tasantab","given":"Jerry Chati"},{"family":"Gajendran","given":"Thayaparan"},{"family":"Owi","given":"Toinpre"},{"family":"Raju","given":"Emmanuel"}],"issued":{"date-parts":[["2021",9,1]]}}}],"schema":"https://github.com/citation-style-language/schema/raw/master/csl-citation.json"} </w:instrText>
      </w:r>
      <w:r w:rsidRPr="006C2778">
        <w:rPr>
          <w:color w:val="000000"/>
        </w:rPr>
        <w:fldChar w:fldCharType="separate"/>
      </w:r>
      <w:r w:rsidRPr="006C2778">
        <w:rPr>
          <w:color w:val="000000"/>
        </w:rPr>
        <w:t>(Tasantab et al., 2021)</w:t>
      </w:r>
      <w:r w:rsidRPr="006C2778">
        <w:rPr>
          <w:color w:val="000000"/>
        </w:rPr>
        <w:fldChar w:fldCharType="end"/>
      </w:r>
      <w:r w:rsidRPr="006C2778">
        <w:rPr>
          <w:color w:val="000000"/>
        </w:rPr>
        <w:t xml:space="preserve">. From earthquakes and floods to heatwaves and cascading crises, the value of these tools depends on their ability to realistically represent how disruptions propagate through interconnected socio-technical dimensions </w:t>
      </w:r>
      <w:r w:rsidRPr="006C2778">
        <w:rPr>
          <w:color w:val="000000"/>
        </w:rPr>
        <w:fldChar w:fldCharType="begin"/>
      </w:r>
      <w:r w:rsidR="00C42DB3">
        <w:rPr>
          <w:color w:val="000000"/>
        </w:rPr>
        <w:instrText xml:space="preserve"> ADDIN ZOTERO_ITEM CSL_CITATION {"citationID":"SY6ddQYK","properties":{"formattedCitation":"(Moradi, Iskandar, Rodriguez, Singh, Dugdale, Tzempelikos, &amp; Sfetsos, 2025)","plainCitation":"(Moradi, Iskandar, Rodriguez, Singh, Dugdale, Tzempelikos, &amp; Sfetsos, 2025)","noteIndex":0},"citationItems":[{"id":"ueiO9W5d/giAqfL5B","uris":["http://zotero.org/users/local/fUjRzi5I/items/V6NFQK7G"],"itemData":{"id":5,"type":"paper-conference","abstract":"Planning and preparing for evacuations of populations during emergencies requires a multifaceted approach covering the essential concerns of understanding hazard risk, preparing critical infrastructure for egress and shelter, determining the makeup of the population at risk, understanding how that population will respond in the event of an emergency, and developing robust evacuation procedures and policies. While tools and methods often exist for understanding these concerns separately, these do not allow decision-makers to systematically understand their interconnections and the implication of change in one dimension on the other. To address this challenge, we introduce a comprehensive framework designed to assist emergency management decision-makers in evaluating community evacuation plans. Central to our approach is the use of micro-simulations that model known human behaviors in emergencies for evacuating populations. Our framework, encompassing the five dimensions of Infrastructure, Population Demographics, Evacuation Policy, Hazard Model, and Human Behavior Model, allows users to systematically build \"what-if\" scenarios that introduce changes in different dimensions to test the robustness of evacuation policies. We present a case study of employing this framework in Egaleo, Greece, a seismic-prone region, as part of the European HORIZON project C2IMPRESS, in collaboration with local government. We showcase the effectiveness and relevance of our approach in enhancing emergency response strategies within dynamic and high-stakes environments.","container-title":"58th Hawaii International Conference on System Sciences","event-place":"Hawaii, United States","publisher-place":"Hawaii, United States","source":"HAL","title":"A Framework for Constructing Agent-based Models for Evaluating Emergency Evacuation Procedures; A Case Study Applied to Egaleo, Greece","URL":"https://hal.science/hal-04906043","volume":"Proceedings of the 58th Hawaii International Conference on System Sciences","author":[{"family":"Moradi","given":"Hossein"},{"family":"Iskandar","given":"Rouba"},{"family":"Rodriguez","given":"Sebastian"},{"family":"Singh","given":"Dhirendra"},{"family":"Dugdale","given":"Julie"},{"family":"Tzempelikos","given":"Dimitrios"},{"family":"Sfetsos","given":"Athanasios"}],"accessed":{"date-parts":[["2025",12,9]]},"issued":{"date-parts":[["2025",1]]}}}],"schema":"https://github.com/citation-style-language/schema/raw/master/csl-citation.json"} </w:instrText>
      </w:r>
      <w:r w:rsidRPr="006C2778">
        <w:rPr>
          <w:color w:val="000000"/>
        </w:rPr>
        <w:fldChar w:fldCharType="separate"/>
      </w:r>
      <w:r w:rsidRPr="006C2778">
        <w:rPr>
          <w:color w:val="000000"/>
        </w:rPr>
        <w:t>(Moradi, Iskandar, Rodriguez, Singh, Dugdale, Tzempelikos, &amp; Sfetsos, 2025)</w:t>
      </w:r>
      <w:r w:rsidRPr="006C2778">
        <w:rPr>
          <w:color w:val="000000"/>
        </w:rPr>
        <w:fldChar w:fldCharType="end"/>
      </w:r>
      <w:r w:rsidRPr="006C2778">
        <w:rPr>
          <w:color w:val="000000"/>
        </w:rPr>
        <w:t xml:space="preserve">. </w:t>
      </w:r>
      <w:r w:rsidR="00463315">
        <w:rPr>
          <w:color w:val="000000"/>
        </w:rPr>
        <w:t>I</w:t>
      </w:r>
      <w:r w:rsidR="00463315" w:rsidRPr="006C2778">
        <w:rPr>
          <w:color w:val="000000"/>
        </w:rPr>
        <w:t>n th</w:t>
      </w:r>
      <w:r w:rsidR="00D82611">
        <w:rPr>
          <w:color w:val="000000"/>
        </w:rPr>
        <w:t>is regard</w:t>
      </w:r>
      <w:r w:rsidR="00463315">
        <w:rPr>
          <w:color w:val="000000"/>
        </w:rPr>
        <w:t>,</w:t>
      </w:r>
      <w:r w:rsidR="00463315" w:rsidRPr="006C2778">
        <w:rPr>
          <w:color w:val="000000"/>
        </w:rPr>
        <w:t xml:space="preserve"> </w:t>
      </w:r>
      <w:r w:rsidR="00463315">
        <w:rPr>
          <w:color w:val="000000"/>
        </w:rPr>
        <w:t>a</w:t>
      </w:r>
      <w:r w:rsidRPr="006C2778">
        <w:rPr>
          <w:color w:val="000000"/>
        </w:rPr>
        <w:t xml:space="preserve">lthough substantial progress has been made in modeling </w:t>
      </w:r>
      <w:r w:rsidRPr="006C2778">
        <w:rPr>
          <w:color w:val="000000"/>
        </w:rPr>
        <w:lastRenderedPageBreak/>
        <w:t xml:space="preserve">hazard processes, infrastructure performance, and mobility systems, the </w:t>
      </w:r>
      <w:r w:rsidR="00EA3ED0">
        <w:rPr>
          <w:color w:val="000000"/>
        </w:rPr>
        <w:t>incorporation</w:t>
      </w:r>
      <w:r w:rsidRPr="006C2778">
        <w:rPr>
          <w:color w:val="000000"/>
        </w:rPr>
        <w:t xml:space="preserve"> of </w:t>
      </w:r>
      <w:r w:rsidR="00EA3ED0">
        <w:rPr>
          <w:color w:val="000000"/>
        </w:rPr>
        <w:t>h</w:t>
      </w:r>
      <w:r w:rsidRPr="006C2778">
        <w:rPr>
          <w:color w:val="000000"/>
        </w:rPr>
        <w:t>uman behavior</w:t>
      </w:r>
      <w:r w:rsidR="00EA3ED0">
        <w:rPr>
          <w:color w:val="000000"/>
        </w:rPr>
        <w:t xml:space="preserve"> models (HBMs)</w:t>
      </w:r>
      <w:r w:rsidRPr="006C2778">
        <w:rPr>
          <w:color w:val="000000"/>
        </w:rPr>
        <w:t xml:space="preserve">, </w:t>
      </w:r>
      <w:r w:rsidR="002368C8" w:rsidRPr="002368C8">
        <w:rPr>
          <w:color w:val="000000"/>
        </w:rPr>
        <w:t>i.e., how individuals perceive risk, make decisions, and adapt their actions under stress and uncertainty</w:t>
      </w:r>
      <w:r w:rsidRPr="006C2778">
        <w:rPr>
          <w:color w:val="000000"/>
        </w:rPr>
        <w:t xml:space="preserve">, remains one of the most persistent sources of uncertainty </w:t>
      </w:r>
      <w:r w:rsidRPr="006C2778">
        <w:rPr>
          <w:color w:val="000000"/>
        </w:rPr>
        <w:fldChar w:fldCharType="begin"/>
      </w:r>
      <w:r w:rsidR="00C42DB3">
        <w:rPr>
          <w:color w:val="000000"/>
        </w:rPr>
        <w:instrText xml:space="preserve"> ADDIN ZOTERO_ITEM CSL_CITATION {"citationID":"kkL0gzkY","properties":{"formattedCitation":"(Abdel-Latif et al., 2023; Osman, 2010)","plainCitation":"(Abdel-Latif et al., 2023; Osman, 2010)","noteIndex":0},"citationItems":[{"id":"ueiO9W5d/ppJrVfwb","uris":["http://zotero.org/users/local/fUjRzi5I/items/8UNEA7CK"],"itemData":{"id":12,"type":"article-journal","abstract":"Crises are dynamic in nature and usually associated with complexity, uncertainty, pressure, and loss of boundaries. System dynamics is an approach for understanding nonlinear behaviour of complex systems over time. Its inherent capabilities make it effective in dealing with crises' attributes. Accordingly, deploying this technique in managing crises will strengthen the process and ensure its successfulness. This premise had been acknowledged by many scholars and reflected in their researches. In the last two decades there were many system dynamics applications in crisis management practice. These applications were subjected to an analysis process to recognise its characteristics. The analysis process identified their evolution trend, scholars' origins, utilised tools, crises' types, unit of analysis, and applications' categories. These categories include analysis, decision support system, crises preparation, forecasting, enhancing performance, setting plans, and policies' consequences. This classification frame should add extra knowledge to academics and present best practices for managing crises to practitioners.","container-title":"Journal of Simulation","DOI":"10.1080/17477778.2022.2088306","ISSN":"1747-7778","issue":"6","note":"publisher: Taylor &amp; Francis\n_eprint: https://doi.org/10.1080/17477778.2022.2088306","page":"800-817","source":"Taylor and Francis+NEJM","title":"System dynamics applications in crisis management: A literature review","title-short":"System dynamics applications in crisis management","volume":"17","author":[{"family":"Abdel-Latif","given":"Amr"},{"family":"Saad–Eldien","given":"Ahmed"},{"family":"Marzouk","given":"Mohamed"}],"issued":{"date-parts":[["2023",11,2]]}}},{"id":"ueiO9W5d/Q3nDEAvh","uris":["http://zotero.org/users/local/fUjRzi5I/items/IJNVGK9S"],"itemData":{"id":7,"type":"article-journal","abstract":"Complex dynamic control (CDC) tasks are a type of problem-solving environment used for examining many cognitive activities (e.g., attention, control, decision making, hypothesis testing, implicit learning, memory, monitoring, planning, and problem solving). Because of their popularity, there have been many findings from diverse domains of research (economics, engineering, ergonomics, human–computer interaction, management, psychology), but they remain largely disconnected from each other. The objective of this article is to review theoretical developments and empirical work on CDC tasks, and to introduce a novel framework (monitoring and control framework) as a tool for integrating theory and findings. The main thesis of the monitoring and control framework is that CDC tasks are characteristically uncertain environments, and subjective judgments of uncertainty guide the way in which monitoring and control behaviors attempt to reduce it. The article concludes by discussing new insights into continuing debates and future directions for research on CDC tasks. (PsycInfo Database Record (c) 2025 APA, all rights reserved)","container-title":"Psychological Bulletin","DOI":"10.1037/a0017815","ISSN":"1939-1455","issue":"1","note":"publisher-place: US\npublisher: American Psychological Association","page":"65-86","source":"APA PsycNet","title":"Controlling uncertainty: A review of human behavior in complex dynamic environments","title-short":"Controlling uncertainty","volume":"136","author":[{"family":"Osman","given":"Magda"}],"issued":{"date-parts":[["2010"]]}}}],"schema":"https://github.com/citation-style-language/schema/raw/master/csl-citation.json"} </w:instrText>
      </w:r>
      <w:r w:rsidRPr="006C2778">
        <w:rPr>
          <w:color w:val="000000"/>
        </w:rPr>
        <w:fldChar w:fldCharType="separate"/>
      </w:r>
      <w:r w:rsidRPr="006C2778">
        <w:rPr>
          <w:color w:val="000000"/>
        </w:rPr>
        <w:t>(Abdel-Latif et al., 2023; Osman, 2010)</w:t>
      </w:r>
      <w:r w:rsidRPr="006C2778">
        <w:rPr>
          <w:color w:val="000000"/>
        </w:rPr>
        <w:fldChar w:fldCharType="end"/>
      </w:r>
      <w:r w:rsidRPr="006C2778">
        <w:rPr>
          <w:color w:val="000000"/>
        </w:rPr>
        <w:t>.</w:t>
      </w:r>
      <w:r w:rsidR="00EA3ED0">
        <w:rPr>
          <w:color w:val="000000"/>
        </w:rPr>
        <w:t xml:space="preserve"> Based on the current literature</w:t>
      </w:r>
      <w:r w:rsidRPr="006C2778">
        <w:rPr>
          <w:color w:val="000000"/>
        </w:rPr>
        <w:t xml:space="preserve"> </w:t>
      </w:r>
      <w:r w:rsidR="00463315">
        <w:rPr>
          <w:color w:val="000000"/>
        </w:rPr>
        <w:fldChar w:fldCharType="begin"/>
      </w:r>
      <w:r w:rsidR="00E73EE6">
        <w:rPr>
          <w:color w:val="000000"/>
        </w:rPr>
        <w:instrText xml:space="preserve"> ADDIN ZOTERO_ITEM CSL_CITATION {"citationID":"3ymsA63p","properties":{"formattedCitation":"(Barnes et al., 2021; Greasley &amp; Owen, 2016; Heppenstall et al., 2016; Kennedy, 2012; Pew, 2008)","plainCitation":"(Barnes et al., 2021; Greasley &amp; Owen, 2016; Heppenstall et al., 2016; Kennedy, 2012; Pew, 2008)","noteIndex":0},"citationItems":[{"id":"ueiO9W5d/r5fGXX97","uris":["http://zotero.org/users/local/fUjRzi5I/items/BX2DVBFW"],"itemData":{"id":53,"type":"article-journal","abstract":"Disasters affect millions of people annually, causing large social impacts, including high numbers of fatalities, the displacement of communities, and detrimental economic impacts. Emergency professionals recurrently tackle these impacts and therefore need assessment methods to understand potential consequences and deliver sustainable resolutions, regularly with incomplete information. Current models simulating human behaviours and movement exist but are bespoke in nature and non-transferable (solving one problem only), meaning it is not possible to keep software “current” or future proofed. The aim of this research is to create an agent-based modelling (ABM) framework tool, incorporating robust models of human behaviour, to help management professionals develop and test their contingency plans for emergency scenarios. The focus has been on creating a macroscale evacuation ABM for a case study area, to assess whether the inclusion of varied population characteristics and group behaviours affect evacuation time. This research has found that by enhancing the representation of human behaviour more accurate predictions of evacuation time can be produced. To produce more robust human behaviour, models must include: (1) population characteristics (such as age, sex, and mobility), (2) grouping of agents, and (3) a walking speed ratio. Without the inclusion of adequate population characteristics, e.g. using agents with only a 1.34 m/s (3mph) walking speed, the evacuation model produced misleading evacuation times, potentially increasing by 109% for some population types. This may result in knock-on effects, such as significant increases in fatalities, or injuries as populations cannot leave their homes to safety in the expected time.","container-title":"International Journal of Disaster Risk Reduction","DOI":"10.1016/j.ijdrr.2021.102289","ISSN":"2212-4209","journalAbbreviation":"International Journal of Disaster Risk Reduction","page":"102289","source":"ScienceDirect","title":"Improving human behaviour in macroscale city evacuation agent-based simulation","volume":"60","author":[{"family":"Barnes","given":"Beth"},{"family":"Dunn","given":"Sarah"},{"family":"Pearson","given":"Christopher"},{"family":"Wilkinson","given":"Sean"}],"issued":{"date-parts":[["2021",6,15]]}}},{"id":"ueiO9W5d/rJGJwUUK","uris":["http://zotero.org/users/local/fUjRzi5I/items/32NMHMW2"],"itemData":{"id":56,"type":"chapter","abstract":"This chapter will discuss the challenge of modelling human behavior in a simulation model. A framework is presented of the options available by level of modelling abstraction. At the highest level of abstraction the need to model human behavior is eliminated by simplification. Another approach that avoids the need to incorporate human behavior in the model is to externalize the human aspect through strategies such as representing the behavior as inputs to the model. If human behavior is to be modelled then the options presented are flow, entity, task and individual. These approaches require increasing detail and become increasingly complex. For instance, at the individual level there is a need to consider the many and complex cognitive models of human behavior.","container-title":"Behavioral Operational Research: Theory, Methodology and Practice","event-place":"London","ISBN":"978-1-137-53551-1","language":"en","note":"DOI: 10.1057/978-1-137-53551-1_3","page":"47-63","publisher":"Palgrave Macmillan UK","publisher-place":"London","source":"Springer Link","title":"Behavior in Models: A Framework for Representing Human Behavior","title-short":"Behavior in Models","URL":"https://doi.org/10.1057/978-1-137-53551-1_3","author":[{"family":"Greasley","given":"Andrew"},{"family":"Owen","given":"Chris"}],"editor":[{"family":"Kunc","given":"Martin"},{"family":"Malpass","given":"Jonathan"},{"family":"White","given":"Leroy"}],"accessed":{"date-parts":[["2025",12,25]]},"issued":{"date-parts":[["2016"]]}}},{"id":"ueiO9W5d/YI0O09VX","uris":["http://zotero.org/users/local/fUjRzi5I/items/DBIMW72U"],"itemData":{"id":50,"type":"article-journal","abstract":"Cities are complex systems, comprising of many interacting parts. How we simulate and understand causality in urban systems is continually evolving. Over the last decade the agent-based modeling (ABM) paradigm has provided a new lens for understanding the effects of interactions of individuals and how through such interactions macro structures emerge, both in the social and physical environment of cities. However, such a paradigm has been hindered due to computational power and a lack of large fine scale datasets. Within the last few years we have witnessed a massive increase in computational processing power and storage, combined with the onset of Big Data. Today geographers find themselves in a data rich era. We now have access to a variety of data sources (e.g., social media, mobile phone data, etc.) that tells us how, and when, individuals are using urban spaces. These data raise several questions: can we effectively use them to understand and model cities as complex entities? How well have ABM approaches lent themselves to simulating the dynamics of urban processes? What has been, or will be, the influence of Big Data on increasing our ability to understand and simulate cities? What is the appropriate level of spatial analysis and time frame to model urban phenomena? Within this paper we discuss these questions using several examples of ABM applied to urban geography to begin a dialogue about the utility of ABM for urban modeling. The arguments that the paper raises are applicable across the wider research environment where researchers are considering using this approach.","container-title":"Systems","DOI":"10.3390/systems4010009","ISSN":"2079-8954","issue":"1","language":"en","license":"http://creativecommons.org/licenses/by/3.0/","note":"publisher: Multidisciplinary Digital Publishing Institute","page":"9","source":"www.mdpi.com","title":"“Space, the Final Frontier”: How Good are Agent-Based Models at Simulating Individuals and Space in Cities?","title-short":"“Space, the Final Frontier”","volume":"4","author":[{"family":"Heppenstall","given":"Alison"},{"family":"Malleson","given":"Nick"},{"family":"Crooks","given":"Andrew"}],"issued":{"date-parts":[["2016",3]]}}},{"id":"ueiO9W5d/zSOtR1af","uris":["http://zotero.org/users/local/fUjRzi5I/items/CPECKJZD"],"itemData":{"id":49,"type":"chapter","abstract":"The modelling of human behaviour is not at all obvious. First, humans are not random. Second, humans are diverse in their knowledge and abilities. Third, besides being controlled by rational decision-making, human behaviour is also emotional. This chapter attempts to present principles driving human behaviour and reviews current approaches to modelling human behaviour.","container-title":"Agent-Based Models of Geographical Systems","event-place":"Dordrecht","ISBN":"978-90-481-8927-4","language":"en","note":"DOI: 10.1007/978-90-481-8927-4_9","page":"167-179","publisher":"Springer Netherlands","publisher-place":"Dordrecht","source":"Springer Link","title":"Modelling Human Behaviour in Agent-Based Models","URL":"https://doi.org/10.1007/978-90-481-8927-4_9","author":[{"family":"Kennedy","given":"William G."}],"editor":[{"family":"Heppenstall","given":"Alison J."},{"family":"Crooks","given":"Andrew T."},{"family":"See","given":"Linda M."},{"family":"Batty","given":"Michael"}],"accessed":{"date-parts":[["2025",12,25]]},"issued":{"date-parts":[["2012"]]}}},{"id":"ueiO9W5d/isTZWjPT","uris":["http://zotero.org/users/local/fUjRzi5I/items/M43GTCL3"],"itemData":{"id":52,"type":"article-journal","abstract":"Objective: I provide a summary that introduces three significant threads in the development of human performance models (HPMs) — manual control models derived from engineering control theory, network models founded on the definition of human reliability, and models derived from cognitive architectures. Background: HPMs are important because they allow the quantification of human performance capacities and limitations to be included in the analysis and simulation of engineering systems. Method: For each thread, founding articles and contemporary developments are cited that illustrate the range of innovation that has taken place. Results: Many contemporary concepts are rooted in this modeling history. Conclusion: The most successful models represent circumstances for which the situational and temporal environment in which the human performance takes place is most heavily constrained. Application: Applied illustrations are drawn from vehicle handling qualities, unmanned aerial systems, and mission training, for example.","container-title":"Human Factors","DOI":"10.1518/001872008X288493","ISSN":"0018-7208","issue":"3","journalAbbreviation":"Hum Factors","language":"EN","note":"publisher: SAGE Publications Inc","page":"489-496","source":"SAGE Journals","title":"More Than 50 Years of History and Accomplishments in Human Performance Model Development","volume":"50","author":[{"family":"Pew","given":"Richard W."}],"issued":{"date-parts":[["2008",6,1]]}}}],"schema":"https://github.com/citation-style-language/schema/raw/master/csl-citation.json"} </w:instrText>
      </w:r>
      <w:r w:rsidR="00463315">
        <w:rPr>
          <w:color w:val="000000"/>
        </w:rPr>
        <w:fldChar w:fldCharType="separate"/>
      </w:r>
      <w:r w:rsidR="00E73EE6">
        <w:rPr>
          <w:noProof/>
          <w:color w:val="000000"/>
        </w:rPr>
        <w:t>(Barnes et al., 2021; Greasley &amp; Owen, 2016; Heppenstall et al., 2016; Kennedy, 2012; Pew, 2008)</w:t>
      </w:r>
      <w:r w:rsidR="00463315">
        <w:rPr>
          <w:color w:val="000000"/>
        </w:rPr>
        <w:fldChar w:fldCharType="end"/>
      </w:r>
      <w:r w:rsidR="00EA3ED0">
        <w:rPr>
          <w:color w:val="000000"/>
        </w:rPr>
        <w:t>,</w:t>
      </w:r>
      <w:r w:rsidRPr="006C2778">
        <w:rPr>
          <w:color w:val="000000"/>
        </w:rPr>
        <w:t xml:space="preserve"> </w:t>
      </w:r>
      <w:r w:rsidR="00EA3ED0">
        <w:rPr>
          <w:color w:val="000000"/>
        </w:rPr>
        <w:t>m</w:t>
      </w:r>
      <w:r w:rsidR="00EA3ED0" w:rsidRPr="006C2778">
        <w:rPr>
          <w:color w:val="000000"/>
        </w:rPr>
        <w:t xml:space="preserve">any simulation-based approaches </w:t>
      </w:r>
      <w:r w:rsidRPr="006C2778">
        <w:rPr>
          <w:color w:val="000000"/>
        </w:rPr>
        <w:t>still rely on simplified, weakly validated, or context-insensitive behavioral assumptions</w:t>
      </w:r>
      <w:r w:rsidR="00484A6F">
        <w:rPr>
          <w:color w:val="000000"/>
        </w:rPr>
        <w:t xml:space="preserve">. This limits their </w:t>
      </w:r>
      <w:r w:rsidRPr="006C2778">
        <w:rPr>
          <w:color w:val="000000"/>
        </w:rPr>
        <w:t xml:space="preserve">realism and transferability </w:t>
      </w:r>
      <w:r w:rsidR="00484A6F">
        <w:rPr>
          <w:color w:val="000000"/>
        </w:rPr>
        <w:t xml:space="preserve">to other situations, </w:t>
      </w:r>
      <w:r w:rsidRPr="006C2778">
        <w:rPr>
          <w:color w:val="000000"/>
        </w:rPr>
        <w:t xml:space="preserve">and ultimately </w:t>
      </w:r>
      <w:r w:rsidR="00484A6F">
        <w:rPr>
          <w:color w:val="000000"/>
        </w:rPr>
        <w:t>restricts</w:t>
      </w:r>
      <w:r w:rsidR="00484A6F" w:rsidRPr="006C2778">
        <w:rPr>
          <w:color w:val="000000"/>
        </w:rPr>
        <w:t xml:space="preserve"> </w:t>
      </w:r>
      <w:r w:rsidRPr="006C2778">
        <w:rPr>
          <w:color w:val="000000"/>
        </w:rPr>
        <w:t xml:space="preserve">their </w:t>
      </w:r>
      <w:r w:rsidR="00484A6F">
        <w:rPr>
          <w:color w:val="000000"/>
        </w:rPr>
        <w:t>use in</w:t>
      </w:r>
      <w:r w:rsidRPr="006C2778">
        <w:rPr>
          <w:color w:val="000000"/>
        </w:rPr>
        <w:t xml:space="preserve"> people-centered crisis risk management. To address this, we </w:t>
      </w:r>
      <w:r w:rsidR="00484A6F">
        <w:rPr>
          <w:color w:val="000000"/>
        </w:rPr>
        <w:t>propose</w:t>
      </w:r>
      <w:r w:rsidR="00484A6F" w:rsidRPr="006C2778">
        <w:rPr>
          <w:color w:val="000000"/>
        </w:rPr>
        <w:t xml:space="preserve"> </w:t>
      </w:r>
      <w:r w:rsidRPr="006C2778">
        <w:rPr>
          <w:color w:val="000000"/>
        </w:rPr>
        <w:t>a co-creation approach for the elicitation, validation, and operationalization of HBMs that are both empirically grounded and transferable across cris</w:t>
      </w:r>
      <w:r w:rsidR="005E7C5C" w:rsidRPr="00463315">
        <w:rPr>
          <w:color w:val="000000"/>
        </w:rPr>
        <w:t>e</w:t>
      </w:r>
      <w:r w:rsidRPr="006C2778">
        <w:rPr>
          <w:color w:val="000000"/>
        </w:rPr>
        <w:t>s.</w:t>
      </w:r>
    </w:p>
    <w:p w14:paraId="1E0129B8" w14:textId="724ECA1C" w:rsidR="0075736F" w:rsidRPr="006C2778" w:rsidRDefault="0075736F" w:rsidP="0075736F">
      <w:pPr>
        <w:pBdr>
          <w:top w:val="nil"/>
          <w:left w:val="nil"/>
          <w:bottom w:val="nil"/>
          <w:right w:val="nil"/>
          <w:between w:val="nil"/>
        </w:pBdr>
        <w:rPr>
          <w:color w:val="000000"/>
        </w:rPr>
      </w:pPr>
      <w:r w:rsidRPr="006C2778">
        <w:rPr>
          <w:color w:val="000000"/>
        </w:rPr>
        <w:t xml:space="preserve">In this context, early HBMs were primarily based on physics-inspired approaches, most notably the social force model </w:t>
      </w:r>
      <w:r w:rsidRPr="006C2778">
        <w:rPr>
          <w:color w:val="000000"/>
        </w:rPr>
        <w:fldChar w:fldCharType="begin"/>
      </w:r>
      <w:r w:rsidR="00C42DB3">
        <w:rPr>
          <w:color w:val="000000"/>
        </w:rPr>
        <w:instrText xml:space="preserve"> ADDIN ZOTERO_ITEM CSL_CITATION {"citationID":"8KM2n1it","properties":{"formattedCitation":"(Helbing &amp; Moln\\uc0\\u225{}r, 1995)","plainCitation":"(Helbing &amp; Molnár, 1995)","noteIndex":0},"citationItems":[{"id":"ueiO9W5d/ir4J9Amm","uris":["http://zotero.org/users/local/fUjRzi5I/items/R5TS9G2F"],"itemData":{"id":13,"type":"article-journal","abstract":"It is suggested that the motion of pedestrians can be described as if they would be subject to ‘‘social forces.’’ These ‘‘forces’’ are not directly exerted by the pedestrians’ personal environment, but they are a measure for the internal motivations of the individuals to perform certain actions (movements). The corresponding force concept is discussed in more detail and can also be applied to the description of other behaviors. In the presented model of pedestrian behavior several force terms are essential: first, a term describing the acceleration towards the desired velocity of motion; second, terms reflecting that a pedestrian keeps a certain distance from other pedestrians and borders; and third, a term modeling attractive effects. The resulting equations of motion of nonlinearly coupled Langevin equations. Computer simulations of crowds of interacting pedestrians show that the social force model is capable of describing the self-organization of several observed collective effects of pedestrian behavior very realistically.","container-title":"Physical Review E","DOI":"10.1103/PhysRevE.51.4282","issue":"5","journalAbbreviation":"Phys. Rev. E","note":"publisher: American Physical Society","page":"4282-4286","source":"APS","title":"Social force model for pedestrian dynamics","volume":"51","author":[{"family":"Helbing","given":"Dirk"},{"family":"Molnár","given":"Péter"}],"issued":{"date-parts":[["1995",5,1]]}}}],"schema":"https://github.com/citation-style-language/schema/raw/master/csl-citation.json"} </w:instrText>
      </w:r>
      <w:r w:rsidRPr="006C2778">
        <w:rPr>
          <w:color w:val="000000"/>
        </w:rPr>
        <w:fldChar w:fldCharType="separate"/>
      </w:r>
      <w:r w:rsidRPr="006C2778">
        <w:rPr>
          <w:color w:val="000000"/>
        </w:rPr>
        <w:t>(Helbing &amp; Molnár, 1995)</w:t>
      </w:r>
      <w:r w:rsidRPr="006C2778">
        <w:rPr>
          <w:color w:val="000000"/>
        </w:rPr>
        <w:fldChar w:fldCharType="end"/>
      </w:r>
      <w:r w:rsidRPr="006C2778">
        <w:rPr>
          <w:color w:val="000000"/>
        </w:rPr>
        <w:t xml:space="preserve">, which enabled the representation of crowd movement, congestion, and bottlenecks in constrained environments </w:t>
      </w:r>
      <w:r w:rsidRPr="006C2778">
        <w:rPr>
          <w:color w:val="000000"/>
        </w:rPr>
        <w:fldChar w:fldCharType="begin"/>
      </w:r>
      <w:r w:rsidR="00C42DB3">
        <w:rPr>
          <w:color w:val="000000"/>
        </w:rPr>
        <w:instrText xml:space="preserve"> ADDIN ZOTERO_ITEM CSL_CITATION {"citationID":"o1slHrGo","properties":{"formattedCitation":"(X. Chen et al., 2018)","plainCitation":"(X. Chen et al., 2018)","noteIndex":0},"citationItems":[{"id":"ueiO9W5d/vekAajm3","uris":["http://zotero.org/users/local/fUjRzi5I/items/EX4JTCS7"],"itemData":{"id":16,"type":"article-journal","abstract":"Pedestrian simulation plays an important role in the fields of transport station management, building evacuation and safety management of large public events. Among the continuous pedestrian flow models, the social force model is one of the most widespread and supports all of the above use cases. Since its initial proposal by Helbing and Molnar [(1995). Social force model for pedestrian dynamics. Physical Review E, 51, 4282], many improvements of the social force model have been put forward for solving various, but mostly specific, problems. However, an up-to-date and essentially comprehensive review bringing all the model variants into a common context is missing. In this paper, we propose such a framework in terms of assessment criteria for pedestrian models considering pedestrian attributes, motion base cases, self-organisation phenomena and some special cases. Starting with the initial version of Helbing and Molnar [(1995). Social force model for pedestrian dynamics. Physical Review E, 51, 4282] and the escape panic version of Helbing, Farkas, and Vicsek [(2000a). Simulating dynamical features of escape panic. Nature, 407, 487–490], we classify the improvements and assess their degree of the improvements. Further discussion is presented from the perspectives of description ability, parameter calibration and flexible application in a complex environment.","container-title":"Transport Reviews","DOI":"10.1080/01441647.2017.1396265","ISSN":"0144-1647","issue":"5","note":"publisher: Routledge\n_eprint: https://doi.org/10.1080/01441647.2017.1396265","page":"625-653","source":"Taylor and Francis+NEJM","title":"Social force models for pedestrian traffic – state of the art","volume":"38","author":[{"family":"Chen","given":"Xu"},{"family":"Treiber","given":"Martin"},{"family":"Kanagaraj","given":"Venkatesan"},{"family":"Li","given":"Haiying"}],"issued":{"date-parts":[["2018",9,3]]}}}],"schema":"https://github.com/citation-style-language/schema/raw/master/csl-citation.json"} </w:instrText>
      </w:r>
      <w:r w:rsidRPr="006C2778">
        <w:rPr>
          <w:color w:val="000000"/>
        </w:rPr>
        <w:fldChar w:fldCharType="separate"/>
      </w:r>
      <w:r w:rsidR="0049671F">
        <w:rPr>
          <w:color w:val="000000"/>
        </w:rPr>
        <w:t>(X. Chen et al., 2018)</w:t>
      </w:r>
      <w:r w:rsidRPr="006C2778">
        <w:rPr>
          <w:color w:val="000000"/>
        </w:rPr>
        <w:fldChar w:fldCharType="end"/>
      </w:r>
      <w:r w:rsidRPr="006C2778">
        <w:rPr>
          <w:color w:val="000000"/>
        </w:rPr>
        <w:t xml:space="preserve">. While effective for capturing aggregate dynamics, these models </w:t>
      </w:r>
      <w:r w:rsidR="00484A6F">
        <w:rPr>
          <w:color w:val="000000"/>
        </w:rPr>
        <w:t xml:space="preserve">were </w:t>
      </w:r>
      <w:r w:rsidRPr="006C2778">
        <w:rPr>
          <w:color w:val="000000"/>
        </w:rPr>
        <w:t xml:space="preserve">limited </w:t>
      </w:r>
      <w:r w:rsidR="00484A6F">
        <w:rPr>
          <w:color w:val="000000"/>
        </w:rPr>
        <w:t>in representing</w:t>
      </w:r>
      <w:r w:rsidRPr="006C2778">
        <w:rPr>
          <w:color w:val="000000"/>
        </w:rPr>
        <w:t xml:space="preserve"> individual decision-making, social interaction, and adaptive behavior </w:t>
      </w:r>
      <w:r w:rsidRPr="006C2778">
        <w:rPr>
          <w:color w:val="000000"/>
        </w:rPr>
        <w:fldChar w:fldCharType="begin"/>
      </w:r>
      <w:r w:rsidR="00C42DB3">
        <w:rPr>
          <w:color w:val="000000"/>
        </w:rPr>
        <w:instrText xml:space="preserve"> ADDIN ZOTERO_ITEM CSL_CITATION {"citationID":"KdEYcmQr","properties":{"formattedCitation":"(Wu et al., 2022)","plainCitation":"(Wu et al., 2022)","noteIndex":0},"citationItems":[{"id":"ueiO9W5d/tdz8XpQU","uris":["http://zotero.org/users/local/fUjRzi5I/items/FDDNMMVK"],"itemData":{"id":17,"type":"article-journal","abstract":"As one of the most effective models for human collective motion, the social force model (SFM) simulates the dynamics of crowd evacuation from a microscopic perspective. However, it treats pedestrians as the homogeneous rigid particles, whereas pedestrians are diverse and heterogeneous in real life. Therefore, this paper develops a pedestrian heterogeneity-based social force model (PHSFM) by introducing physique and mentality coefficients into the SFM to quantify physiology and psychology attributes of pedestrians, respectively. These two coefficients can affect the self-driven force by changing the desired speed, thus characterizing the pedestrian heterogeneity more realistically. Simulation experiments demonstrate that the PHSFM designs a more general and accurate theoretical framework for the expression of pedestrian heterogeneity, which realizes special behavior patterns caused by individual diversity. Furthermore, our model provides effective guidelines for the management of crowds in potential research fields such as transportation, architectural science and safety science.","container-title":"IEEE Transactions on Intelligent Transportation Systems","DOI":"10.1109/TITS.2021.3074914","ISSN":"1558-0016","issue":"7","page":"7974-7986","source":"IEEE Xplore","title":"An Extended Social Force Model via Pedestrian Heterogeneity Affecting the Self-Driven Force","volume":"23","author":[{"family":"Wu","given":"Wenhan"},{"family":"Chen","given":"Maoyin"},{"family":"Li","given":"Jinghai"},{"family":"Liu","given":"Binglu"},{"family":"Zheng","given":"Xiaoping"}],"issued":{"date-parts":[["2022",7]]}}}],"schema":"https://github.com/citation-style-language/schema/raw/master/csl-citation.json"} </w:instrText>
      </w:r>
      <w:r w:rsidRPr="006C2778">
        <w:rPr>
          <w:color w:val="000000"/>
        </w:rPr>
        <w:fldChar w:fldCharType="separate"/>
      </w:r>
      <w:r w:rsidRPr="006C2778">
        <w:rPr>
          <w:color w:val="000000"/>
        </w:rPr>
        <w:t>(Wu et al., 2022)</w:t>
      </w:r>
      <w:r w:rsidRPr="006C2778">
        <w:rPr>
          <w:color w:val="000000"/>
        </w:rPr>
        <w:fldChar w:fldCharType="end"/>
      </w:r>
      <w:r w:rsidRPr="006C2778">
        <w:rPr>
          <w:color w:val="000000"/>
        </w:rPr>
        <w:t xml:space="preserve">. To overcome </w:t>
      </w:r>
      <w:r w:rsidR="00484A6F">
        <w:rPr>
          <w:color w:val="000000"/>
        </w:rPr>
        <w:t>this</w:t>
      </w:r>
      <w:r w:rsidRPr="006C2778">
        <w:rPr>
          <w:color w:val="000000"/>
        </w:rPr>
        <w:t xml:space="preserve">, research progressively shifted toward the explicit representation of heterogeneous individuals with distinct attributes, perceptions, goals, and decision rules in diverse scenarios </w:t>
      </w:r>
      <w:r w:rsidRPr="006C2778">
        <w:rPr>
          <w:color w:val="000000"/>
        </w:rPr>
        <w:fldChar w:fldCharType="begin"/>
      </w:r>
      <w:r w:rsidR="00C42DB3">
        <w:rPr>
          <w:color w:val="000000"/>
        </w:rPr>
        <w:instrText xml:space="preserve"> ADDIN ZOTERO_ITEM CSL_CITATION {"citationID":"r2IBK9Wc","properties":{"formattedCitation":"(An, 2012; Haer et al., 2017; Rufat et al., 2024)","plainCitation":"(An, 2012; Haer et al., 2017; Rufat et al., 2024)","noteIndex":0},"citationItems":[{"id":"ueiO9W5d/vAXT6aO3","uris":["http://zotero.org/users/local/fUjRzi5I/items/NR2JLSKJ"],"itemData":{"id":19,"type":"article-journal","abstract":"Coupled human and natural systems (CHANS) manifest various complexities such as heterogeneity, nonlinearity, feedback, and emergence. Humans play a critical role in affecting such systems and in giving rise to various environmental consequences, which may in turn affect future human decisions and behavior. In light of complexity theory and its application in CHANS, this paper reviews various decision models used in agent based simulations of CHANS dynamics, discussing their strengths and weaknesses. This paper concludes by advocating development of more process-based decision models as well as protocols or architectures that facilitate better modeling of human decisions in various CHANS.","collection-title":"Modeling Human Decisions","container-title":"Ecological Modelling","DOI":"10.1016/j.ecolmodel.2011.07.010","ISSN":"0304-3800","journalAbbreviation":"Ecological Modelling","page":"25-36","source":"ScienceDirect","title":"Modeling human decisions in coupled human and natural systems: Review of agent-based models","title-short":"Modeling human decisions in coupled human and natural systems","volume":"229","author":[{"family":"An","given":"Li"}],"issued":{"date-parts":[["2012",3,24]]}}},{"id":"ueiO9W5d/y2b2qhjn","uris":["http://zotero.org/users/local/fUjRzi5I/items/EIGT7WRS"],"itemData":{"id":57,"type":"article-journal","abstract":"Recent studies showed that climate change and socioeconomic trends are expected to increase flood risks in many regions. However, in these studies, human behavior is commonly assumed to be constant, which neglects interaction and feedback loops between human and environmental systems. This neglect of human adaptation leads to a misrepresentation of flood risk. This article presents an agent-based model that incorporates human decision making in flood risk analysis. In particular, household investments in loss-reducing measures are examined under three economic decision models: (1) expected utility theory, which is the traditional economic model of rational agents; (2) prospect theory, which takes account of bounded rationality; and (3) a prospect theory model, which accounts for changing risk perceptions and social interactions through a process of Bayesian updating. We show that neglecting human behavior in flood risk assessment studies can result in a considerable misestimation of future flood risk, which is in our case study an overestimation of a factor two. Furthermore, we show how behavior models can support flood risk analysis under different behavioral assumptions, illustrating the need to include the dynamic adaptive human behavior of, for instance, households, insurers, and governments. The method presented here provides a solid basis for exploring human behavior and the resulting flood risk with respect to low-probability/high-impact risks.","container-title":"Risk Analysis","DOI":"10.1111/risa.12740","ISSN":"1539-6924","issue":"10","language":"en","license":"© 2016 The Authors Risk Analysis published by Wiley Periodicals, Inc. on behalf of Society for Risk Analysis.","note":"_eprint: https://onlinelibrary.wiley.com/doi/pdf/10.1111/risa.12740","page":"1977-1992","source":"Wiley Online Library","title":"Integrating Household Risk Mitigation Behavior in Flood Risk Analysis: An Agent-Based Model Approach","title-short":"Integrating Household Risk Mitigation Behavior in Flood Risk Analysis","volume":"37","author":[{"family":"Haer","given":"Toon"},{"family":"Botzen","given":"W. J. Wouter"},{"family":"Moel","given":"Hans","non-dropping-particle":"de"},{"family":"Aerts","given":"Jeroen C. J. H."}],"issued":{"date-parts":[["2017"]]}}},{"id":"ueiO9W5d/tFjc6m6y","uris":["http://zotero.org/users/local/fUjRzi5I/items/RJGBTT67"],"itemData":{"id":60,"type":"article-journal","abstract":"Climate change is driving extreme weather, heat and flooding, which increasingly require evacuations. Recent studies have found inconclusive results on the determinants of evacuation-related decisions and have reported widely varying evacuation rates, especially in high-density areas. We use a large dataset of geotagged evacuation choices in Paris, France (n = 2976) during a flood, to show that while they are rarely addressed, location, social vulnerability, length of residence, and hazard exposure are critical predictors. They can be used to infer the impact of previous experience on evacuation intentions, which is usually difficult to collect at scales relevant to decision-making. We address multiple evacuation choices over time that have previously been overlooked, including gradually self-fueling spontaneous evacuations after observations of peers evacuating or flooding proximity and post-impact evacuation due to infrastructure disruption. Our findings reveal that many people wait until their home is flooded to evacuate. The gap between the initial share of people leaving immediately and the minority refusing to leave in any case even after their housing is flooded gradually fills when considering different evacuation behaviors over time. Such chronology might explain the wide range of evacuation rates reported in the literature. However, people in vulnerable situations and with increased hazard exposure are more likely to declare that they would disregard evacuation instructions. One key implication is that policies aimed at reducing social vulnerability might be more effective than communication campaigns to increase preparedness and support evacuation.","container-title":"Environmental Science &amp; Policy","DOI":"10.1016/j.envsci.2024.103925","ISSN":"1462-9011","journalAbbreviation":"Environmental Science &amp; Policy","page":"103925","source":"ScienceDirect","title":"Context matters when evacuating large cities: Shifting the focus from individual characteristics to location and social vulnerability","title-short":"Context matters when evacuating large cities","volume":"162","author":[{"family":"Rufat","given":"Samuel"},{"family":"Comby","given":"Emeline"},{"family":"Lhomme","given":"Serge"},{"family":"Santoni","given":"Victor"}],"issued":{"date-parts":[["2024",12,1]]}}}],"schema":"https://github.com/citation-style-language/schema/raw/master/csl-citation.json"} </w:instrText>
      </w:r>
      <w:r w:rsidRPr="006C2778">
        <w:rPr>
          <w:color w:val="000000"/>
        </w:rPr>
        <w:fldChar w:fldCharType="separate"/>
      </w:r>
      <w:r w:rsidR="008D172C">
        <w:rPr>
          <w:color w:val="000000"/>
        </w:rPr>
        <w:t>(An, 2012; Haer et al., 2017; Rufat et al., 2024)</w:t>
      </w:r>
      <w:r w:rsidRPr="006C2778">
        <w:rPr>
          <w:color w:val="000000"/>
        </w:rPr>
        <w:fldChar w:fldCharType="end"/>
      </w:r>
      <w:r w:rsidRPr="006C2778">
        <w:rPr>
          <w:color w:val="000000"/>
        </w:rPr>
        <w:t xml:space="preserve">. </w:t>
      </w:r>
      <w:r w:rsidR="00B5707B" w:rsidRPr="00EA3ED0">
        <w:rPr>
          <w:color w:val="000000"/>
        </w:rPr>
        <w:t>Other</w:t>
      </w:r>
      <w:r w:rsidRPr="006C2778">
        <w:rPr>
          <w:color w:val="000000"/>
        </w:rPr>
        <w:t xml:space="preserve"> work</w:t>
      </w:r>
      <w:r w:rsidR="00B5707B" w:rsidRPr="00EA3ED0">
        <w:rPr>
          <w:color w:val="000000"/>
        </w:rPr>
        <w:t>s</w:t>
      </w:r>
      <w:r w:rsidRPr="006C2778">
        <w:rPr>
          <w:color w:val="000000"/>
        </w:rPr>
        <w:t xml:space="preserve"> ha</w:t>
      </w:r>
      <w:r w:rsidR="00B5707B" w:rsidRPr="00EA3ED0">
        <w:rPr>
          <w:color w:val="000000"/>
        </w:rPr>
        <w:t>ve</w:t>
      </w:r>
      <w:r w:rsidRPr="006C2778">
        <w:rPr>
          <w:color w:val="000000"/>
        </w:rPr>
        <w:t xml:space="preserve"> further advanced this line of research by incorporating cognitive architectures </w:t>
      </w:r>
      <w:r w:rsidRPr="006C2778">
        <w:rPr>
          <w:color w:val="000000"/>
        </w:rPr>
        <w:fldChar w:fldCharType="begin"/>
      </w:r>
      <w:r w:rsidR="00C42DB3">
        <w:rPr>
          <w:color w:val="000000"/>
        </w:rPr>
        <w:instrText xml:space="preserve"> ADDIN ZOTERO_ITEM CSL_CITATION {"citationID":"IRkqj1ib","properties":{"formattedCitation":"(Zainuddin &amp; Shuaib, 2010)","plainCitation":"(Zainuddin &amp; Shuaib, 2010)","noteIndex":0},"citationItems":[{"id":"ueiO9W5d/H22d3l8P","uris":["http://zotero.org/users/local/fUjRzi5I/items/IY33PAYH"],"itemData":{"id":22,"type":"article-journal","abstract":"The Social Force Model is one of the most successful microscopic pedestrian models that represent the well-organized phenomena of the pedestrian flow. The model has been modified for evacuation process by incorporating physical forces when contact exists, on one hand, and incorporating factors into the preferred velocity to govern the individual's behavior corresponding to the situation under consideration (normal or evacuation) on the other hand. The latter incorporation has enhanced the ability of the model to represent the decision-making process of pedestrians. However, the variety of pedestrian's abilities to make decisions in emergency situations has not been incorporated properly into the model. In this article we enhance the decision-making capability of the independent pedestrians first by improving the assessment process of selecting an exit from the set of exits available in the physical environment by considering a new factor (crowd at exits); and second, by incorporating following crowds as a new feature for those who are independent. A simulation of an emergency situation inside a room is performed to validate our work.","container-title":"Transport Theory and Statistical Physics","DOI":"10.1080/00411450.2010.529979","ISSN":"0041-1450","issue":"1","note":"publisher: Taylor &amp; Francis\n_eprint: https://doi.org/10.1080/00411450.2010.529979","page":"47-70","source":"Taylor and Francis+NEJM","title":"Modification of the Decision-Making Capability in the Social Force Model for the Evacuation Process","volume":"39","author":[{"family":"Zainuddin","given":"Zarita"},{"family":"Shuaib","given":"Mohammed"}],"issued":{"date-parts":[["2010",1,13]]}}}],"schema":"https://github.com/citation-style-language/schema/raw/master/csl-citation.json"} </w:instrText>
      </w:r>
      <w:r w:rsidRPr="006C2778">
        <w:rPr>
          <w:color w:val="000000"/>
        </w:rPr>
        <w:fldChar w:fldCharType="separate"/>
      </w:r>
      <w:r w:rsidRPr="006C2778">
        <w:rPr>
          <w:color w:val="000000"/>
        </w:rPr>
        <w:t>(Zainuddin &amp; Shuaib, 2010)</w:t>
      </w:r>
      <w:r w:rsidRPr="006C2778">
        <w:rPr>
          <w:color w:val="000000"/>
        </w:rPr>
        <w:fldChar w:fldCharType="end"/>
      </w:r>
      <w:r w:rsidRPr="006C2778">
        <w:rPr>
          <w:color w:val="000000"/>
        </w:rPr>
        <w:t xml:space="preserve">, learning mechanisms </w:t>
      </w:r>
      <w:r w:rsidRPr="006C2778">
        <w:rPr>
          <w:color w:val="000000"/>
        </w:rPr>
        <w:fldChar w:fldCharType="begin"/>
      </w:r>
      <w:r w:rsidR="00C42DB3">
        <w:rPr>
          <w:color w:val="000000"/>
        </w:rPr>
        <w:instrText xml:space="preserve"> ADDIN ZOTERO_ITEM CSL_CITATION {"citationID":"LUwNeerc","properties":{"formattedCitation":"(Romero &amp; Escudero, 2023)","plainCitation":"(Romero &amp; Escudero, 2023)","noteIndex":0},"citationItems":[{"id":"ueiO9W5d/2wf3NsT4","uris":["http://zotero.org/users/local/fUjRzi5I/items/AQQFX39Q"],"itemData":{"id":23,"type":"article-journal","abstract":"This study assesses the impact of incorporating an adaptive learning mechanism into an agent-based model simulating behavior on a university campus during a pandemic outbreak, with the particular case of the COVID-19 pandemic. Our model not only captures individual behavior, but also serves as a powerful tool for assessing the efficacy of geolocalized policies in addressing campus overcrowding and infections. The main objective is to demonstrate RL’s effectiveness in representing agent behavior and optimizing control policies through adaptive decision-making in response to evolving pandemic dynamics. By implementing RL, we identify different temporal patterns of overcrowding violations, shedding light on the complexity of human behavior within semi-enclosed environments. While we successfully reduce campus overcrowding, the study recognizes its limited impact on altering the pandemic’s course, underlining the importance of comprehensive epidemic control strategies. Our research contributes to the understanding of adaptive learning in complex systems and provides insights for shaping future public health policies in similar community settings. It emphasizes the significance of considering individual decision-making influenced by adaptive learning, implementing targeted interventions, and the role of geospatial elements in pandemic control. Future research directions include exploring various parameter settings and updating representations of the disease’s natural history to enhance the applicability of these findings. This study offers valuable insights into managing pandemics in community settings and highlights the need for multifaceted control strategies.","container-title":"Applied System Innovation","DOI":"10.3390/asi6060113","ISSN":"2571-5577","issue":"6","language":"en","license":"http://creativecommons.org/licenses/by/3.0/","note":"publisher: Multidisciplinary Digital Publishing Institute","page":"113","source":"www.mdpi.com","title":"Adaptive Learning in Agent-Based Models: An Approach for Analyzing Human Behavior in Pandemic Crowding","title-short":"Adaptive Learning in Agent-Based Models","volume":"6","author":[{"family":"Romero","given":"David"},{"family":"Escudero","given":"Paula"}],"issued":{"date-parts":[["2023",12]]}}}],"schema":"https://github.com/citation-style-language/schema/raw/master/csl-citation.json"} </w:instrText>
      </w:r>
      <w:r w:rsidRPr="006C2778">
        <w:rPr>
          <w:color w:val="000000"/>
        </w:rPr>
        <w:fldChar w:fldCharType="separate"/>
      </w:r>
      <w:r w:rsidRPr="006C2778">
        <w:rPr>
          <w:color w:val="000000"/>
        </w:rPr>
        <w:t>(Romero &amp; Escudero, 2023)</w:t>
      </w:r>
      <w:r w:rsidRPr="006C2778">
        <w:rPr>
          <w:color w:val="000000"/>
        </w:rPr>
        <w:fldChar w:fldCharType="end"/>
      </w:r>
      <w:r w:rsidRPr="006C2778">
        <w:rPr>
          <w:color w:val="000000"/>
        </w:rPr>
        <w:t xml:space="preserve">, and social interaction models </w:t>
      </w:r>
      <w:r w:rsidRPr="006C2778">
        <w:rPr>
          <w:color w:val="000000"/>
        </w:rPr>
        <w:fldChar w:fldCharType="begin"/>
      </w:r>
      <w:r w:rsidR="00C42DB3">
        <w:rPr>
          <w:color w:val="000000"/>
        </w:rPr>
        <w:instrText xml:space="preserve"> ADDIN ZOTERO_ITEM CSL_CITATION {"citationID":"XjDDh9w0","properties":{"formattedCitation":"(Ren et al., 2018)","plainCitation":"(Ren et al., 2018)","noteIndex":0},"citationItems":[{"id":"ueiO9W5d/alsZ0v4S","uris":["http://zotero.org/users/local/fUjRzi5I/items/HQARWZNT"],"itemData":{"id":25,"type":"paper-conference","abstract":"Abduction is an inference approach that uses data and observations to identify plausible (and preferably, best) explanations for phenomena. Applications of abduction (e.g., robotics, genetics, image understanding) have largely been devoid of human behavior. Here, we devise and execute an iterative abductive analysis process that is driven by the social sciences: behaviors and interactions among groups of human subjects. One goal is to understand intra-group cooperation and its effect on fostering collective identity. We build an online game platform; perform and analyze controlled laboratory experiments; form hypotheses; build, exercise, and evaluate network-based agent-based models; and evaluate the hypotheses in multiple abductive iterations, improving our understanding as the process unfolds. While the experimental results are of interest, the paper's thrust is methodological, and indeed establishes the potential of iterative abductive looping for the (computational) social sciences.","container-title":"2018 IEEE/ACM International Conference on Advances in Social Networks Analysis and Mining (ASONAM)","DOI":"10.1109/ASONAM.2018.8508282","event-title":"2018 IEEE/ACM International Conference on Advances in Social Networks Analysis and Mining (ASONAM)","note":"ISSN: 2473-991X","page":"413-420","source":"IEEE Xplore","title":"Generative Modeling of Human Behavior and Social Interactions Using Abductive Analysis","URL":"https://ieeexplore.ieee.org/abstract/document/8508282","author":[{"family":"Ren","given":"Yihui"},{"family":"Cedeno-Mieles","given":"Vanessa"},{"family":"Hu","given":"Zhihao"},{"family":"Deng","given":"Xinwei"},{"family":"Adiga","given":"Abhijin"},{"family":"Barrett","given":"Christopher"},{"family":"Ekanayake","given":"Saliya"},{"family":"Goode","given":"Brian J."},{"family":"Korkmaz","given":"Gizem"},{"family":"Kuhlman","given":"Chris J."},{"family":"Machi","given":"Dustin"},{"family":"Marathe","given":"Madhav V."},{"family":"Ramakrishnan","given":"Naren"},{"family":"Ravi","given":"S. S."},{"family":"Sarat","given":"Parang"},{"family":"Selt","given":"Nathan"},{"family":"Contractor","given":"Noshir"},{"family":"Epstein","given":"Joshua"},{"family":"Macy","given":"Michael W."}],"accessed":{"date-parts":[["2025",12,9]]},"issued":{"date-parts":[["2018",8]]}}}],"schema":"https://github.com/citation-style-language/schema/raw/master/csl-citation.json"} </w:instrText>
      </w:r>
      <w:r w:rsidRPr="006C2778">
        <w:rPr>
          <w:color w:val="000000"/>
        </w:rPr>
        <w:fldChar w:fldCharType="separate"/>
      </w:r>
      <w:r w:rsidRPr="006C2778">
        <w:rPr>
          <w:color w:val="000000"/>
        </w:rPr>
        <w:t>(Ren et al., 2018)</w:t>
      </w:r>
      <w:r w:rsidRPr="006C2778">
        <w:rPr>
          <w:color w:val="000000"/>
        </w:rPr>
        <w:fldChar w:fldCharType="end"/>
      </w:r>
      <w:r w:rsidRPr="006C2778">
        <w:rPr>
          <w:color w:val="000000"/>
        </w:rPr>
        <w:t xml:space="preserve"> to capture how individuals adapt their behavior in response to evolving hazard conditions, information flows, and social influences </w:t>
      </w:r>
      <w:r w:rsidRPr="006C2778">
        <w:rPr>
          <w:color w:val="000000"/>
        </w:rPr>
        <w:fldChar w:fldCharType="begin"/>
      </w:r>
      <w:r w:rsidR="00C42DB3">
        <w:rPr>
          <w:color w:val="000000"/>
        </w:rPr>
        <w:instrText xml:space="preserve"> ADDIN ZOTERO_ITEM CSL_CITATION {"citationID":"bvhLca7Q","properties":{"formattedCitation":"(Moradi, Iskandar, Rodriguez, Singh, Dugdale, Tzempelikos, Sfetsos, et al., 2025a, 2025b)","plainCitation":"(Moradi, Iskandar, Rodriguez, Singh, Dugdale, Tzempelikos, Sfetsos, et al., 2025a, 2025b)","noteIndex":0},"citationItems":[{"id":"ueiO9W5d/L48eb0wo","uris":["http://zotero.org/users/local/fUjRzi5I/items/77923XSN"],"itemData":{"id":27,"type":"article-journal","abstract":"Agent-based models (ABMs) are increasingly used in disaster evacuation simulation to capture system level dynamics. While ABMs are often combined with human behavior models (HBMs), few approaches integrate these with infrastructure and demographic data that are carefully modeled using local knowledge, along with hazard-specific impacts and policy settings. Even fewer embed this integration within a co-creation loop that involves local stakeholders throughout the entire development lifecycle, from conception and design to implementation, testing, and beyond. This paper introduces the methodology that we developed to address this gap by combining a structured cocreation process with technical simulation development. The co-creation process engages local stakeholders, planners, and experts to iteratively shape evacuation scenarios, define assumptions, and validate outcomes, ensuring the model aligns with local realities. These inputs are translated into a multi-dimensional simulation framework built in MATSim, integrating network and infrastructure models, hazard effects, population, and behavior modeling enhanced through Belief-Desire-Intention cognitive architectures. We applied this methodology in different case study areas, demonstrating its capacity to simulate heterogeneous evacuation dynamics and provide diverse performance metrics. Finally, we explore how this methodology can be applied in other hazards, geographic regions, and evacuation scenarios, offering pathways for broader application and future development.","container-title":"European Journal of Sustainable Development","DOI":"10.14207/ejsd.2025.v14n3p1","issue":"3","note":"publisher: University of Modena and Reggio Emilia","page":"1-11","source":"HAL","title":"Enhancing Disaster Evacuation Planning with Cognitive Agent-Based Models and Co-Creation","volume":"14","author":[{"family":"Moradi","given":"Hossein"},{"family":"Iskandar","given":"Rouba"},{"family":"Rodriguez","given":"Sebastian"},{"family":"Singh","given":"Dhirendra"},{"family":"Dugdale","given":"Julie"},{"family":"Tzempelikos","given":"Dimitrios"},{"family":"Sfetsos","given":"Athanasios"},{"family":"Bakogianni","given":"Evangelia"},{"family":"Pavlidi","given":"Evrydiki"},{"family":"Díaz","given":"Josué"},{"family":"Ribas","given":"Margalida"},{"family":"Moragues","given":"Alexandre"},{"family":"Estrany","given":"Joan"}],"issued":{"date-parts":[["2025"]]}}},{"id":"ueiO9W5d/lf66AUhG","uris":["http://zotero.org/users/local/fUjRzi5I/items/KP3QDF2S"],"itemData":{"id":29,"type":"article-journal","abstract":"This paper introduces C-SAFE, a comprehensive framework for developing emergency evacuation simulations to enhance pre-disaster preparedness. C-SAFE combines a simulation framework encompassing five key dimensions: Infrastructure, Population Demographics, Evacuation Policy, Hazard Model, and Human Behavior Model. This allows for the systematic creation of what-if scenarios to test the effectiveness of evacuation policies under various conditions. Additionally, the framework integrates a co-creation process involving local stakeholders, ensuring the scenarios are tailored to specific contexts. This complementary operation provides an iterative mechanism, addressing both the granularity required for simulation resolution and the detail needed for practical and context-sensitive simulation scenario development. C-SAFE is tested in Greece focusing on earthquake hazards, producing metrics such as time analysis, heatmaps of population dynamics, and insights into preferred safe locations. The validation process in this case study demonstrates (1) an improved un</w:instrText>
      </w:r>
      <w:r w:rsidR="00C42DB3" w:rsidRPr="00C42DB3">
        <w:rPr>
          <w:color w:val="000000"/>
          <w:lang w:val="fr-FR"/>
        </w:rPr>
        <w:instrText xml:space="preserve">derstanding of evacuation concerns, (2) a clear process for defining evacuation scenarios, and (3) enhanced communication between stakeholders through simulations. Furthermore, the framework is also applied in Spain, focusing on flash flood hazards, where results show, for example, that the early warning system could reduce the number of stranded individuals by 37 %, confirming the framework's value for optimizing evacuation policies according to practitioners.","container-title":"International Journal of Disaster Risk Reduction","DOI":"10.1016/j.ijdrr.2025.105280","ISSN":"2212-4209","journalAbbreviation":"International Journal of Disaster Risk Reduction","page":"105280","source":"ScienceDirect","title":"Improving evacuation policies through agent-based modeling and stakeholder engagement in hazard-prone areas","volume":"119","author":[{"family":"Moradi","given":"Hossein"},{"family":"Iskandar","given":"Rouba"},{"family":"Rodriguez","given":"Sebastian"},{"family":"Singh","given":"Dhirendra"},{"family":"Dugdale","given":"Julie"},{"family":"Tzempelikos","given":"Dimitrios"},{"family":"Sfetsos","given":"Athanasios"},{"family":"Bakogianni","given":"Evangelia"},{"family":"Pavlidi","given":"Evrydiki"},{"family":"Díaz","given":"Josué"},{"family":"Ribas","given":"Margarita"},{"family":"Moragues","given":"Alexandre"},{"family":"Estrany","given":"Joan"}],"issued":{"date-parts":[["2025",3,1]]}}}],"schema":"https://github.com/citation-style-language/schema/raw/master/csl-citation.json"} </w:instrText>
      </w:r>
      <w:r w:rsidRPr="006C2778">
        <w:rPr>
          <w:color w:val="000000"/>
        </w:rPr>
        <w:fldChar w:fldCharType="separate"/>
      </w:r>
      <w:r w:rsidRPr="002368C8">
        <w:rPr>
          <w:color w:val="000000"/>
          <w:lang w:val="fr-FR"/>
        </w:rPr>
        <w:t>(Moradi, Iskandar, Rodriguez, Singh, Dugdale, Tzempelikos, Sfetsos, et al., 2025a, 2025b)</w:t>
      </w:r>
      <w:r w:rsidRPr="006C2778">
        <w:rPr>
          <w:color w:val="000000"/>
        </w:rPr>
        <w:fldChar w:fldCharType="end"/>
      </w:r>
      <w:r w:rsidRPr="002368C8">
        <w:rPr>
          <w:color w:val="000000"/>
          <w:lang w:val="fr-FR"/>
        </w:rPr>
        <w:t xml:space="preserve">. </w:t>
      </w:r>
      <w:r w:rsidRPr="006C2778">
        <w:rPr>
          <w:color w:val="000000"/>
        </w:rPr>
        <w:t>Despite these advances, however, the processes by which HBMs are elicited, validated, and adapted across different hazards and societal contexts often remain ad hoc, implicit, and tightly coupled to specific case studies rather than being guided by a generalizable methodological framework.</w:t>
      </w:r>
    </w:p>
    <w:p w14:paraId="2DAA3A3B" w14:textId="32B1AD6A" w:rsidR="0075736F" w:rsidRDefault="0075736F" w:rsidP="0075736F">
      <w:pPr>
        <w:pBdr>
          <w:top w:val="nil"/>
          <w:left w:val="nil"/>
          <w:bottom w:val="nil"/>
          <w:right w:val="nil"/>
          <w:between w:val="nil"/>
        </w:pBdr>
        <w:rPr>
          <w:color w:val="000000"/>
        </w:rPr>
      </w:pPr>
      <w:r w:rsidRPr="006C2778">
        <w:rPr>
          <w:color w:val="000000"/>
        </w:rPr>
        <w:t xml:space="preserve">This paper addresses this methodological gap by proposing a general, iterative co-creation framework for the systematic development of HBMs that links contextual scenario definition, empirical data collection, and adaptive behavioral modeling within a continuous feedback loop. The framework structures HBM elicitation through three tightly coupled stages: (i) participatory scenario building, </w:t>
      </w:r>
      <w:r w:rsidR="00484A6F">
        <w:rPr>
          <w:color w:val="000000"/>
        </w:rPr>
        <w:t xml:space="preserve">which </w:t>
      </w:r>
      <w:r w:rsidRPr="006C2778">
        <w:rPr>
          <w:color w:val="000000"/>
        </w:rPr>
        <w:t>captur</w:t>
      </w:r>
      <w:r w:rsidR="00484A6F">
        <w:rPr>
          <w:color w:val="000000"/>
        </w:rPr>
        <w:t>es</w:t>
      </w:r>
      <w:r w:rsidRPr="006C2778">
        <w:rPr>
          <w:color w:val="000000"/>
        </w:rPr>
        <w:t xml:space="preserve"> </w:t>
      </w:r>
      <w:r w:rsidR="00484A6F">
        <w:rPr>
          <w:color w:val="000000"/>
        </w:rPr>
        <w:t xml:space="preserve">the </w:t>
      </w:r>
      <w:r w:rsidRPr="006C2778">
        <w:rPr>
          <w:color w:val="000000"/>
        </w:rPr>
        <w:t>environmental, social, and decision-making contexts; (ii) data structuring and living scenario dataset construction</w:t>
      </w:r>
      <w:r w:rsidR="002D5FFA">
        <w:rPr>
          <w:color w:val="000000"/>
        </w:rPr>
        <w:t>, ensuring</w:t>
      </w:r>
      <w:r w:rsidR="00484A6F">
        <w:rPr>
          <w:color w:val="000000"/>
        </w:rPr>
        <w:t xml:space="preserve"> that the data </w:t>
      </w:r>
      <w:r w:rsidR="002D5FFA">
        <w:rPr>
          <w:color w:val="000000"/>
        </w:rPr>
        <w:t>is model</w:t>
      </w:r>
      <w:r w:rsidR="00832FA0" w:rsidRPr="00832FA0">
        <w:rPr>
          <w:color w:val="000000"/>
        </w:rPr>
        <w:t>-ready</w:t>
      </w:r>
      <w:r w:rsidR="00532706">
        <w:rPr>
          <w:color w:val="000000"/>
        </w:rPr>
        <w:t>,</w:t>
      </w:r>
      <w:r w:rsidRPr="006C2778">
        <w:rPr>
          <w:color w:val="000000"/>
        </w:rPr>
        <w:t xml:space="preserve"> </w:t>
      </w:r>
      <w:r w:rsidR="00224967" w:rsidRPr="00224967">
        <w:rPr>
          <w:color w:val="000000"/>
        </w:rPr>
        <w:t>inclusive</w:t>
      </w:r>
      <w:r w:rsidR="00532706">
        <w:rPr>
          <w:color w:val="000000"/>
        </w:rPr>
        <w:t>,</w:t>
      </w:r>
      <w:r w:rsidR="00224967" w:rsidRPr="00224967">
        <w:rPr>
          <w:color w:val="000000"/>
        </w:rPr>
        <w:t xml:space="preserve"> updatable</w:t>
      </w:r>
      <w:r w:rsidRPr="006C2778">
        <w:rPr>
          <w:color w:val="000000"/>
        </w:rPr>
        <w:t>; and (iii) behavioral model construction and adaptation, where behavioral variables are extracted, decision-making styles are derived and calibrated, and models are iteratively refined through stakeholder feedback. By explicitly embedding vulnerability, social diversity, governance conditions, and decision environments into the process, the framework moves beyond ad hoc behavioral specification and enables the development of empirically grounded, transferable, and simulation-ready HBMs across hazards, geographic settings, and population groups.</w:t>
      </w:r>
    </w:p>
    <w:p w14:paraId="2EFF6FD1" w14:textId="27DADF2D" w:rsidR="00694BC0" w:rsidRDefault="00694BC0" w:rsidP="0075736F">
      <w:pPr>
        <w:pBdr>
          <w:top w:val="nil"/>
          <w:left w:val="nil"/>
          <w:bottom w:val="nil"/>
          <w:right w:val="nil"/>
          <w:between w:val="nil"/>
        </w:pBdr>
        <w:rPr>
          <w:color w:val="000000"/>
        </w:rPr>
      </w:pPr>
      <w:r w:rsidRPr="00254D25">
        <w:rPr>
          <w:color w:val="000000"/>
          <w:highlight w:val="yellow"/>
        </w:rPr>
        <w:t xml:space="preserve">It is worth noting that a growing body of research has addressed each of the components reflected in the three stages above. Participatory and co-design approaches in disaster risk management have developed robust methods for eliciting stakeholder knowledge, co-creating scenario narratives, and strengthening contextual legitimacy </w:t>
      </w:r>
      <w:r w:rsidRPr="00254D25">
        <w:rPr>
          <w:color w:val="000000"/>
          <w:highlight w:val="yellow"/>
        </w:rPr>
        <w:fldChar w:fldCharType="begin"/>
      </w:r>
      <w:r w:rsidRPr="00254D25">
        <w:rPr>
          <w:color w:val="000000"/>
          <w:highlight w:val="yellow"/>
        </w:rPr>
        <w:instrText xml:space="preserve"> ADDIN ZOTERO_ITEM CSL_CITATION {"citationID":"98GcRou4","properties":{"unsorted":false,"formattedCitation":"(Lempert et al., 2023; Melles, 2021; Slinger et al., 2023)","plainCitation":"(Lempert et al., 2023; Melles, 2021; Slinger et al., 2023)","noteIndex":0},"citationItems":[{"id":74,"uris":["http://zotero.org/users/local/XXlLtgC2/items/PHN4FRDC"],"itemData":{"id":74,"type":"article-journal","abstract":"Intervention methods to establish commitment to (collaborative) action are of potential interest to researchers and policymakers intent upon including stakeholder perspectives in natural risk governance (Scolobig, Nat Hazards 81:27–43, 2016). In this paper, a 6-step co-design method for engaging with local people in collaboratively envisioning nature-based solutions for flood defence is described. The problem structuring base of the participatory method is extended to accommodate the multi-actor situation and the local context of flood risk management. The intervention method is applied in a workshop in the Houston–Galveston Bay area in October 2014. At that time there was strong contestation surrounding the proposed Ike Dike with alternative combinations of nature-based and smaller conventional engineering solutions being proposed. The results indicate that the local participants were able to envision a wide range of future outcomes for the bay and were able to use the insights on nature-based solutions and the social contacts that they acquired at the transdisciplinary workshop to mobilize commitment to joint action. This action focused on collaboration rather than specifying ecological or technical infrastructural requirements and was instrumental in initiating more open discourse on flood defence options for the Houston–Galveston Bay area. The paper concludes that the generic applicability of the co-design method is limited by the requirement to understand and accommodate local circumstances and participants’ insights within the workshop.","container-title":"Natural Hazards","DOI":"10.1007/s11069-023-06139-y","ISSN":"1573-0840","issue":"3","journalAbbreviation":"Nat Hazards","language":"en","page":"1171-1191","source":"Springer Link","title":"A co-design method for including stakeholder perspectives in nature-based flood risk management","volume":"119","author":[{"family":"Slinger","given":"Jill H."},{"family":"Cunningham","given":"Scott C."},{"family":"Kothuis","given":"Baukje L. M."}],"issued":{"date-parts":[["2023",12,1]]}}},{"id":72,"uris":["http://zotero.org/users/local/XXlLtgC2/items/HCVEKM2K"],"itemData":{"id":72,"type":"article-journal","abstract":"Inclusive, participatory governance is a key enabler of effective responses to natural hazard risks exacerbated by climate change. This paper describe...","container-title":"Sustainability","DOI":"10.3390/su15054294","ISSN":"2071-1050","issue":"5","language":"en","license":"http://creativecommons.org/licenses/by/3.0/","publisher":"publisher","source":"www.mdpi.com","title":"Community-Level, Participatory Co-Design for Landslide Warning with Implications for Climate Services","URL":"https://www.mdpi.com/2071-1050/15/5/4294","volume":"15","author":[{"family":"Lempert","given":"Robert J."},{"family":"Busch","given":"Lisa"},{"family":"Brown","given":"Ryan"},{"family":"Patton","given":"Annette"},{"family":"Turner","given":"Sara"},{"family":"Schmidt","given":"Jacyn"},{"family":"Young","given":"Tammy"}],"accessed":{"date-parts":[["2026",2,27]]},"issued":{"date-parts":[["2023",2,28]]}}},{"id":69,"uris":["http://zotero.org/users/local/XXlLtgC2/items/XTDPJFBN"],"itemData":{"id":69,"type":"chapter","abstract":"'Participatory Co-design for Sustainable Development' published in 'Partnerships for the Goals'","container-title":"Partnerships for the Goals","DOI":"10.1007/978-3-319-95963-4_47","ISBN":"978-3-319-95963-4","ISSN":"2523-7411","language":"en","note":"DOI: 10.1007/978-3-319-95963-4_47","page":"839-849","publisher":"Springer, Cham","source":"link.springer.com","title":"Participatory Co-design for Sustainable Development","URL":"https://link.springer.com/rwe/10.1007/978-3-319-95963-4_47","author":[{"family":"Melles","given":"Gavin"}],"accessed":{"date-parts":[["2026",2,27]]},"issued":{"date-parts":[["2021"]]}}}],"schema":"https://github.com/citation-style-language/schema/raw/master/csl-citation.json"} </w:instrText>
      </w:r>
      <w:r w:rsidRPr="00254D25">
        <w:rPr>
          <w:color w:val="000000"/>
          <w:highlight w:val="yellow"/>
        </w:rPr>
        <w:fldChar w:fldCharType="separate"/>
      </w:r>
      <w:r w:rsidRPr="00254D25">
        <w:rPr>
          <w:noProof/>
          <w:color w:val="000000"/>
          <w:highlight w:val="yellow"/>
        </w:rPr>
        <w:t>(Lempert et al., 2023; Melles, 2021; Slinger et al., 2023)</w:t>
      </w:r>
      <w:r w:rsidRPr="00254D25">
        <w:rPr>
          <w:color w:val="000000"/>
          <w:highlight w:val="yellow"/>
        </w:rPr>
        <w:fldChar w:fldCharType="end"/>
      </w:r>
      <w:r w:rsidRPr="00254D25">
        <w:rPr>
          <w:color w:val="000000"/>
          <w:highlight w:val="yellow"/>
        </w:rPr>
        <w:t xml:space="preserve">. Survey-based behavioral studies and diverse HBM construction techniques, including theory-informed causal structures </w:t>
      </w:r>
      <w:r w:rsidRPr="00254D25">
        <w:rPr>
          <w:color w:val="000000"/>
          <w:highlight w:val="yellow"/>
        </w:rPr>
        <w:fldChar w:fldCharType="begin"/>
      </w:r>
      <w:r w:rsidRPr="00254D25">
        <w:rPr>
          <w:color w:val="000000"/>
          <w:highlight w:val="yellow"/>
        </w:rPr>
        <w:instrText xml:space="preserve"> ADDIN ZOTERO_ITEM CSL_CITATION {"citationID":"zJrMvJvT","properties":{"unsorted":false,"formattedCitation":"(Ng et al., 2025)","plainCitation":"(Ng et al., 2025)","noteIndex":0},"citationItems":[{"id":55,"uris":["http://zotero.org/users/local/XXlLtgC2/items/6JLXQDUM"],"itemData":{"id":55,"type":"article-journal","abstract":"As climate change intensifies worldwide, individuals are facing heightened risks of extreme weather events. Predominant theories and empirical research point to five constructs that underpin individuals’ protective behavioral decision-making during extreme weather events: risk perception, efficacy, negative affect, protective actions, and negative experiences. Although the dynamic nature of protective behavioral decision-making is embedded in theories like the Protective Action Decision Model, few studies have examined whether and how these constructs relate over time – that is, their temporal dynamics. In this study, we applied multivariate latent change score models to two-occasion panel data collected from 160 adults in the American West as they faced repeated risks of heat waves in September 2022 and August 2023. We found that individuals’ risk perception, efficacy, and protective actions increased over the two heat waves. Additionally, higher levels of all five constructs during the first heat wave were associated with shallower rates of subsequent change, suggesting constructs may stabilize over time. Finally, the levels of each construct during the first heat wave were not related to subsequent changes in any other constructs, except for higher risk perception predicting a shallower rate of change in efficacy. Taken together, these results suggest that individuals’ psychological, behavioral, and experiential trajectories over repeated risks of heat waves may not be as dynamically related as cross-sectional associations suggest. Theoretically, our results elaborate upon the temporal dynamics of protective behavioral decision-making during extreme weather events. Practically, our results suggest that risk communication about extreme weather events should consider the person-specific starting levels of each construct, target multiple constructs simultaneously, and bolster efficacy when elevating risk perception to compensate for any potential dampening effect over time.","container-title":"Journal of Risk Research","DOI":"10.1080/13669877.2025.2603989","ISSN":"1366-9877","issue":"12","note":"_eprint: https://doi.org/10.1080/13669877.2025.2603989","page":"1420-1443","publisher":"Routledge","source":"Taylor and Francis+NEJM","title":"Examining individuals’ protective behavioral decision-making dynamics over repeated risks of heat waves in the American West","volume":"28","author":[{"family":"Ng","given":"Michelle"},{"family":"Herbert","given":"Natalie"},{"family":"Ram","given":"Nilam"},{"family":"Wong-Parodi","given":"Gabrielle"}],"issued":{"date-parts":[["2025",12,2]]}}}],"schema":"https://github.com/citation-style-language/schema/raw/master/csl-citation.json"} </w:instrText>
      </w:r>
      <w:r w:rsidRPr="00254D25">
        <w:rPr>
          <w:color w:val="000000"/>
          <w:highlight w:val="yellow"/>
        </w:rPr>
        <w:fldChar w:fldCharType="separate"/>
      </w:r>
      <w:r w:rsidRPr="00254D25">
        <w:rPr>
          <w:noProof/>
          <w:color w:val="000000"/>
          <w:highlight w:val="yellow"/>
        </w:rPr>
        <w:t>(Ng et al., 2025)</w:t>
      </w:r>
      <w:r w:rsidRPr="00254D25">
        <w:rPr>
          <w:color w:val="000000"/>
          <w:highlight w:val="yellow"/>
        </w:rPr>
        <w:fldChar w:fldCharType="end"/>
      </w:r>
      <w:r w:rsidRPr="00254D25">
        <w:rPr>
          <w:color w:val="000000"/>
          <w:highlight w:val="yellow"/>
        </w:rPr>
        <w:t xml:space="preserve">, behavioral profiles or archetypes </w:t>
      </w:r>
      <w:r w:rsidRPr="00254D25">
        <w:rPr>
          <w:highlight w:val="yellow"/>
        </w:rPr>
        <w:fldChar w:fldCharType="begin"/>
      </w:r>
      <w:r w:rsidRPr="00254D25">
        <w:rPr>
          <w:highlight w:val="yellow"/>
        </w:rPr>
        <w:instrText xml:space="preserve"> ADDIN ZOTERO_ITEM CSL_CITATION {"citationID":"28Vs7ip6","properties":{"unsorted":false,"formattedCitation":"(Tocchi et al., 2025)","plainCitation":"(Tocchi et al., 2025)","noteIndex":0},"citationItems":[{"id":62,"uris":["http://zotero.org/users/local/XXlLtgC2/items/28D3KBQ3"],"itemData":{"id":62,"type":"article-journal","abstract":"Identification of risks and vulnerabilities in urban and rural areas is crucial for supporting local authorities in disaster risk reduction and climate change adaptation. Moreover, comparison of risk assessments across different areas may help effective allocation of adaptation funding towards more resilient and sustainable communities. The distinct physical, social, economic, and environmental characteristics of a settlement, along with the relevance of impending hazards, determine the level of risk and vulnerability faced by its residents. While the results of risk assessments will vary from one settlement to another, using general settlement typologies (e.g. coastal cities, dryland cities, and inland or high-altitude cities) can effectively support the understanding of risk in relation to its key drivers, helping to segmentate the complexity in an otherwise too broad problem (Dickson et al., 2012).\n\n This study aims to reduce complexity in risk assessment of urban/rural settlements at regional and national scale, ensure a baseline for comparison and identify potential hotspots in risk assessment frameworks. We propose a clustering methodology that groups human settlements based on open-source data, used as proxies of urban vulnerability and exposure. Applying two widely used clustering techniques, we define 18 urban and rural archetypes for the Italian territory, incorporating geographic, demographic, and socio-economic characteristics. These archetypes satisfy multiple validity dimensions of archetype analysis (Piemontese et al., 2022) and can serve as a valuable tool for policymakers. By providing a structured understanding of human settlements vulnerability profiles, they support the design of targeted interventions and resilience strategies tailored to specific risk conditions.","container-title":"Natural Hazards and Earth System Sciences","DOI":"10.5194/nhess-25-3665-2025","ISSN":"1561-8633","issue":"9","language":"English","page":"3665-3692","publisher":"Copernicus GmbH","source":"Copernicus Online Journals","title":"Identifying urban and rural settlement archetypes: clustering for enhanced risk-oriented exposure and vulnerability analysis","title-short":"Identifying urban and rural settlement archetypes","volume":"25","author":[{"family":"Tocchi","given":"Gabriella"},{"family":"Pittore","given":"Massimiliano"},{"family":"Polese","given":"Maria"}],"issued":{"date-parts":[["2025",9,29]]}}}],"schema":"https://github.com/citation-style-language/schema/raw/master/csl-citation.json"} </w:instrText>
      </w:r>
      <w:r w:rsidRPr="00254D25">
        <w:rPr>
          <w:highlight w:val="yellow"/>
        </w:rPr>
        <w:fldChar w:fldCharType="separate"/>
      </w:r>
      <w:r w:rsidRPr="00254D25">
        <w:rPr>
          <w:noProof/>
          <w:highlight w:val="yellow"/>
        </w:rPr>
        <w:t>(Tocchi et al., 2025)</w:t>
      </w:r>
      <w:r w:rsidRPr="00254D25">
        <w:rPr>
          <w:highlight w:val="yellow"/>
        </w:rPr>
        <w:fldChar w:fldCharType="end"/>
      </w:r>
      <w:r w:rsidRPr="00254D25">
        <w:rPr>
          <w:color w:val="000000"/>
          <w:highlight w:val="yellow"/>
        </w:rPr>
        <w:t xml:space="preserve">, and probabilistic decision rules or thresholds </w:t>
      </w:r>
      <w:r w:rsidRPr="00254D25">
        <w:rPr>
          <w:highlight w:val="yellow"/>
        </w:rPr>
        <w:fldChar w:fldCharType="begin"/>
      </w:r>
      <w:r w:rsidRPr="00254D25">
        <w:rPr>
          <w:highlight w:val="yellow"/>
        </w:rPr>
        <w:instrText xml:space="preserve"> ADDIN ZOTERO_ITEM CSL_CITATION {"citationID":"PFok8tDv","properties":{"unsorted":false,"formattedCitation":"(Guo et al., 2017)","plainCitation":"(Guo et al., 2017)","noteIndex":0},"citationItems":[{"id":64,"uris":["http://zotero.org/users/local/XXlLtgC2/items/TCRI55WC"],"itemData":{"id":64,"type":"article-journal","abstract":"Background:\nFew studies have examined variation in the associations between heat waves and mortality in an international context.\n\nObjectives:\nWe aimed to systematically examine the impacts of heat waves on mortality with lag effects internationally.\n\nMethods:\nWe collected daily data of temperature and mortality from 400 communities in 18 countries/regions and defined 12 types of heat waves by combining community-specific daily mean temperature ≥90th, 92.5th, 95th, and 97.5th percentiles of temperature with duration ≥2, 3, and 4 d. We used time-series analyses to estimate the community-specific heat wave–mortality relation over lags of 0–10 d. Then, we applied meta-analysis to pool heat wave effects at the country level for cumulative and lag effects for each type of heat wave definition.\n\nResults:\nHeat waves of all definitions had significant cumulative associations with mortality in all countries, but varied by community. The higher the temperature threshold used to define heat waves, the higher heat wave associations on mortality. However, heat wave duration did not modify the impacts. The association between heat waves and mortality appeared acutely and lasted for 3 and 4 d. Heat waves had higher associations with mortality in moderate cold and moderate hot areas than cold and hot areas. There were no added effects of heat waves on mortality in all countries/regions, except for Brazil, Moldova, and Taiwan. Heat waves defined by daily mean and maximum temperatures produced similar heat wave–mortality associations, but not daily minimum temperature.\n\nConclusions:\nResults indicate that high temperatures create a substantial health burden, and effects of high temperatures over consecutive days are similar to what would be experienced if high temperature days occurred independently. People living in moderate cold and moderate hot areas are more sensitive to heat waves than those living in cold and hot areas. Daily mean and maximum temperatures had similar ability to define heat waves rather than minimum temperature. https://doi.org/10.1289/EHP1026","container-title":"Environmental Health Perspectives","DOI":"10.1289/EHP1026","ISSN":"0091-6765","issue":"8","journalAbbreviation":"Environ Health Perspect","page":"087006","PMID":"28886602","PMCID":"PMC5783630","source":"PubMed Central","title":"Heat Wave and Mortality: A Multicountry, Multicommunity Study","title-short":"Heat Wave and Mortality","volume":"125","author":[{"family":"Guo","given":"Yuming"},{"family":"Gasparrini","given":"Antonio"},{"family":"Armstrong","given":"Ben G."},{"family":"Tawatsupa","given":"Benjawan"},{"family":"Tobias","given":"Aurelio"},{"family":"Lavigne","given":"Eric"},{"family":"Coelho","given":"Micheline de Sousa Zanotti Stagliorio"},{"family":"Pan","given":"Xiaochuan"},{"family":"Kim","given":"Ho"},{"family":"Hashizume","given":"Masahiro"},{"family":"Honda","given":"Yasushi"},{"family":"Guo","given":"Yue-Liang Leon"},{"family":"Wu","given":"Chang-Fu"},{"family":"Zanobetti","given":"Antonella"},{"family":"Schwartz","given":"Joel D."},{"family":"Bell","given":"Michelle L."},{"family":"Scortichini","given":"Matteo"},{"family":"Michelozzi","given":"Paola"},{"family":"Punnasiri","given":"Kornwipa"},{"family":"Li","given":"Shanshan"},{"family":"Tian","given":"Linwei"},{"family":"Garcia","given":"Samuel David Osorio"},{"family":"Seposo","given":"Xerxes"},{"family":"Overcenco","given":"Ala"},{"family":"Zeka","given":"Ariana"},{"family":"Goodman","given":"Patrick"},{"family":"Dang","given":"Tran Ngoc"},{"family":"Dung","given":"Do Van"},{"family":"Mayvaneh","given":"Fatemeh"},{"family":"Saldiva","given":"Paulo Hilario Nascimento"},{"family":"Williams","given":"Gail"},{"family":"Tong","given":"Shilu"}],"issued":{"date-parts":[["2017",8,10]]}}}],"schema":"https://github.com/citation-style-language/schema/raw/master/csl-citation.json"} </w:instrText>
      </w:r>
      <w:r w:rsidRPr="00254D25">
        <w:rPr>
          <w:highlight w:val="yellow"/>
        </w:rPr>
        <w:fldChar w:fldCharType="separate"/>
      </w:r>
      <w:r w:rsidRPr="00254D25">
        <w:rPr>
          <w:noProof/>
          <w:highlight w:val="yellow"/>
        </w:rPr>
        <w:t>(Guo et al., 2017)</w:t>
      </w:r>
      <w:r w:rsidRPr="00254D25">
        <w:rPr>
          <w:highlight w:val="yellow"/>
        </w:rPr>
        <w:fldChar w:fldCharType="end"/>
      </w:r>
      <w:r w:rsidRPr="00254D25">
        <w:rPr>
          <w:highlight w:val="yellow"/>
        </w:rPr>
        <w:t xml:space="preserve">, </w:t>
      </w:r>
      <w:r w:rsidRPr="00254D25">
        <w:rPr>
          <w:color w:val="000000"/>
          <w:highlight w:val="yellow"/>
        </w:rPr>
        <w:t xml:space="preserve">have advanced the representation of heterogeneous decision patterns under risk. Likewise, data engineering and structured data architectures have been extensively studied as mechanisms for modular data integration, versioning, and updating over time </w:t>
      </w:r>
      <w:r w:rsidRPr="00254D25">
        <w:rPr>
          <w:color w:val="000000"/>
          <w:highlight w:val="yellow"/>
        </w:rPr>
        <w:fldChar w:fldCharType="begin"/>
      </w:r>
      <w:r w:rsidRPr="00254D25">
        <w:rPr>
          <w:color w:val="000000"/>
          <w:highlight w:val="yellow"/>
        </w:rPr>
        <w:instrText xml:space="preserve"> ADDIN ZOTERO_ITEM CSL_CITATION {"citationID":"GpIsyMBO","properties":{"unsorted":false,"formattedCitation":"(Brown &amp; Anderson, 2023; Davahli et al., 2020; Ding et al., 2022)","plainCitation":"(Brown &amp; Anderson, 2023; Davahli et al., 2020; Ding et al., 2022)","noteIndex":0},"citationItems":[{"id":81,"uris":["http://zotero.org/users/local/XXlLtgC2/items/DHH6D2FF"],"itemData":{"id":81,"type":"article-journal","abstract":"The characteristics of big data, including high volume, increased variety, and velocity, pose special challenges for data analysis. As these characteristics generally preclude manual data inspection and processing, researchers must often use computational methodologies to deal with this type of data; techniques that may be unfamiliar to nonspecialists, including behavioral scientists. However, previous data analytics methodologies within the field of computer science, developed to handle the generic tasks of data collection, preprocessing, and analysis, can be appropriated for use in other disciplines. These methodologies involve a sequential pipeline of quality checks to prepare data sets for analysis and application. Building upon these methodologies, this paper describes the Big Data Quality &amp; Statistical Assurance (BDQSA) model, applicable for researchers in the behavioral sciences. It involves a series of data preprocessing tasks, to achieve data understanding, as well as data screening, cleaning, and transformation. These are followed by a statistical quality phase, which includes extraction of the relevant data subset, type conversions, ensuring sample representativeness when appropriate, and assessing statistical assumptions. The resulting model thereby provides methodological guidance for the preprocessing of behavioral science big data, aimed at ensuring acceptable data quality before analysis is undertaken. Sample R code snippets demonstrating the application of this model are provided throughout the paper.","container-title":"Behavior Research Methods","DOI":"10.3758/s13428-022-01895-4","ISSN":"1554-3528","issue":"4","journalAbbreviation":"Behav Res","language":"en","page":"1818-1838","source":"Springer Link","title":"A methodology for preprocessing structured big data in the behavioral sciences","volume":"55","author":[{"family":"Brown","given":"Paul A."},{"family":"Anderson","given":"Ricardo A."}],"issued":{"date-parts":[["2023",6,1]]}}},{"id":77,"uris":["http://zotero.org/users/local/XXlLtgC2/items/R7Q3N5W9"],"itemData":{"id":77,"type":"article-journal","abstract":"In recent years, understanding human behavior has become one of the most important topics in the field of computer vision research. The reason for this growing attention is the wide range of applications that can benefit from the results of this field of research. The human behavior analysis (HBA) includes a wide range of research areas from the detection of human motion and action. Datasets created through actions and detection of human activities make it possible to compare different detection methods with the same input data. Data mining and big data approaches are very popular for analyzing data related to human behavior and can be used to address the challenges of fast processing. This article provides a systematic survey of data mining and big data in the HBA. We focus on current datasets and models related to the detection of human behavior patterns in the literature. The purpose of this survey is to assist researchers in select appropriate datasets and models to evaluate algorithms, as well as to identify research gaps for future work. To achieve this goal, articles published between 2010 and 2021 have been reviewed. These articles fall into five general categories in terms of dataset focus: object detection, motion, action, activity, and behavior. This article provides a summary of data mining and big data models in the HBA, as well as related datasets based on these categories, to highlight promising research avenues for future work.","container-title":"Transactions on Emerging Telecommunications Technologies","DOI":"10.1002/ett.4574","ISSN":"2161-3915","issue":"9","language":"en","license":"© 2022 John Wiley &amp; Sons, Ltd.","note":"_eprint: https://onlinelibrary.wiley.com/doi/pdf/10.1002/ett.4574","page":"e4574","source":"Wiley Online Library","title":"A systematic survey of data mining and big data in human behavior analysis: Current datasets and models","title-short":"A systematic survey of data mining and big data in human behavior analysis","volume":"33","author":[{"family":"Ding","given":"Xuefeng"},{"family":"Gan","given":"Qihong"},{"family":"Bahrami","given":"Sara"}],"issued":{"date-parts":[["2022"]]}}},{"id":79,"uris":["http://zotero.org/users/local/XXlLtgC2/items/AVT6SV3I"],"itemData":{"id":79,"type":"article-journal","abstract":"The identification of human behavior can provide useful information across multiple job spectra. Recent advances in applying data-based approaches to ...","container-title":"Symmetry","DOI":"10.3390/sym12111902","ISSN":"2073-8994","issue":"11","language":"en","license":"http://creativecommons.org/licenses/by/3.0/","publisher":"publisher","source":"www.mdpi.com","title":"Identification and Prediction of Human Behavior through Mining of Unstructured Textual Data","URL":"https://www.mdpi.com/2073-8994/12/11/1902","volume":"12","author":[{"family":"Davahli","given":"Mohammad Reza"},{"family":"Karwowski","given":"Waldemar"},{"family":"Gutierrez","given":"Edgar"},{"family":"Fiok","given":"Krzysztof"},{"family":"Wróbel","given":"Grzegorz"},{"family":"Taiar","given":"Redha"},{"family":"Ahram","given":"Tareq"}],"accessed":{"date-parts":[["2026",2,27]]},"issued":{"date-parts":[["2020",11,19]]}}}],"schema":"https://github.com/citation-style-language/schema/raw/master/csl-citation.json"} </w:instrText>
      </w:r>
      <w:r w:rsidRPr="00254D25">
        <w:rPr>
          <w:color w:val="000000"/>
          <w:highlight w:val="yellow"/>
        </w:rPr>
        <w:fldChar w:fldCharType="separate"/>
      </w:r>
      <w:r w:rsidRPr="00254D25">
        <w:rPr>
          <w:noProof/>
          <w:color w:val="000000"/>
          <w:highlight w:val="yellow"/>
        </w:rPr>
        <w:t>(Brown &amp; Anderson, 2023; Davahli et al., 2020; Ding et al., 2022)</w:t>
      </w:r>
      <w:r w:rsidRPr="00254D25">
        <w:rPr>
          <w:color w:val="000000"/>
          <w:highlight w:val="yellow"/>
        </w:rPr>
        <w:fldChar w:fldCharType="end"/>
      </w:r>
      <w:r w:rsidRPr="00254D25">
        <w:rPr>
          <w:color w:val="000000"/>
          <w:highlight w:val="yellow"/>
        </w:rPr>
        <w:t xml:space="preserve">. However, these contributions largely remain confined to distinct methodological </w:t>
      </w:r>
      <w:r w:rsidR="0092546B">
        <w:rPr>
          <w:color w:val="000000"/>
          <w:highlight w:val="yellow"/>
        </w:rPr>
        <w:t>domains</w:t>
      </w:r>
      <w:r w:rsidRPr="00254D25">
        <w:rPr>
          <w:color w:val="000000"/>
          <w:highlight w:val="yellow"/>
        </w:rPr>
        <w:t xml:space="preserve">. Participatory processes often culminate in qualitative insights without systematically translating outcomes into structured, model-ready behavioral variables. Empirical behavioral studies frequently remain detached from operational simulation environments and do not explicitly feed back into scenario refinement. Data engineering practices, while methodologically mature, are rarely designed to function as a bridge between participatory scenario building and adaptive behavioral modeling. As a result, limited methodological guidance exists for systematically moving from co-created contextual understanding, to architecture-aligned empirical data, to validated and simulation-ready human behavior models that can be iteratively refined across hazards and settings. </w:t>
      </w:r>
      <w:r w:rsidR="00254D25" w:rsidRPr="00254D25">
        <w:rPr>
          <w:color w:val="000000"/>
          <w:highlight w:val="yellow"/>
        </w:rPr>
        <w:t>The contribution of the proposed co-creation framework lies precisely in formalizing this end-to-end translation and feedback logic into a structured, reproducible methodological workflow that bridges participatory practice, empirical data engineering, and simulation-based behavioral modeling.</w:t>
      </w:r>
    </w:p>
    <w:p w14:paraId="3EECBAF7" w14:textId="0E661FF7" w:rsidR="00C709A7" w:rsidRPr="006C2778" w:rsidRDefault="00C709A7" w:rsidP="0075736F">
      <w:pPr>
        <w:pBdr>
          <w:top w:val="nil"/>
          <w:left w:val="nil"/>
          <w:bottom w:val="nil"/>
          <w:right w:val="nil"/>
          <w:between w:val="nil"/>
        </w:pBdr>
        <w:rPr>
          <w:color w:val="000000"/>
        </w:rPr>
      </w:pPr>
      <w:r w:rsidRPr="00C709A7">
        <w:rPr>
          <w:color w:val="000000"/>
        </w:rPr>
        <w:t>Accordingly, the proposed framework advances the state of the art in three key ways:</w:t>
      </w:r>
    </w:p>
    <w:p w14:paraId="77566A7F" w14:textId="77CE3C42" w:rsidR="0075736F" w:rsidRPr="006C2778" w:rsidRDefault="0075736F" w:rsidP="0075736F">
      <w:pPr>
        <w:numPr>
          <w:ilvl w:val="0"/>
          <w:numId w:val="2"/>
        </w:numPr>
        <w:pBdr>
          <w:top w:val="nil"/>
          <w:left w:val="nil"/>
          <w:bottom w:val="nil"/>
          <w:right w:val="nil"/>
          <w:between w:val="nil"/>
        </w:pBdr>
        <w:rPr>
          <w:color w:val="000000"/>
        </w:rPr>
      </w:pPr>
      <w:r w:rsidRPr="006C2778">
        <w:rPr>
          <w:b/>
          <w:bCs/>
          <w:color w:val="000000"/>
        </w:rPr>
        <w:t>Advancing generalizable and reproducible HBM elicitation</w:t>
      </w:r>
      <w:r w:rsidRPr="006C2778">
        <w:rPr>
          <w:color w:val="000000"/>
        </w:rPr>
        <w:t xml:space="preserve">: We formalize a structured, hazard-agnostic </w:t>
      </w:r>
      <w:r w:rsidR="008660FD">
        <w:rPr>
          <w:color w:val="000000"/>
        </w:rPr>
        <w:t>framework</w:t>
      </w:r>
      <w:r w:rsidRPr="006C2778">
        <w:rPr>
          <w:color w:val="000000"/>
        </w:rPr>
        <w:t xml:space="preserve"> that enables the systematic development of HBMs across different hazards, geographic contexts, and population groups, moving beyond case-specific and assumption-driven </w:t>
      </w:r>
      <w:r w:rsidRPr="006C2778">
        <w:rPr>
          <w:color w:val="000000"/>
        </w:rPr>
        <w:lastRenderedPageBreak/>
        <w:t xml:space="preserve">behavioral modeling. </w:t>
      </w:r>
    </w:p>
    <w:p w14:paraId="49407C8D" w14:textId="4B64F5FA" w:rsidR="0075736F" w:rsidRPr="006C2778" w:rsidRDefault="0075736F" w:rsidP="0075736F">
      <w:pPr>
        <w:numPr>
          <w:ilvl w:val="0"/>
          <w:numId w:val="2"/>
        </w:numPr>
        <w:pBdr>
          <w:top w:val="nil"/>
          <w:left w:val="nil"/>
          <w:bottom w:val="nil"/>
          <w:right w:val="nil"/>
          <w:between w:val="nil"/>
        </w:pBdr>
        <w:rPr>
          <w:color w:val="000000"/>
        </w:rPr>
      </w:pPr>
      <w:r w:rsidRPr="006C2778">
        <w:rPr>
          <w:b/>
          <w:bCs/>
          <w:color w:val="000000"/>
        </w:rPr>
        <w:t>Advancing integrated empirical–participatory–adaptive workflows:</w:t>
      </w:r>
      <w:r w:rsidRPr="006C2778">
        <w:rPr>
          <w:color w:val="000000"/>
        </w:rPr>
        <w:t xml:space="preserve"> The framework </w:t>
      </w:r>
      <w:r w:rsidR="00484A6F">
        <w:rPr>
          <w:color w:val="000000"/>
        </w:rPr>
        <w:t>includes</w:t>
      </w:r>
      <w:r w:rsidR="00484A6F" w:rsidRPr="006C2778">
        <w:rPr>
          <w:color w:val="000000"/>
        </w:rPr>
        <w:t xml:space="preserve"> </w:t>
      </w:r>
      <w:r w:rsidRPr="006C2778">
        <w:rPr>
          <w:color w:val="000000"/>
        </w:rPr>
        <w:t>a continuous feedback loop that links participatory scenario building, survey-based empirical data, and adaptive behavioral modeling</w:t>
      </w:r>
      <w:r w:rsidR="00484A6F">
        <w:rPr>
          <w:color w:val="000000"/>
        </w:rPr>
        <w:t xml:space="preserve">. This means </w:t>
      </w:r>
      <w:r w:rsidR="005D3CF2">
        <w:rPr>
          <w:color w:val="000000"/>
        </w:rPr>
        <w:t>that the</w:t>
      </w:r>
      <w:r w:rsidR="00484A6F">
        <w:rPr>
          <w:color w:val="000000"/>
        </w:rPr>
        <w:t xml:space="preserve"> derived</w:t>
      </w:r>
      <w:r w:rsidRPr="006C2778">
        <w:rPr>
          <w:color w:val="000000"/>
        </w:rPr>
        <w:t xml:space="preserve"> HBMs are empirically grounded and dynamically updatable. </w:t>
      </w:r>
    </w:p>
    <w:p w14:paraId="49F71526" w14:textId="7A83A0BA" w:rsidR="0075736F" w:rsidRPr="006C2778" w:rsidRDefault="0075736F" w:rsidP="0075736F">
      <w:pPr>
        <w:numPr>
          <w:ilvl w:val="0"/>
          <w:numId w:val="2"/>
        </w:numPr>
        <w:pBdr>
          <w:top w:val="nil"/>
          <w:left w:val="nil"/>
          <w:bottom w:val="nil"/>
          <w:right w:val="nil"/>
          <w:between w:val="nil"/>
        </w:pBdr>
        <w:rPr>
          <w:color w:val="000000"/>
        </w:rPr>
      </w:pPr>
      <w:r w:rsidRPr="006C2778">
        <w:rPr>
          <w:b/>
          <w:bCs/>
          <w:color w:val="000000"/>
        </w:rPr>
        <w:t>Advancing the operationalization of people-</w:t>
      </w:r>
      <w:r w:rsidR="00224967" w:rsidRPr="006C2778">
        <w:rPr>
          <w:b/>
          <w:bCs/>
          <w:color w:val="000000"/>
        </w:rPr>
        <w:t>cente</w:t>
      </w:r>
      <w:r w:rsidR="00224967">
        <w:rPr>
          <w:b/>
          <w:bCs/>
          <w:color w:val="000000"/>
        </w:rPr>
        <w:t>r</w:t>
      </w:r>
      <w:r w:rsidR="00224967" w:rsidRPr="006C2778">
        <w:rPr>
          <w:b/>
          <w:bCs/>
          <w:color w:val="000000"/>
        </w:rPr>
        <w:t>e</w:t>
      </w:r>
      <w:r w:rsidR="00224967">
        <w:rPr>
          <w:b/>
          <w:bCs/>
          <w:color w:val="000000"/>
        </w:rPr>
        <w:t xml:space="preserve">d </w:t>
      </w:r>
      <w:r w:rsidRPr="006C2778">
        <w:rPr>
          <w:b/>
          <w:bCs/>
          <w:color w:val="000000"/>
        </w:rPr>
        <w:t>behavior in simulations:</w:t>
      </w:r>
      <w:r w:rsidRPr="006C2778">
        <w:rPr>
          <w:color w:val="000000"/>
        </w:rPr>
        <w:t xml:space="preserve"> By embedding vulnerability, social diversity, governance conditions, and decision environments directly into the HBM development process, the framework enables the construction of simulation-ready, transferable, and policy-relevant behavioral models for crisis risk management. </w:t>
      </w:r>
    </w:p>
    <w:p w14:paraId="26F32A2C" w14:textId="2BBF450F" w:rsidR="0075736F" w:rsidRPr="006C2778" w:rsidRDefault="0075736F" w:rsidP="0075736F">
      <w:pPr>
        <w:pBdr>
          <w:top w:val="nil"/>
          <w:left w:val="nil"/>
          <w:bottom w:val="nil"/>
          <w:right w:val="nil"/>
          <w:between w:val="nil"/>
        </w:pBdr>
        <w:rPr>
          <w:color w:val="000000"/>
        </w:rPr>
      </w:pPr>
      <w:r w:rsidRPr="006C2778">
        <w:rPr>
          <w:color w:val="000000"/>
        </w:rPr>
        <w:t xml:space="preserve">We demonstrate the operation of our framework in Egaleo, Greece, a seismically active urban area that is also exposed to heatwave risk </w:t>
      </w:r>
      <w:r w:rsidRPr="006C2778">
        <w:rPr>
          <w:color w:val="000000"/>
        </w:rPr>
        <w:fldChar w:fldCharType="begin"/>
      </w:r>
      <w:r w:rsidR="00C42DB3">
        <w:rPr>
          <w:color w:val="000000"/>
        </w:rPr>
        <w:instrText xml:space="preserve"> ADDIN ZOTERO_ITEM CSL_CITATION {"citationID":"gDeLPv8J","properties":{"formattedCitation":"(Papagiannaki et al., 2019)","plainCitation":"(Papagiannaki et al., 2019)","noteIndex":0},"citationItems":[{"id":"ueiO9W5d/oavG39Yg","uris":["http://zotero.org/users/local/fUjRzi5I/items/SKBEBR2F"],"itemData":{"id":36,"type":"article-journal","abstract":"Climate-related hazards, such as wildfires and hydrogeological phenomena, cause extensive damages and casualties around the world. Despite the recent advances and technologies for risk mitigation, it is acknowledged that public risk perception is a critical factor for these tools to succeed. Greece and the broader Eastern Mediterranean is an area where, despite the diversity of natural disasters, there is a lack of understanding of the hazard types that people are most concerned with and how they measure against other groups of hazards (i.e., geophysical). This work uses an online survey targeting Greek people, aiming to provide a better understanding of their perception of different natural hazards. Statistical results show that people consider climate-related hazards less dangerous and likely to occur than earthquakes, which occur often as zero-impact events. Laymen may thus underestimate certain risks, which may inhibit appropriate preparation. Disaster experience was found to increase threat perceptions and to motivate preparedness. However, in what concerns climate-related hazards, the effect of experience may fade out over time. Awareness activities were found to associate with higher emergency response efficacy. Males exhibit lower risk perception and higher coping appraisals. However, prioritization of risks is almost identical between genders. Implications for risk management are discussed.","container-title":"Water","DOI":"10.3390/w11091770","ISSN":"2073-4441","issue":"9","language":"en","license":"http://creativecommons.org/licenses/by/3.0/","note":"publisher: Multidisciplinary Digital Publishing Institute","page":"1770","source":"www.mdpi.com","title":"Hydrogeological and Climatological Risks Perception in a Multi-Hazard Environment: The Case of Greece","title-short":"Hydrogeological and Climatological Risks Perception in a Multi-Hazard Environment","volume":"11","author":[{"family":"Papagiannaki","given":"Katerina"},{"family":"Diakakis","given":"Michalis"},{"family":"Kotroni","given":"Vassiliki"},{"family":"Lagouvardos","given":"Kostas"},{"family":"Andreadakis","given":"Emmanuel"}],"issued":{"date-parts":[["2019",9]]}}}],"schema":"https://github.com/citation-style-language/schema/raw/master/csl-citation.json"} </w:instrText>
      </w:r>
      <w:r w:rsidRPr="006C2778">
        <w:rPr>
          <w:color w:val="000000"/>
        </w:rPr>
        <w:fldChar w:fldCharType="separate"/>
      </w:r>
      <w:r w:rsidRPr="006C2778">
        <w:rPr>
          <w:color w:val="000000"/>
        </w:rPr>
        <w:t>(Papagiannaki et al., 2019)</w:t>
      </w:r>
      <w:r w:rsidRPr="006C2778">
        <w:rPr>
          <w:color w:val="000000"/>
        </w:rPr>
        <w:fldChar w:fldCharType="end"/>
      </w:r>
      <w:r w:rsidRPr="006C2778">
        <w:rPr>
          <w:color w:val="000000"/>
        </w:rPr>
        <w:t xml:space="preserve">. </w:t>
      </w:r>
      <w:r w:rsidR="009967EE" w:rsidRPr="009967EE">
        <w:rPr>
          <w:color w:val="000000"/>
        </w:rPr>
        <w:t xml:space="preserve">In the heatwave scenario, the framework is implemented up to </w:t>
      </w:r>
      <w:r w:rsidR="003B711E">
        <w:rPr>
          <w:color w:val="000000"/>
        </w:rPr>
        <w:t>the second stage by</w:t>
      </w:r>
      <w:r w:rsidR="009967EE" w:rsidRPr="009967EE">
        <w:rPr>
          <w:color w:val="000000"/>
        </w:rPr>
        <w:t xml:space="preserve"> completing participatory scenario building and the development of a model-ready, living scenario dataset.</w:t>
      </w:r>
      <w:r w:rsidRPr="006C2778">
        <w:rPr>
          <w:color w:val="000000"/>
        </w:rPr>
        <w:t xml:space="preserve"> For the earthquake scenario, the full framework is applied end-to-end</w:t>
      </w:r>
      <w:r w:rsidR="00484A6F">
        <w:rPr>
          <w:color w:val="000000"/>
        </w:rPr>
        <w:t>. This</w:t>
      </w:r>
      <w:r w:rsidRPr="006C2778">
        <w:rPr>
          <w:color w:val="000000"/>
        </w:rPr>
        <w:t xml:space="preserve"> includ</w:t>
      </w:r>
      <w:r w:rsidR="00484A6F">
        <w:rPr>
          <w:color w:val="000000"/>
        </w:rPr>
        <w:t>es</w:t>
      </w:r>
      <w:r w:rsidRPr="006C2778">
        <w:rPr>
          <w:color w:val="000000"/>
        </w:rPr>
        <w:t xml:space="preserve"> empirical data collection, </w:t>
      </w:r>
      <w:r w:rsidR="005D3CF2">
        <w:rPr>
          <w:color w:val="000000"/>
        </w:rPr>
        <w:t>dataset development</w:t>
      </w:r>
      <w:r w:rsidRPr="006C2778">
        <w:rPr>
          <w:color w:val="000000"/>
        </w:rPr>
        <w:t>,</w:t>
      </w:r>
      <w:r w:rsidR="005D3CF2">
        <w:rPr>
          <w:color w:val="000000"/>
        </w:rPr>
        <w:t xml:space="preserve"> and </w:t>
      </w:r>
      <w:r w:rsidR="005D3CF2" w:rsidRPr="006C2778">
        <w:rPr>
          <w:color w:val="000000"/>
        </w:rPr>
        <w:t>stakeholder-driven HBM elicitation,</w:t>
      </w:r>
      <w:r w:rsidRPr="006C2778">
        <w:rPr>
          <w:color w:val="000000"/>
        </w:rPr>
        <w:t xml:space="preserve"> with the resulting HBM </w:t>
      </w:r>
      <w:r w:rsidR="00484A6F">
        <w:rPr>
          <w:color w:val="000000"/>
        </w:rPr>
        <w:t xml:space="preserve">being </w:t>
      </w:r>
      <w:r w:rsidRPr="006C2778">
        <w:rPr>
          <w:color w:val="000000"/>
        </w:rPr>
        <w:t xml:space="preserve">integrated into an agent-based </w:t>
      </w:r>
      <w:r w:rsidR="0061182B">
        <w:rPr>
          <w:color w:val="000000"/>
        </w:rPr>
        <w:t>model (ABM)</w:t>
      </w:r>
      <w:r w:rsidRPr="006C2778">
        <w:rPr>
          <w:color w:val="000000"/>
        </w:rPr>
        <w:t>. Th</w:t>
      </w:r>
      <w:r w:rsidR="0061182B">
        <w:rPr>
          <w:color w:val="000000"/>
        </w:rPr>
        <w:t>e resulting ABM-HBM</w:t>
      </w:r>
      <w:r w:rsidRPr="006C2778">
        <w:rPr>
          <w:color w:val="000000"/>
        </w:rPr>
        <w:t xml:space="preserve"> </w:t>
      </w:r>
      <w:r w:rsidR="0061182B">
        <w:rPr>
          <w:color w:val="000000"/>
        </w:rPr>
        <w:t>simulations</w:t>
      </w:r>
      <w:r w:rsidRPr="006C2778">
        <w:rPr>
          <w:color w:val="000000"/>
        </w:rPr>
        <w:t xml:space="preserve"> reveal notable differences in evacuation timing and spatial congestion </w:t>
      </w:r>
      <w:r w:rsidR="00763264" w:rsidRPr="004D42FA">
        <w:rPr>
          <w:color w:val="000000"/>
        </w:rPr>
        <w:t xml:space="preserve">when </w:t>
      </w:r>
      <w:r w:rsidR="00763264" w:rsidRPr="006C2778">
        <w:rPr>
          <w:color w:val="000000"/>
        </w:rPr>
        <w:t xml:space="preserve">rich HBMs are used </w:t>
      </w:r>
      <w:r w:rsidRPr="006C2778">
        <w:rPr>
          <w:color w:val="000000"/>
        </w:rPr>
        <w:t xml:space="preserve">compared to </w:t>
      </w:r>
      <w:r w:rsidR="0061182B" w:rsidRPr="0061182B">
        <w:rPr>
          <w:color w:val="000000"/>
        </w:rPr>
        <w:t>simplified behavioral assumptions.</w:t>
      </w:r>
    </w:p>
    <w:p w14:paraId="1EDABEBA" w14:textId="035B541B" w:rsidR="008F5CA2" w:rsidRPr="006C2778" w:rsidRDefault="0075736F" w:rsidP="0075736F">
      <w:pPr>
        <w:pBdr>
          <w:top w:val="nil"/>
          <w:left w:val="nil"/>
          <w:bottom w:val="nil"/>
          <w:right w:val="nil"/>
          <w:between w:val="nil"/>
        </w:pBdr>
        <w:rPr>
          <w:color w:val="000000"/>
        </w:rPr>
      </w:pPr>
      <w:r w:rsidRPr="006C2778">
        <w:rPr>
          <w:color w:val="000000"/>
        </w:rPr>
        <w:t xml:space="preserve">The remainder of this paper is structured as follows. Section 2 presents the proposed co-creation framework for eliciting </w:t>
      </w:r>
      <w:r w:rsidR="00763264" w:rsidRPr="004D42FA">
        <w:rPr>
          <w:color w:val="000000"/>
        </w:rPr>
        <w:t>HBMs</w:t>
      </w:r>
      <w:r w:rsidRPr="006C2778">
        <w:rPr>
          <w:color w:val="000000"/>
        </w:rPr>
        <w:t>, detailing its three stages and their interdependencies. Section 3 describes the implementation of the framework in the case study area of Egaleo, Greece, including the development of HBMs for earthquake and heatwave scenarios and the integration of the earthquake HBM into</w:t>
      </w:r>
      <w:r w:rsidR="004D42FA">
        <w:rPr>
          <w:color w:val="000000"/>
        </w:rPr>
        <w:t xml:space="preserve"> </w:t>
      </w:r>
      <w:r w:rsidR="00484A6F">
        <w:rPr>
          <w:color w:val="000000"/>
        </w:rPr>
        <w:t xml:space="preserve">the </w:t>
      </w:r>
      <w:r w:rsidR="0061182B">
        <w:rPr>
          <w:color w:val="000000"/>
        </w:rPr>
        <w:t>ABM</w:t>
      </w:r>
      <w:r w:rsidRPr="006C2778">
        <w:rPr>
          <w:color w:val="000000"/>
        </w:rPr>
        <w:t>. Section 4 discusses the implications of the findings for crisis risk management and the broader applicability of the framework. Finally, Section 5 concludes the paper and outlines directions for future research.</w:t>
      </w:r>
    </w:p>
    <w:bookmarkEnd w:id="0"/>
    <w:p w14:paraId="52D51D74" w14:textId="23D3221F" w:rsidR="00C80C42" w:rsidRPr="006C2778" w:rsidRDefault="0075736F">
      <w:pPr>
        <w:pStyle w:val="Heading1"/>
      </w:pPr>
      <w:r w:rsidRPr="006C2778">
        <w:t xml:space="preserve">FRAMEWORK OVERVIEW </w:t>
      </w:r>
    </w:p>
    <w:p w14:paraId="19EC8C8A" w14:textId="4D1F118C" w:rsidR="0075736F" w:rsidRDefault="0075736F" w:rsidP="004C67BC">
      <w:pPr>
        <w:pBdr>
          <w:top w:val="nil"/>
          <w:left w:val="nil"/>
          <w:bottom w:val="nil"/>
          <w:right w:val="nil"/>
          <w:between w:val="nil"/>
        </w:pBdr>
        <w:rPr>
          <w:color w:val="000000"/>
        </w:rPr>
      </w:pPr>
      <w:r w:rsidRPr="006C2778">
        <w:rPr>
          <w:color w:val="000000"/>
        </w:rPr>
        <w:t xml:space="preserve">This section describes the proposed framework for the systematic elicitation of HBMs, illustrated in Figure 1. </w:t>
      </w:r>
      <w:r w:rsidR="00B04642">
        <w:rPr>
          <w:color w:val="000000"/>
        </w:rPr>
        <w:t>T</w:t>
      </w:r>
      <w:r w:rsidRPr="006C2778">
        <w:rPr>
          <w:color w:val="000000"/>
        </w:rPr>
        <w:t xml:space="preserve">he framework structures HBM development through three interlinked stages: </w:t>
      </w:r>
      <w:r w:rsidRPr="006C2778">
        <w:rPr>
          <w:i/>
          <w:iCs/>
          <w:color w:val="000000"/>
        </w:rPr>
        <w:t>Participatory Scenario Building</w:t>
      </w:r>
      <w:r w:rsidRPr="006C2778">
        <w:rPr>
          <w:color w:val="000000"/>
        </w:rPr>
        <w:t xml:space="preserve">, </w:t>
      </w:r>
      <w:r w:rsidRPr="006C2778">
        <w:rPr>
          <w:i/>
          <w:iCs/>
          <w:color w:val="000000"/>
        </w:rPr>
        <w:t>Living Scenario Dataset</w:t>
      </w:r>
      <w:r w:rsidRPr="006C2778">
        <w:rPr>
          <w:color w:val="000000"/>
        </w:rPr>
        <w:t xml:space="preserve">, and </w:t>
      </w:r>
      <w:r w:rsidRPr="006C2778">
        <w:rPr>
          <w:i/>
          <w:iCs/>
          <w:color w:val="000000"/>
        </w:rPr>
        <w:t>Behavioral Representation</w:t>
      </w:r>
      <w:r w:rsidRPr="006C2778">
        <w:rPr>
          <w:color w:val="000000"/>
        </w:rPr>
        <w:t xml:space="preserve">. </w:t>
      </w:r>
      <w:r w:rsidRPr="001649E3">
        <w:rPr>
          <w:i/>
          <w:iCs/>
          <w:color w:val="000000"/>
        </w:rPr>
        <w:t>Participatory Scenario Building</w:t>
      </w:r>
      <w:r w:rsidRPr="006C2778">
        <w:rPr>
          <w:color w:val="000000"/>
        </w:rPr>
        <w:t xml:space="preserve"> </w:t>
      </w:r>
      <w:r w:rsidR="001649E3">
        <w:rPr>
          <w:color w:val="000000"/>
        </w:rPr>
        <w:t xml:space="preserve">specifies </w:t>
      </w:r>
      <w:r w:rsidR="00D346DC">
        <w:rPr>
          <w:color w:val="000000"/>
        </w:rPr>
        <w:t xml:space="preserve">the </w:t>
      </w:r>
      <w:r w:rsidRPr="006C2778">
        <w:rPr>
          <w:color w:val="000000"/>
        </w:rPr>
        <w:t xml:space="preserve">environmental and system conditions, </w:t>
      </w:r>
      <w:r w:rsidR="00D346DC">
        <w:rPr>
          <w:color w:val="000000"/>
        </w:rPr>
        <w:t xml:space="preserve">the </w:t>
      </w:r>
      <w:r w:rsidRPr="006C2778">
        <w:rPr>
          <w:color w:val="000000"/>
        </w:rPr>
        <w:t>population and social diversity, and the behavioral and decision environment through iterative stakeholder engagement.</w:t>
      </w:r>
      <w:r w:rsidR="004C67BC">
        <w:rPr>
          <w:color w:val="000000"/>
        </w:rPr>
        <w:t xml:space="preserve"> </w:t>
      </w:r>
      <w:r w:rsidR="004C67BC" w:rsidRPr="004C67BC">
        <w:rPr>
          <w:color w:val="000000"/>
        </w:rPr>
        <w:t>These scenario definitions are translated into</w:t>
      </w:r>
      <w:r w:rsidR="00DD7D4F">
        <w:rPr>
          <w:color w:val="000000"/>
        </w:rPr>
        <w:t xml:space="preserve"> the</w:t>
      </w:r>
      <w:r w:rsidR="004C67BC" w:rsidRPr="004C67BC">
        <w:rPr>
          <w:color w:val="000000"/>
        </w:rPr>
        <w:t xml:space="preserve"> </w:t>
      </w:r>
      <w:r w:rsidR="004C67BC" w:rsidRPr="004C67BC">
        <w:rPr>
          <w:i/>
          <w:iCs/>
          <w:color w:val="000000"/>
        </w:rPr>
        <w:t>Living Scenario Dataset</w:t>
      </w:r>
      <w:r w:rsidR="004C67BC" w:rsidRPr="004C67BC">
        <w:rPr>
          <w:color w:val="000000"/>
        </w:rPr>
        <w:t xml:space="preserve"> by designing surveys that measure them and organizing the collected data so that each scenario variable corresponds to a specific data item.</w:t>
      </w:r>
      <w:r w:rsidR="004C67BC">
        <w:rPr>
          <w:color w:val="000000"/>
        </w:rPr>
        <w:t xml:space="preserve"> </w:t>
      </w:r>
      <w:r w:rsidRPr="001649E3">
        <w:rPr>
          <w:i/>
          <w:iCs/>
          <w:color w:val="000000"/>
        </w:rPr>
        <w:t xml:space="preserve">Behavioral Representation </w:t>
      </w:r>
      <w:r w:rsidRPr="006C2778">
        <w:rPr>
          <w:color w:val="000000"/>
        </w:rPr>
        <w:t xml:space="preserve">then translates these inputs into </w:t>
      </w:r>
      <w:r w:rsidR="00D346DC">
        <w:rPr>
          <w:color w:val="000000"/>
        </w:rPr>
        <w:t>HBMs</w:t>
      </w:r>
      <w:r w:rsidRPr="006C2778">
        <w:rPr>
          <w:color w:val="000000"/>
        </w:rPr>
        <w:t xml:space="preserve"> through variable extraction, data-driven construction, calibration, validation, and iterative adaptation. Continuous feedback across these stages enables the progressive refinement of scenarios, data, and behavioral representations over time. Each stage is described in more detail in the following subsections.</w:t>
      </w:r>
    </w:p>
    <w:p w14:paraId="04317953" w14:textId="77777777" w:rsidR="009F6726" w:rsidRPr="006C2778" w:rsidRDefault="009F6726" w:rsidP="004C67BC">
      <w:pPr>
        <w:pBdr>
          <w:top w:val="nil"/>
          <w:left w:val="nil"/>
          <w:bottom w:val="nil"/>
          <w:right w:val="nil"/>
          <w:between w:val="nil"/>
        </w:pBdr>
        <w:rPr>
          <w:color w:val="000000"/>
        </w:rPr>
      </w:pPr>
    </w:p>
    <w:p w14:paraId="3F3A0E87" w14:textId="3BE73D1F" w:rsidR="0075736F" w:rsidRPr="003B711E" w:rsidRDefault="0075736F" w:rsidP="0075736F">
      <w:pPr>
        <w:pBdr>
          <w:top w:val="nil"/>
          <w:left w:val="nil"/>
          <w:bottom w:val="nil"/>
          <w:right w:val="nil"/>
          <w:between w:val="nil"/>
        </w:pBdr>
        <w:rPr>
          <w:color w:val="000000"/>
          <w:vertAlign w:val="subscript"/>
        </w:rPr>
      </w:pPr>
      <w:r w:rsidRPr="006C2778">
        <w:rPr>
          <w:noProof/>
          <w:color w:val="000000"/>
        </w:rPr>
        <w:drawing>
          <wp:inline distT="0" distB="0" distL="0" distR="0" wp14:anchorId="31208F4D" wp14:editId="7A204480">
            <wp:extent cx="5711486" cy="2737413"/>
            <wp:effectExtent l="0" t="0" r="0" b="0"/>
            <wp:docPr id="1722009735" name="Picture 1" descr="A diagram of a model of a social 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9735" name="Picture 1" descr="A diagram of a model of a social diversi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1486" cy="2737413"/>
                    </a:xfrm>
                    <a:prstGeom prst="rect">
                      <a:avLst/>
                    </a:prstGeom>
                  </pic:spPr>
                </pic:pic>
              </a:graphicData>
            </a:graphic>
          </wp:inline>
        </w:drawing>
      </w:r>
    </w:p>
    <w:p w14:paraId="366F68A7" w14:textId="064F2EFD" w:rsidR="0075736F" w:rsidRPr="006C2778" w:rsidRDefault="0075736F" w:rsidP="00260FA4">
      <w:pPr>
        <w:pStyle w:val="Caption"/>
        <w:jc w:val="center"/>
        <w:rPr>
          <w:b/>
          <w:bCs/>
          <w:i w:val="0"/>
          <w:iCs w:val="0"/>
          <w:color w:val="000000" w:themeColor="text1"/>
        </w:rPr>
      </w:pPr>
      <w:r w:rsidRPr="006C2778">
        <w:rPr>
          <w:b/>
          <w:bCs/>
          <w:i w:val="0"/>
          <w:iCs w:val="0"/>
          <w:color w:val="000000" w:themeColor="text1"/>
        </w:rPr>
        <w:t xml:space="preserve">Figure 1. General Co-creation </w:t>
      </w:r>
      <w:r w:rsidR="00E57851" w:rsidRPr="00B04642">
        <w:rPr>
          <w:b/>
          <w:bCs/>
          <w:i w:val="0"/>
          <w:iCs w:val="0"/>
          <w:color w:val="000000" w:themeColor="text1"/>
        </w:rPr>
        <w:t xml:space="preserve">framework </w:t>
      </w:r>
      <w:r w:rsidRPr="006C2778">
        <w:rPr>
          <w:b/>
          <w:bCs/>
          <w:i w:val="0"/>
          <w:iCs w:val="0"/>
          <w:color w:val="000000" w:themeColor="text1"/>
        </w:rPr>
        <w:t>for HBM Elicitation</w:t>
      </w:r>
    </w:p>
    <w:p w14:paraId="1462B9F5" w14:textId="57447EC3" w:rsidR="00260FA4" w:rsidRPr="006C2778" w:rsidRDefault="00260FA4" w:rsidP="00260FA4">
      <w:pPr>
        <w:pStyle w:val="Heading2"/>
        <w:jc w:val="both"/>
      </w:pPr>
      <w:r w:rsidRPr="006C2778">
        <w:lastRenderedPageBreak/>
        <w:t xml:space="preserve">Participatory </w:t>
      </w:r>
      <w:r w:rsidR="001649E3">
        <w:t>S</w:t>
      </w:r>
      <w:r w:rsidRPr="006C2778">
        <w:t xml:space="preserve">cenario </w:t>
      </w:r>
      <w:r w:rsidR="001649E3">
        <w:t>B</w:t>
      </w:r>
      <w:r w:rsidRPr="006C2778">
        <w:t>uilding</w:t>
      </w:r>
    </w:p>
    <w:p w14:paraId="45D43B5D" w14:textId="35813719" w:rsidR="00260FA4" w:rsidRPr="006C2778" w:rsidRDefault="00260FA4" w:rsidP="00260FA4">
      <w:pPr>
        <w:pBdr>
          <w:top w:val="nil"/>
          <w:left w:val="nil"/>
          <w:bottom w:val="nil"/>
          <w:right w:val="nil"/>
          <w:between w:val="nil"/>
        </w:pBdr>
        <w:rPr>
          <w:color w:val="000000"/>
        </w:rPr>
      </w:pPr>
      <w:r w:rsidRPr="001649E3">
        <w:rPr>
          <w:i/>
          <w:iCs/>
          <w:color w:val="000000"/>
        </w:rPr>
        <w:t>Participatory Scenario Building</w:t>
      </w:r>
      <w:r w:rsidRPr="006C2778">
        <w:rPr>
          <w:color w:val="000000"/>
        </w:rPr>
        <w:t xml:space="preserve"> </w:t>
      </w:r>
      <w:r w:rsidR="005A0F47">
        <w:rPr>
          <w:color w:val="000000"/>
        </w:rPr>
        <w:t>is</w:t>
      </w:r>
      <w:r w:rsidR="005A0F47" w:rsidRPr="006C2778">
        <w:rPr>
          <w:color w:val="000000"/>
        </w:rPr>
        <w:t xml:space="preserve"> </w:t>
      </w:r>
      <w:r w:rsidRPr="006C2778">
        <w:rPr>
          <w:color w:val="000000"/>
        </w:rPr>
        <w:t xml:space="preserve">the foundation of the framework and defines the contextual space </w:t>
      </w:r>
      <w:r w:rsidR="005A0F47">
        <w:rPr>
          <w:color w:val="000000"/>
        </w:rPr>
        <w:t xml:space="preserve">of </w:t>
      </w:r>
      <w:r w:rsidRPr="006C2778">
        <w:rPr>
          <w:color w:val="000000"/>
        </w:rPr>
        <w:t xml:space="preserve">human behavior. This stage establishes a shared understanding of the crisis setting through structured engagement with stakeholders, domain experts, and local actors. Rather than assuming predefined behavioral conditions, the framework treats scenarios as co-produced </w:t>
      </w:r>
      <w:r w:rsidR="005A0F47">
        <w:rPr>
          <w:color w:val="000000"/>
        </w:rPr>
        <w:t>art</w:t>
      </w:r>
      <w:r w:rsidR="00DD7D4F">
        <w:rPr>
          <w:color w:val="000000"/>
        </w:rPr>
        <w:t>i</w:t>
      </w:r>
      <w:r w:rsidR="005A0F47">
        <w:rPr>
          <w:color w:val="000000"/>
        </w:rPr>
        <w:t>facts</w:t>
      </w:r>
      <w:r w:rsidR="005A0F47" w:rsidRPr="006C2778">
        <w:rPr>
          <w:color w:val="000000"/>
        </w:rPr>
        <w:t xml:space="preserve"> </w:t>
      </w:r>
      <w:r w:rsidRPr="006C2778">
        <w:rPr>
          <w:color w:val="000000"/>
        </w:rPr>
        <w:t>that evolve iteratively as new knowledge, evidence, and perspectives emerge. The objective of this stage is to formalize the system stressors, societal conditions, and decision environments that shape individual and collective behavior before, during, and after a disruptive event.</w:t>
      </w:r>
    </w:p>
    <w:p w14:paraId="79F62B5C" w14:textId="1DBED276" w:rsidR="00260FA4" w:rsidRPr="006C2778" w:rsidRDefault="00260FA4" w:rsidP="00260FA4">
      <w:pPr>
        <w:pBdr>
          <w:top w:val="nil"/>
          <w:left w:val="nil"/>
          <w:bottom w:val="nil"/>
          <w:right w:val="nil"/>
          <w:between w:val="nil"/>
        </w:pBdr>
        <w:rPr>
          <w:color w:val="000000"/>
        </w:rPr>
      </w:pPr>
      <w:r w:rsidRPr="006C2778">
        <w:rPr>
          <w:color w:val="000000"/>
        </w:rPr>
        <w:t xml:space="preserve">As illustrated in Figure 1, </w:t>
      </w:r>
      <w:r w:rsidRPr="001649E3">
        <w:rPr>
          <w:i/>
          <w:iCs/>
          <w:color w:val="000000"/>
        </w:rPr>
        <w:t>Participatory Scenario Building</w:t>
      </w:r>
      <w:r w:rsidRPr="006C2778">
        <w:rPr>
          <w:color w:val="000000"/>
        </w:rPr>
        <w:t xml:space="preserve"> structures the</w:t>
      </w:r>
      <w:r w:rsidR="008D4689">
        <w:rPr>
          <w:color w:val="000000"/>
        </w:rPr>
        <w:t xml:space="preserve"> </w:t>
      </w:r>
      <w:r w:rsidRPr="006C2778">
        <w:rPr>
          <w:color w:val="000000"/>
        </w:rPr>
        <w:t xml:space="preserve">foundations of </w:t>
      </w:r>
      <w:r w:rsidR="00B04642">
        <w:rPr>
          <w:color w:val="000000"/>
        </w:rPr>
        <w:t>HBM</w:t>
      </w:r>
      <w:r w:rsidR="00DD7D4F">
        <w:rPr>
          <w:color w:val="000000"/>
        </w:rPr>
        <w:t>s</w:t>
      </w:r>
      <w:r w:rsidRPr="006C2778">
        <w:rPr>
          <w:color w:val="000000"/>
        </w:rPr>
        <w:t xml:space="preserve"> along three complementary dimensions that are iteratively refined through stakeholder interaction: (i) </w:t>
      </w:r>
      <w:r w:rsidRPr="00EB5927">
        <w:rPr>
          <w:i/>
          <w:iCs/>
          <w:color w:val="000000"/>
        </w:rPr>
        <w:t>Environmental and System Context</w:t>
      </w:r>
      <w:r w:rsidRPr="006C2778">
        <w:rPr>
          <w:color w:val="000000"/>
        </w:rPr>
        <w:t xml:space="preserve">, (ii) </w:t>
      </w:r>
      <w:r w:rsidRPr="00EB5927">
        <w:rPr>
          <w:i/>
          <w:iCs/>
          <w:color w:val="000000"/>
        </w:rPr>
        <w:t>Population and Social Diversity</w:t>
      </w:r>
      <w:r w:rsidRPr="006C2778">
        <w:rPr>
          <w:color w:val="000000"/>
        </w:rPr>
        <w:t xml:space="preserve">, and (iii) </w:t>
      </w:r>
      <w:r w:rsidRPr="00EB5927">
        <w:rPr>
          <w:i/>
          <w:iCs/>
          <w:color w:val="000000"/>
        </w:rPr>
        <w:t>Behavioral and Decision Environment</w:t>
      </w:r>
      <w:r w:rsidRPr="006C2778">
        <w:rPr>
          <w:color w:val="000000"/>
        </w:rPr>
        <w:t>. Specifically:</w:t>
      </w:r>
    </w:p>
    <w:p w14:paraId="73EA5AAF" w14:textId="615325E5" w:rsidR="00260FA4" w:rsidRPr="006C2778" w:rsidRDefault="00260FA4" w:rsidP="00260FA4">
      <w:pPr>
        <w:numPr>
          <w:ilvl w:val="0"/>
          <w:numId w:val="3"/>
        </w:numPr>
        <w:pBdr>
          <w:top w:val="nil"/>
          <w:left w:val="nil"/>
          <w:bottom w:val="nil"/>
          <w:right w:val="nil"/>
          <w:between w:val="nil"/>
        </w:pBdr>
        <w:rPr>
          <w:color w:val="000000"/>
        </w:rPr>
      </w:pPr>
      <w:r w:rsidRPr="001649E3">
        <w:rPr>
          <w:b/>
          <w:bCs/>
          <w:i/>
          <w:iCs/>
          <w:color w:val="000000"/>
        </w:rPr>
        <w:t>Environmental and System Context</w:t>
      </w:r>
      <w:r w:rsidRPr="006C2778">
        <w:rPr>
          <w:color w:val="000000"/>
        </w:rPr>
        <w:t xml:space="preserve"> characterizes the physical, infrastructural, and institutional conditions under which behavior unfolds, including the disruptive event and its temporal evolution, spatial configuration, infrastructure capacity and vulnerability, and governance and policy frameworks. These elements define the external constraints and enabling conditions </w:t>
      </w:r>
      <w:r w:rsidR="005A0F47">
        <w:rPr>
          <w:color w:val="000000"/>
        </w:rPr>
        <w:t xml:space="preserve">that </w:t>
      </w:r>
      <w:r w:rsidRPr="006C2778">
        <w:rPr>
          <w:color w:val="000000"/>
        </w:rPr>
        <w:t>shap</w:t>
      </w:r>
      <w:r w:rsidR="005A0F47">
        <w:rPr>
          <w:color w:val="000000"/>
        </w:rPr>
        <w:t>e</w:t>
      </w:r>
      <w:r w:rsidRPr="006C2778">
        <w:rPr>
          <w:color w:val="000000"/>
        </w:rPr>
        <w:t xml:space="preserve"> behavior and risk exposure. </w:t>
      </w:r>
    </w:p>
    <w:p w14:paraId="00A5EBEE" w14:textId="3C0D5B7B" w:rsidR="00260FA4" w:rsidRPr="006C2778" w:rsidRDefault="00260FA4" w:rsidP="00260FA4">
      <w:pPr>
        <w:numPr>
          <w:ilvl w:val="0"/>
          <w:numId w:val="3"/>
        </w:numPr>
        <w:pBdr>
          <w:top w:val="nil"/>
          <w:left w:val="nil"/>
          <w:bottom w:val="nil"/>
          <w:right w:val="nil"/>
          <w:between w:val="nil"/>
        </w:pBdr>
        <w:rPr>
          <w:color w:val="000000"/>
        </w:rPr>
      </w:pPr>
      <w:r w:rsidRPr="001649E3">
        <w:rPr>
          <w:b/>
          <w:bCs/>
          <w:i/>
          <w:iCs/>
          <w:color w:val="000000"/>
        </w:rPr>
        <w:t>Population and Social Diversity</w:t>
      </w:r>
      <w:r w:rsidRPr="006C2778">
        <w:rPr>
          <w:color w:val="000000"/>
        </w:rPr>
        <w:t xml:space="preserve"> captures social heterogeneity through population distribution, household structures, access to resources, </w:t>
      </w:r>
      <w:r w:rsidR="003A13B8">
        <w:rPr>
          <w:color w:val="000000"/>
        </w:rPr>
        <w:t>ability to act</w:t>
      </w:r>
      <w:r w:rsidRPr="006C2778">
        <w:rPr>
          <w:color w:val="000000"/>
        </w:rPr>
        <w:t xml:space="preserve">, and social networks. Explicit attention to equity and inclusion ensures that vulnerable and marginalized groups are represented rather than implicitly averaged out. </w:t>
      </w:r>
    </w:p>
    <w:p w14:paraId="7858C2C7" w14:textId="77777777" w:rsidR="00260FA4" w:rsidRPr="006C2778" w:rsidRDefault="00260FA4" w:rsidP="00260FA4">
      <w:pPr>
        <w:numPr>
          <w:ilvl w:val="0"/>
          <w:numId w:val="3"/>
        </w:numPr>
        <w:pBdr>
          <w:top w:val="nil"/>
          <w:left w:val="nil"/>
          <w:bottom w:val="nil"/>
          <w:right w:val="nil"/>
          <w:between w:val="nil"/>
        </w:pBdr>
        <w:rPr>
          <w:color w:val="000000"/>
        </w:rPr>
      </w:pPr>
      <w:r w:rsidRPr="001649E3">
        <w:rPr>
          <w:b/>
          <w:bCs/>
          <w:i/>
          <w:iCs/>
          <w:color w:val="000000"/>
        </w:rPr>
        <w:t>Behavioral and Decision Environment</w:t>
      </w:r>
      <w:r w:rsidRPr="006C2778">
        <w:rPr>
          <w:color w:val="000000"/>
        </w:rPr>
        <w:t xml:space="preserve"> specifies the cognitive and informational conditions governing action, including contextual triggers, decision points, coping and adaptation strategies, communication channels, and the temporal dynamics of decision-making. </w:t>
      </w:r>
    </w:p>
    <w:p w14:paraId="07D8AE61" w14:textId="6AD797FD" w:rsidR="00260FA4" w:rsidRPr="006C2778" w:rsidRDefault="00260FA4" w:rsidP="00260FA4">
      <w:pPr>
        <w:pBdr>
          <w:top w:val="nil"/>
          <w:left w:val="nil"/>
          <w:bottom w:val="nil"/>
          <w:right w:val="nil"/>
          <w:between w:val="nil"/>
        </w:pBdr>
        <w:rPr>
          <w:color w:val="000000"/>
        </w:rPr>
      </w:pPr>
      <w:r w:rsidRPr="006C2778">
        <w:rPr>
          <w:color w:val="000000"/>
        </w:rPr>
        <w:t xml:space="preserve">Insights from subsequent data collection and behavioral modeling stages are continuously fed back into scenario definitions, enabling stakeholders to revisit assumptions, refine system stressors, and adjust behavioral expectations. By structuring scenario definition along these three dimensions and embedding it within a co-creation loop, </w:t>
      </w:r>
      <w:r w:rsidR="001649E3" w:rsidRPr="001649E3">
        <w:rPr>
          <w:i/>
          <w:iCs/>
          <w:color w:val="000000"/>
        </w:rPr>
        <w:t>Participatory Scenario Building</w:t>
      </w:r>
      <w:r w:rsidR="001649E3" w:rsidRPr="006C2778">
        <w:rPr>
          <w:color w:val="000000"/>
        </w:rPr>
        <w:t xml:space="preserve"> </w:t>
      </w:r>
      <w:r w:rsidRPr="006C2778">
        <w:rPr>
          <w:color w:val="000000"/>
        </w:rPr>
        <w:t>establishes a direct conceptual bridge between societal context and behavioral modeling, ensuring that subsequent data collection and behavioral representation remain locally grounded, socially differentiated, and decision-oriented.</w:t>
      </w:r>
    </w:p>
    <w:p w14:paraId="3D4BF72B" w14:textId="39BA377B" w:rsidR="00260FA4" w:rsidRPr="006C2778" w:rsidRDefault="00260FA4" w:rsidP="00260FA4">
      <w:pPr>
        <w:pStyle w:val="Heading2"/>
        <w:jc w:val="both"/>
      </w:pPr>
      <w:r w:rsidRPr="006C2778">
        <w:t xml:space="preserve">Living </w:t>
      </w:r>
      <w:r w:rsidR="001649E3">
        <w:t>S</w:t>
      </w:r>
      <w:r w:rsidRPr="006C2778">
        <w:t xml:space="preserve">cenario </w:t>
      </w:r>
      <w:r w:rsidR="001649E3">
        <w:t>D</w:t>
      </w:r>
      <w:r w:rsidRPr="006C2778">
        <w:t>ataset</w:t>
      </w:r>
    </w:p>
    <w:p w14:paraId="372217BB" w14:textId="6E584CB4" w:rsidR="00260FA4" w:rsidRPr="006C2778" w:rsidRDefault="003A13B8" w:rsidP="00260FA4">
      <w:pPr>
        <w:pBdr>
          <w:top w:val="nil"/>
          <w:left w:val="nil"/>
          <w:bottom w:val="nil"/>
          <w:right w:val="nil"/>
          <w:between w:val="nil"/>
        </w:pBdr>
        <w:rPr>
          <w:color w:val="000000"/>
        </w:rPr>
      </w:pPr>
      <w:r w:rsidRPr="003A13B8">
        <w:rPr>
          <w:color w:val="000000"/>
        </w:rPr>
        <w:t>The</w:t>
      </w:r>
      <w:r>
        <w:rPr>
          <w:i/>
          <w:iCs/>
          <w:color w:val="000000"/>
        </w:rPr>
        <w:t xml:space="preserve"> </w:t>
      </w:r>
      <w:r w:rsidR="00260FA4" w:rsidRPr="001649E3">
        <w:rPr>
          <w:i/>
          <w:iCs/>
          <w:color w:val="000000"/>
        </w:rPr>
        <w:t>Living Scenario Dataset</w:t>
      </w:r>
      <w:r w:rsidR="00260FA4" w:rsidRPr="006C2778">
        <w:rPr>
          <w:color w:val="000000"/>
        </w:rPr>
        <w:t xml:space="preserve"> operationalizes the outputs of </w:t>
      </w:r>
      <w:r w:rsidR="00260FA4" w:rsidRPr="001649E3">
        <w:rPr>
          <w:i/>
          <w:iCs/>
          <w:color w:val="000000"/>
        </w:rPr>
        <w:t>Participatory Scenario Building</w:t>
      </w:r>
      <w:r w:rsidR="00260FA4" w:rsidRPr="006C2778">
        <w:rPr>
          <w:color w:val="000000"/>
        </w:rPr>
        <w:t xml:space="preserve"> into a structured, empirical, and updatable data layer that supports behavioral modeling. It forms the interface between scenario knowledge and quantitative behavioral representation by translating contextual, social, and decision-related dimensions into measurable inputs. </w:t>
      </w:r>
    </w:p>
    <w:p w14:paraId="31F53FB8" w14:textId="6DD3AD07" w:rsidR="00260FA4" w:rsidRPr="006C2778" w:rsidRDefault="00260FA4" w:rsidP="00260FA4">
      <w:pPr>
        <w:pBdr>
          <w:top w:val="nil"/>
          <w:left w:val="nil"/>
          <w:bottom w:val="nil"/>
          <w:right w:val="nil"/>
          <w:between w:val="nil"/>
        </w:pBdr>
        <w:rPr>
          <w:color w:val="000000"/>
        </w:rPr>
      </w:pPr>
      <w:r w:rsidRPr="006C2778">
        <w:rPr>
          <w:color w:val="000000"/>
        </w:rPr>
        <w:t xml:space="preserve">This stage is structured around two coupled components: (i) </w:t>
      </w:r>
      <w:r w:rsidRPr="006C2778">
        <w:rPr>
          <w:i/>
          <w:iCs/>
          <w:color w:val="000000"/>
        </w:rPr>
        <w:t>Survey and Data Collection Design</w:t>
      </w:r>
      <w:r w:rsidRPr="006C2778">
        <w:rPr>
          <w:color w:val="000000"/>
        </w:rPr>
        <w:t xml:space="preserve">, and (ii) </w:t>
      </w:r>
      <w:r w:rsidRPr="006C2778">
        <w:rPr>
          <w:i/>
          <w:iCs/>
          <w:color w:val="000000"/>
        </w:rPr>
        <w:t>Data Architecture and Integration</w:t>
      </w:r>
      <w:r w:rsidRPr="006C2778">
        <w:rPr>
          <w:color w:val="000000"/>
        </w:rPr>
        <w:t xml:space="preserve">. Together, they ensure that data acquisition </w:t>
      </w:r>
      <w:r w:rsidR="005A431A" w:rsidRPr="006C2778">
        <w:rPr>
          <w:color w:val="000000"/>
        </w:rPr>
        <w:t>aligns</w:t>
      </w:r>
      <w:r w:rsidR="00F14499" w:rsidRPr="006C2778">
        <w:rPr>
          <w:color w:val="000000"/>
        </w:rPr>
        <w:t xml:space="preserve"> </w:t>
      </w:r>
      <w:r w:rsidRPr="006C2778">
        <w:rPr>
          <w:color w:val="000000"/>
        </w:rPr>
        <w:t>with the scenario while also being adaptable to evolving knowledge and emerging evidence. To this end:</w:t>
      </w:r>
    </w:p>
    <w:p w14:paraId="43C11F41" w14:textId="33027B00" w:rsidR="00DF16B7" w:rsidRPr="00DF16B7" w:rsidRDefault="006574D0" w:rsidP="00DF16B7">
      <w:pPr>
        <w:numPr>
          <w:ilvl w:val="0"/>
          <w:numId w:val="4"/>
        </w:numPr>
        <w:pBdr>
          <w:top w:val="nil"/>
          <w:left w:val="nil"/>
          <w:bottom w:val="nil"/>
          <w:right w:val="nil"/>
          <w:between w:val="nil"/>
        </w:pBdr>
        <w:rPr>
          <w:color w:val="000000"/>
        </w:rPr>
      </w:pPr>
      <w:r w:rsidRPr="001649E3">
        <w:rPr>
          <w:b/>
          <w:bCs/>
          <w:i/>
          <w:iCs/>
          <w:color w:val="000000"/>
        </w:rPr>
        <w:t>Survey and Data Collection Design</w:t>
      </w:r>
      <w:r w:rsidRPr="006574D0">
        <w:rPr>
          <w:color w:val="000000"/>
        </w:rPr>
        <w:t xml:space="preserve"> is driven by the scenario defined during </w:t>
      </w:r>
      <w:r w:rsidRPr="001649E3">
        <w:rPr>
          <w:i/>
          <w:iCs/>
          <w:color w:val="000000"/>
        </w:rPr>
        <w:t>Participatory Scenario Building</w:t>
      </w:r>
      <w:r w:rsidRPr="006574D0">
        <w:rPr>
          <w:color w:val="000000"/>
        </w:rPr>
        <w:t xml:space="preserve">. Rather than relying on generic behavioral questionnaires, </w:t>
      </w:r>
      <w:r w:rsidR="002C3FA9">
        <w:rPr>
          <w:color w:val="000000"/>
        </w:rPr>
        <w:t>it</w:t>
      </w:r>
      <w:r w:rsidR="002C3FA9" w:rsidRPr="002C3FA9">
        <w:rPr>
          <w:color w:val="000000"/>
        </w:rPr>
        <w:t xml:space="preserve"> supports survey instruments in which items are directly mapped to the three dimensions of the participatory process, ensuring consistency between scenario definitions and empirical measurements.</w:t>
      </w:r>
      <w:r w:rsidRPr="006574D0">
        <w:rPr>
          <w:color w:val="000000"/>
        </w:rPr>
        <w:t xml:space="preserve"> </w:t>
      </w:r>
      <w:r w:rsidR="009935A1">
        <w:rPr>
          <w:color w:val="000000"/>
        </w:rPr>
        <w:t>T</w:t>
      </w:r>
      <w:r w:rsidR="009935A1" w:rsidRPr="006574D0">
        <w:rPr>
          <w:color w:val="000000"/>
        </w:rPr>
        <w:t>he organization of survey items into separable thematic blocks allows incremental updates as scenarios evolve, new hazards are considered, or additional behavioral hypotheses emerge.</w:t>
      </w:r>
      <w:r w:rsidR="009935A1">
        <w:rPr>
          <w:color w:val="000000"/>
        </w:rPr>
        <w:t xml:space="preserve"> </w:t>
      </w:r>
      <w:r w:rsidR="008C3E1F" w:rsidRPr="008C3E1F">
        <w:rPr>
          <w:color w:val="000000"/>
        </w:rPr>
        <w:t xml:space="preserve">Sampling strategies are also constructed to </w:t>
      </w:r>
      <w:r w:rsidR="00DF16B7" w:rsidRPr="00DF16B7">
        <w:rPr>
          <w:color w:val="000000"/>
        </w:rPr>
        <w:t>reflect spatial, social, and demographic heterogeneity, as well as varying levels of vulnerability.</w:t>
      </w:r>
    </w:p>
    <w:p w14:paraId="70657260" w14:textId="3B588855" w:rsidR="00BE675B" w:rsidRPr="00BE675B" w:rsidRDefault="00BE675B" w:rsidP="00260FA4">
      <w:pPr>
        <w:numPr>
          <w:ilvl w:val="0"/>
          <w:numId w:val="4"/>
        </w:numPr>
        <w:pBdr>
          <w:top w:val="nil"/>
          <w:left w:val="nil"/>
          <w:bottom w:val="nil"/>
          <w:right w:val="nil"/>
          <w:between w:val="nil"/>
        </w:pBdr>
        <w:rPr>
          <w:color w:val="000000"/>
        </w:rPr>
      </w:pPr>
      <w:r w:rsidRPr="001649E3">
        <w:rPr>
          <w:b/>
          <w:bCs/>
          <w:i/>
          <w:iCs/>
          <w:color w:val="000000"/>
        </w:rPr>
        <w:t>Data Architecture and Integration</w:t>
      </w:r>
      <w:r w:rsidRPr="00BE675B">
        <w:rPr>
          <w:color w:val="000000"/>
        </w:rPr>
        <w:t xml:space="preserve"> organizes the collected inputs within a consistent data organization that uses shared variable definitions and formats, supporting interoperability, traceability, and structured behavioral extraction. Variables are defined in forms that correspond directly to downstream behavioral modeling needs, enabling linkage between observed responses and formal behavioral representations. Data are organized to distinguish individual responses, population subgroups, vulnerability profiles, and decision contexts, allowing these dimensions to be analyzed separately or in combination. Incremental data updates are supported, enabling the dataset to evolve as new information becomes available and successive scenario iterations are conducted.</w:t>
      </w:r>
    </w:p>
    <w:p w14:paraId="6EA7D1A2" w14:textId="365A4DF9" w:rsidR="00260FA4" w:rsidRPr="006C2778" w:rsidRDefault="00260FA4" w:rsidP="00260FA4">
      <w:pPr>
        <w:pBdr>
          <w:top w:val="nil"/>
          <w:left w:val="nil"/>
          <w:bottom w:val="nil"/>
          <w:right w:val="nil"/>
          <w:between w:val="nil"/>
        </w:pBdr>
        <w:rPr>
          <w:color w:val="000000"/>
        </w:rPr>
      </w:pPr>
      <w:r w:rsidRPr="006C2778">
        <w:rPr>
          <w:color w:val="000000"/>
        </w:rPr>
        <w:t xml:space="preserve">By coupling scenario-driven survey design with </w:t>
      </w:r>
      <w:r w:rsidR="00BE675B" w:rsidRPr="00BE675B">
        <w:rPr>
          <w:color w:val="000000"/>
        </w:rPr>
        <w:t>a consistent and incrementally updatable organization of empirical data</w:t>
      </w:r>
      <w:r w:rsidRPr="006C2778">
        <w:rPr>
          <w:color w:val="000000"/>
        </w:rPr>
        <w:t>,</w:t>
      </w:r>
      <w:r w:rsidR="005A431A">
        <w:rPr>
          <w:color w:val="000000"/>
        </w:rPr>
        <w:t xml:space="preserve"> the</w:t>
      </w:r>
      <w:r w:rsidRPr="006C2778">
        <w:rPr>
          <w:color w:val="000000"/>
        </w:rPr>
        <w:t xml:space="preserve"> </w:t>
      </w:r>
      <w:r w:rsidRPr="001649E3">
        <w:rPr>
          <w:i/>
          <w:iCs/>
          <w:color w:val="000000"/>
        </w:rPr>
        <w:t>Living Scenario Dataset</w:t>
      </w:r>
      <w:r w:rsidRPr="006C2778">
        <w:rPr>
          <w:color w:val="000000"/>
        </w:rPr>
        <w:t xml:space="preserve"> provides the empirical backbone of the proposed framework. It </w:t>
      </w:r>
      <w:r w:rsidRPr="006C2778">
        <w:rPr>
          <w:color w:val="000000"/>
        </w:rPr>
        <w:lastRenderedPageBreak/>
        <w:t>enables behavioral representations to be grounded in locally relevant, socially differentiated, and empirically anchored information.</w:t>
      </w:r>
    </w:p>
    <w:p w14:paraId="5E3A33CD" w14:textId="7C5060E7" w:rsidR="00260FA4" w:rsidRPr="006C2778" w:rsidRDefault="00260FA4" w:rsidP="00260FA4">
      <w:pPr>
        <w:pStyle w:val="Heading2"/>
        <w:jc w:val="both"/>
      </w:pPr>
      <w:r w:rsidRPr="006C2778">
        <w:t xml:space="preserve">Behavioral </w:t>
      </w:r>
      <w:r w:rsidR="001649E3">
        <w:t>R</w:t>
      </w:r>
      <w:r w:rsidRPr="006C2778">
        <w:t>epresentation</w:t>
      </w:r>
    </w:p>
    <w:p w14:paraId="115FE470" w14:textId="40DD1895" w:rsidR="00260FA4" w:rsidRPr="006C2778" w:rsidRDefault="00260FA4" w:rsidP="00260FA4">
      <w:pPr>
        <w:pBdr>
          <w:top w:val="nil"/>
          <w:left w:val="nil"/>
          <w:bottom w:val="nil"/>
          <w:right w:val="nil"/>
          <w:between w:val="nil"/>
        </w:pBdr>
        <w:rPr>
          <w:color w:val="000000"/>
        </w:rPr>
      </w:pPr>
      <w:r w:rsidRPr="001649E3">
        <w:rPr>
          <w:i/>
          <w:iCs/>
          <w:color w:val="000000"/>
        </w:rPr>
        <w:t>Behavioral Representation</w:t>
      </w:r>
      <w:r w:rsidRPr="006C2778">
        <w:rPr>
          <w:color w:val="000000"/>
        </w:rPr>
        <w:t xml:space="preserve"> constitutes the final stage of the</w:t>
      </w:r>
      <w:r w:rsidR="00BE675B">
        <w:rPr>
          <w:color w:val="000000"/>
        </w:rPr>
        <w:t xml:space="preserve"> </w:t>
      </w:r>
      <w:r w:rsidRPr="006C2778">
        <w:rPr>
          <w:color w:val="000000"/>
        </w:rPr>
        <w:t xml:space="preserve">framework. In this stage, the </w:t>
      </w:r>
      <w:r w:rsidR="001649E3">
        <w:rPr>
          <w:color w:val="000000"/>
        </w:rPr>
        <w:t xml:space="preserve">collected </w:t>
      </w:r>
      <w:r w:rsidRPr="006C2778">
        <w:rPr>
          <w:color w:val="000000"/>
        </w:rPr>
        <w:t xml:space="preserve">information is translated into </w:t>
      </w:r>
      <w:r w:rsidR="00BE675B">
        <w:rPr>
          <w:color w:val="000000"/>
        </w:rPr>
        <w:t xml:space="preserve">HBMs </w:t>
      </w:r>
      <w:r w:rsidRPr="006C2778">
        <w:rPr>
          <w:color w:val="000000"/>
        </w:rPr>
        <w:t xml:space="preserve">suitable for simulation. </w:t>
      </w:r>
      <w:r w:rsidR="001649E3" w:rsidRPr="001649E3">
        <w:rPr>
          <w:i/>
          <w:iCs/>
          <w:color w:val="000000"/>
        </w:rPr>
        <w:t>Behavioral Representation</w:t>
      </w:r>
      <w:r w:rsidR="001649E3" w:rsidRPr="006C2778">
        <w:rPr>
          <w:color w:val="000000"/>
        </w:rPr>
        <w:t xml:space="preserve"> </w:t>
      </w:r>
      <w:r w:rsidRPr="006C2778">
        <w:rPr>
          <w:color w:val="000000"/>
        </w:rPr>
        <w:t xml:space="preserve">provides the computational realization of the behavioral knowledge by extracting behavioral variables, constructing behavioral representations, calibrating model parameters, and iteratively refining the resulting models through validation and feedback, and it is intentionally defined in a model-agnostic manner. </w:t>
      </w:r>
      <w:r w:rsidR="001649E3">
        <w:rPr>
          <w:color w:val="000000"/>
        </w:rPr>
        <w:t>W</w:t>
      </w:r>
      <w:r w:rsidRPr="006C2778">
        <w:rPr>
          <w:color w:val="000000"/>
        </w:rPr>
        <w:t xml:space="preserve">hile </w:t>
      </w:r>
      <w:bookmarkStart w:id="1" w:name="_Hlk217657733"/>
      <w:r w:rsidRPr="006C2778">
        <w:rPr>
          <w:color w:val="000000"/>
        </w:rPr>
        <w:t xml:space="preserve">archetype-based agent </w:t>
      </w:r>
      <w:bookmarkEnd w:id="1"/>
      <w:r w:rsidRPr="006C2778">
        <w:rPr>
          <w:color w:val="000000"/>
        </w:rPr>
        <w:t>representations</w:t>
      </w:r>
      <w:r w:rsidR="0049671F">
        <w:rPr>
          <w:color w:val="000000"/>
        </w:rPr>
        <w:t xml:space="preserve"> </w:t>
      </w:r>
      <w:r w:rsidR="0049671F">
        <w:rPr>
          <w:color w:val="000000"/>
        </w:rPr>
        <w:fldChar w:fldCharType="begin"/>
      </w:r>
      <w:r w:rsidR="00C42DB3">
        <w:rPr>
          <w:color w:val="000000"/>
        </w:rPr>
        <w:instrText xml:space="preserve"> ADDIN ZOTERO_ITEM CSL_CITATION {"citationID":"ka3HVTzA","properties":{"formattedCitation":"(F. Chen et al., 2014)","plainCitation":"(F. Chen et al., 2014)","noteIndex":0},"citationItems":[{"id":"ueiO9W5d/poz8UHmY","uris":["http://zotero.org/users/local/fUjRzi5I/items/WJTKCRLV"],"itemData":{"id":63,"type":"article-journal","abstract":"Due to the rapid development, Internet has become the main field for brand building. Under this circumstance, the image of the brand is always consistent with the consumers' perception. Therefore, this study uses the method of text mining of search engine to explore the categories of brand archetype based on Brand Personality Theory from the perspective of Internet. The results find that 12 brand archetypes, including caregiver, sage, hero, innocent, dominator, creator, vitality, explorer, stylish woman, lover, cooperator, and vogue gentleman, have a high degree explanation. Deeper study uses case study to verify the reasonability and effectiveness of the classification standard.","container-title":"China Communications","DOI":"10.1109/CC.2014.6895394","ISSN":"1673-5447","issue":"7","page":"153-160","source":"IEEE Xplore","title":"Study on classification of personality-based brand archetype from the perspective of internet","volume":"11","author":[{"family":"Chen","given":"Fei"},{"family":"Yue","given":"Xin"},{"family":"Yang","given":"Xuecheng"},{"family":"Ge","given":"Tingting"}],"issued":{"date-parts":[["2014",7]]}}}],"schema":"https://github.com/citation-style-language/schema/raw/master/csl-citation.json"} </w:instrText>
      </w:r>
      <w:r w:rsidR="0049671F">
        <w:rPr>
          <w:color w:val="000000"/>
        </w:rPr>
        <w:fldChar w:fldCharType="separate"/>
      </w:r>
      <w:r w:rsidR="0049671F">
        <w:rPr>
          <w:noProof/>
          <w:color w:val="000000"/>
        </w:rPr>
        <w:t>(F. Chen et al., 2014)</w:t>
      </w:r>
      <w:r w:rsidR="0049671F">
        <w:rPr>
          <w:color w:val="000000"/>
        </w:rPr>
        <w:fldChar w:fldCharType="end"/>
      </w:r>
      <w:r w:rsidR="004A56D0" w:rsidRPr="004A56D0">
        <w:rPr>
          <w:color w:val="000000"/>
        </w:rPr>
        <w:t>, i.e., groups of agents sharing similar decision-making patterns and response behaviors,</w:t>
      </w:r>
      <w:r w:rsidRPr="006C2778">
        <w:rPr>
          <w:color w:val="000000"/>
        </w:rPr>
        <w:t xml:space="preserve"> are used in </w:t>
      </w:r>
      <w:r w:rsidR="008C3E1F">
        <w:rPr>
          <w:color w:val="000000"/>
        </w:rPr>
        <w:t>our</w:t>
      </w:r>
      <w:r w:rsidRPr="006C2778">
        <w:rPr>
          <w:color w:val="000000"/>
        </w:rPr>
        <w:t xml:space="preserve"> case study</w:t>
      </w:r>
      <w:r w:rsidR="001649E3">
        <w:rPr>
          <w:color w:val="000000"/>
        </w:rPr>
        <w:t xml:space="preserve"> (Section 3)</w:t>
      </w:r>
      <w:r w:rsidRPr="006C2778">
        <w:rPr>
          <w:color w:val="000000"/>
        </w:rPr>
        <w:t>, the framework equally supports alternative forms of behavioral representation, including rule-based agents, cognitive architectures, probabilistic decision models, or hybrid approaches, depending on the modeling objectives and available data.</w:t>
      </w:r>
    </w:p>
    <w:p w14:paraId="26CB606D" w14:textId="3558D626" w:rsidR="00260FA4" w:rsidRPr="006C2778" w:rsidRDefault="00260FA4" w:rsidP="00260FA4">
      <w:pPr>
        <w:pBdr>
          <w:top w:val="nil"/>
          <w:left w:val="nil"/>
          <w:bottom w:val="nil"/>
          <w:right w:val="nil"/>
          <w:between w:val="nil"/>
        </w:pBdr>
        <w:rPr>
          <w:color w:val="000000"/>
        </w:rPr>
      </w:pPr>
      <w:r w:rsidRPr="001649E3">
        <w:rPr>
          <w:i/>
          <w:iCs/>
          <w:color w:val="000000"/>
        </w:rPr>
        <w:t>Behavioral Representation</w:t>
      </w:r>
      <w:r w:rsidRPr="006C2778">
        <w:rPr>
          <w:color w:val="000000"/>
        </w:rPr>
        <w:t xml:space="preserve"> comprises four processes:</w:t>
      </w:r>
    </w:p>
    <w:p w14:paraId="633EF0DD" w14:textId="705E9B07" w:rsidR="00260FA4" w:rsidRPr="006C2778" w:rsidRDefault="00260FA4" w:rsidP="00260FA4">
      <w:pPr>
        <w:numPr>
          <w:ilvl w:val="0"/>
          <w:numId w:val="5"/>
        </w:numPr>
        <w:pBdr>
          <w:top w:val="nil"/>
          <w:left w:val="nil"/>
          <w:bottom w:val="nil"/>
          <w:right w:val="nil"/>
          <w:between w:val="nil"/>
        </w:pBdr>
        <w:rPr>
          <w:color w:val="000000"/>
        </w:rPr>
      </w:pPr>
      <w:r w:rsidRPr="001649E3">
        <w:rPr>
          <w:b/>
          <w:bCs/>
          <w:i/>
          <w:iCs/>
          <w:color w:val="000000"/>
        </w:rPr>
        <w:t>Behavioral Variable Extraction</w:t>
      </w:r>
      <w:r w:rsidRPr="006C2778">
        <w:rPr>
          <w:color w:val="000000"/>
        </w:rPr>
        <w:t xml:space="preserve"> </w:t>
      </w:r>
      <w:r w:rsidR="004935F7" w:rsidRPr="004935F7">
        <w:rPr>
          <w:color w:val="000000"/>
        </w:rPr>
        <w:t xml:space="preserve">translates survey responses and contextual attributes into model-relevant behavioral variables that directly inform decision logic in simulation. These variables capture vulnerabilities and risk perception, social orientation, access to resources, behavioral intentionality, and other related </w:t>
      </w:r>
      <w:r w:rsidR="004935F7">
        <w:rPr>
          <w:color w:val="000000"/>
        </w:rPr>
        <w:t>factors</w:t>
      </w:r>
      <w:r w:rsidR="004935F7" w:rsidRPr="004935F7">
        <w:rPr>
          <w:color w:val="000000"/>
        </w:rPr>
        <w:t xml:space="preserve"> </w:t>
      </w:r>
      <w:r w:rsidR="00EE5E94">
        <w:rPr>
          <w:color w:val="000000"/>
        </w:rPr>
        <w:t>shaping</w:t>
      </w:r>
      <w:r w:rsidR="004935F7" w:rsidRPr="004935F7">
        <w:rPr>
          <w:color w:val="000000"/>
        </w:rPr>
        <w:t xml:space="preserve"> action. This step ensures traceability between observed behavioral patterns and their representation.</w:t>
      </w:r>
    </w:p>
    <w:p w14:paraId="00AB4221" w14:textId="15C717C2" w:rsidR="00260FA4" w:rsidRPr="006C2778" w:rsidRDefault="00260FA4" w:rsidP="00260FA4">
      <w:pPr>
        <w:numPr>
          <w:ilvl w:val="0"/>
          <w:numId w:val="5"/>
        </w:numPr>
        <w:pBdr>
          <w:top w:val="nil"/>
          <w:left w:val="nil"/>
          <w:bottom w:val="nil"/>
          <w:right w:val="nil"/>
          <w:between w:val="nil"/>
        </w:pBdr>
        <w:rPr>
          <w:color w:val="000000"/>
        </w:rPr>
      </w:pPr>
      <w:r w:rsidRPr="001649E3">
        <w:rPr>
          <w:b/>
          <w:bCs/>
          <w:i/>
          <w:iCs/>
          <w:color w:val="000000"/>
        </w:rPr>
        <w:t>Data-Driven Behavioral Model Construction</w:t>
      </w:r>
      <w:r w:rsidRPr="006C2778">
        <w:rPr>
          <w:color w:val="000000"/>
        </w:rPr>
        <w:t xml:space="preserve"> uses the extracted variables to construct behavioral representations through clustering, classification, rule induction, or probabilistic modeling techniques. These representations may take the form of behavioral types, decision profiles, response functions, or cognitive structures, depending on the chosen modeling paradigm and simulation requirements</w:t>
      </w:r>
      <w:r w:rsidR="0011479A">
        <w:rPr>
          <w:color w:val="000000"/>
        </w:rPr>
        <w:t>.</w:t>
      </w:r>
    </w:p>
    <w:p w14:paraId="4514986C" w14:textId="1207DA33" w:rsidR="00260FA4" w:rsidRPr="006C2778" w:rsidRDefault="00260FA4" w:rsidP="00260FA4">
      <w:pPr>
        <w:numPr>
          <w:ilvl w:val="0"/>
          <w:numId w:val="5"/>
        </w:numPr>
        <w:pBdr>
          <w:top w:val="nil"/>
          <w:left w:val="nil"/>
          <w:bottom w:val="nil"/>
          <w:right w:val="nil"/>
          <w:between w:val="nil"/>
        </w:pBdr>
        <w:rPr>
          <w:color w:val="000000"/>
        </w:rPr>
      </w:pPr>
      <w:r w:rsidRPr="001649E3">
        <w:rPr>
          <w:b/>
          <w:bCs/>
          <w:i/>
          <w:iCs/>
          <w:color w:val="000000"/>
        </w:rPr>
        <w:t>Calibration and Validation</w:t>
      </w:r>
      <w:r w:rsidRPr="006C2778">
        <w:rPr>
          <w:color w:val="000000"/>
        </w:rPr>
        <w:t xml:space="preserve"> aligns the behavioral representations with empirical observations, expert judgment, and </w:t>
      </w:r>
      <w:r w:rsidR="008D4689" w:rsidRPr="008D4689">
        <w:rPr>
          <w:color w:val="000000"/>
        </w:rPr>
        <w:t>aggregate behavior patterns</w:t>
      </w:r>
      <w:r w:rsidRPr="006C2778">
        <w:rPr>
          <w:color w:val="000000"/>
        </w:rPr>
        <w:t xml:space="preserve">. Calibration procedures adjust behavioral parameters to ensure realism, while validation assesses the internal consistency of behavioral logic and the plausibility of resulting population-level dynamics under scenario conditions. </w:t>
      </w:r>
    </w:p>
    <w:p w14:paraId="4228360F" w14:textId="77777777" w:rsidR="00260FA4" w:rsidRPr="006C2778" w:rsidRDefault="00260FA4" w:rsidP="00260FA4">
      <w:pPr>
        <w:numPr>
          <w:ilvl w:val="0"/>
          <w:numId w:val="5"/>
        </w:numPr>
        <w:pBdr>
          <w:top w:val="nil"/>
          <w:left w:val="nil"/>
          <w:bottom w:val="nil"/>
          <w:right w:val="nil"/>
          <w:between w:val="nil"/>
        </w:pBdr>
        <w:rPr>
          <w:color w:val="000000"/>
        </w:rPr>
      </w:pPr>
      <w:r w:rsidRPr="001649E3">
        <w:rPr>
          <w:b/>
          <w:bCs/>
          <w:i/>
          <w:iCs/>
          <w:color w:val="000000"/>
        </w:rPr>
        <w:t>Adaptive Refinement through Feedback</w:t>
      </w:r>
      <w:r w:rsidRPr="006C2778">
        <w:rPr>
          <w:color w:val="000000"/>
        </w:rPr>
        <w:t xml:space="preserve"> enables the continuous adaptation of behavioral representations as new data become available, scenarios evolve, or discrepancies emerge between simulated and observed outcomes. Insights from simulation outputs, stakeholder evaluation, and empirical updates are fed back into earlier stages, supporting progressive model refinement over time. </w:t>
      </w:r>
    </w:p>
    <w:p w14:paraId="2C7C584E" w14:textId="1C6A760B" w:rsidR="006B60FA" w:rsidRPr="006C2778" w:rsidRDefault="006B60FA" w:rsidP="00260FA4">
      <w:pPr>
        <w:pBdr>
          <w:top w:val="nil"/>
          <w:left w:val="nil"/>
          <w:bottom w:val="nil"/>
          <w:right w:val="nil"/>
          <w:between w:val="nil"/>
        </w:pBdr>
        <w:rPr>
          <w:color w:val="000000"/>
        </w:rPr>
      </w:pPr>
      <w:bookmarkStart w:id="2" w:name="OLE_LINK1"/>
      <w:r w:rsidRPr="006B60FA">
        <w:rPr>
          <w:color w:val="000000"/>
        </w:rPr>
        <w:t>In summary, by linking scenario definitions, empirical data, and formal behavioral models within an iterative feedback loop, the Behavioral Representation stage enables the deployment of transferable, simulation-ready HBMs for crisis risk management applications.</w:t>
      </w:r>
    </w:p>
    <w:p w14:paraId="56311C6B" w14:textId="79E0A3E4" w:rsidR="00260FA4" w:rsidRPr="006C2778" w:rsidRDefault="00260FA4" w:rsidP="00260FA4">
      <w:pPr>
        <w:pStyle w:val="Heading1"/>
      </w:pPr>
      <w:r w:rsidRPr="006C2778">
        <w:t xml:space="preserve">FRAMEWORK APPLICATION IN EGALEO, GREECE </w:t>
      </w:r>
    </w:p>
    <w:bookmarkEnd w:id="2"/>
    <w:p w14:paraId="73FD959D" w14:textId="3D854EE8" w:rsidR="00E02C4D" w:rsidRPr="006C2778" w:rsidRDefault="00E02C4D" w:rsidP="00260FA4">
      <w:pPr>
        <w:pBdr>
          <w:top w:val="nil"/>
          <w:left w:val="nil"/>
          <w:bottom w:val="nil"/>
          <w:right w:val="nil"/>
          <w:between w:val="nil"/>
        </w:pBdr>
        <w:rPr>
          <w:color w:val="000000"/>
        </w:rPr>
      </w:pPr>
      <w:r w:rsidRPr="00E02C4D">
        <w:rPr>
          <w:color w:val="000000"/>
        </w:rPr>
        <w:t xml:space="preserve">This section describes how the proposed framework was applied to the case study of Egaleo, Greece, a dense urban municipality exposed to both seismic and extreme heat risks. The framework was used as a methodological pipeline to elicit, structure, and operationalize HBMs under real-world crisis conditions through close collaboration with local authorities, civil protection actors, and domain experts. Following the three stages introduced in Section 2, we first co-developed participatory scenarios that reflected the local multi-hazard context, population characteristics, and decision environments. These scenarios were then translated into empirical data through survey design and living dataset construction. Finally, the resulting data were used to derive formal behavioral representations. </w:t>
      </w:r>
      <w:r w:rsidR="00944866" w:rsidRPr="00944866">
        <w:rPr>
          <w:color w:val="000000"/>
          <w:highlight w:val="yellow"/>
        </w:rPr>
        <w:t>It should be noted here that t</w:t>
      </w:r>
      <w:r w:rsidRPr="00944866">
        <w:rPr>
          <w:color w:val="000000"/>
          <w:highlight w:val="yellow"/>
        </w:rPr>
        <w:t xml:space="preserve">he framework is applied end-to-end for the earthquake </w:t>
      </w:r>
      <w:r w:rsidR="009E2344" w:rsidRPr="00944866">
        <w:rPr>
          <w:color w:val="000000"/>
          <w:highlight w:val="yellow"/>
        </w:rPr>
        <w:t>hazard</w:t>
      </w:r>
      <w:r w:rsidRPr="00944866">
        <w:rPr>
          <w:color w:val="000000"/>
          <w:highlight w:val="yellow"/>
        </w:rPr>
        <w:t>, while for the heatwave scenario, it is applied up to the scenario building and survey design stages, providing a basis for future HBM elicitation.</w:t>
      </w:r>
      <w:r w:rsidR="009E2344" w:rsidRPr="00944866">
        <w:rPr>
          <w:color w:val="000000"/>
          <w:highlight w:val="yellow"/>
        </w:rPr>
        <w:t xml:space="preserve"> The heatwave case, therefore, serves </w:t>
      </w:r>
      <w:r w:rsidR="004A2960">
        <w:rPr>
          <w:color w:val="000000"/>
          <w:highlight w:val="yellow"/>
        </w:rPr>
        <w:t xml:space="preserve">only </w:t>
      </w:r>
      <w:r w:rsidR="009E2344" w:rsidRPr="00944866">
        <w:rPr>
          <w:color w:val="000000"/>
          <w:highlight w:val="yellow"/>
        </w:rPr>
        <w:t>to illustrate the hazard-agnostic structure of the framework and its capacity to support future HBM elicitation across risk contexts.</w:t>
      </w:r>
    </w:p>
    <w:p w14:paraId="6415B1B3" w14:textId="0516A9C7" w:rsidR="00260FA4" w:rsidRPr="006C2778" w:rsidRDefault="00260FA4" w:rsidP="00260FA4">
      <w:pPr>
        <w:pStyle w:val="Heading2"/>
        <w:jc w:val="both"/>
      </w:pPr>
      <w:r w:rsidRPr="006C2778">
        <w:t xml:space="preserve">Participatory </w:t>
      </w:r>
      <w:r w:rsidR="001649E3">
        <w:t>S</w:t>
      </w:r>
      <w:r w:rsidRPr="006C2778">
        <w:t xml:space="preserve">cenario </w:t>
      </w:r>
      <w:r w:rsidR="001649E3">
        <w:t>B</w:t>
      </w:r>
      <w:r w:rsidRPr="006C2778">
        <w:t>uilding in Egaleo</w:t>
      </w:r>
    </w:p>
    <w:p w14:paraId="0DE84270" w14:textId="1C373B80" w:rsidR="00951C7D" w:rsidRDefault="00951C7D" w:rsidP="008C4EB4">
      <w:pPr>
        <w:pBdr>
          <w:top w:val="nil"/>
          <w:left w:val="nil"/>
          <w:bottom w:val="nil"/>
          <w:right w:val="nil"/>
          <w:between w:val="nil"/>
        </w:pBdr>
        <w:rPr>
          <w:color w:val="000000"/>
        </w:rPr>
      </w:pPr>
      <w:r w:rsidRPr="00951C7D">
        <w:rPr>
          <w:i/>
          <w:iCs/>
          <w:color w:val="000000"/>
        </w:rPr>
        <w:t>Participatory Scenario Building</w:t>
      </w:r>
      <w:r w:rsidRPr="00951C7D">
        <w:rPr>
          <w:color w:val="000000"/>
        </w:rPr>
        <w:t xml:space="preserve"> in Egaleo applied the three dimensions defined in Section 2 (i.e., </w:t>
      </w:r>
      <w:r w:rsidRPr="00951C7D">
        <w:rPr>
          <w:i/>
          <w:iCs/>
          <w:color w:val="000000"/>
        </w:rPr>
        <w:t>environmental and system context</w:t>
      </w:r>
      <w:r w:rsidRPr="00951C7D">
        <w:rPr>
          <w:color w:val="000000"/>
        </w:rPr>
        <w:t xml:space="preserve">, </w:t>
      </w:r>
      <w:r w:rsidRPr="00951C7D">
        <w:rPr>
          <w:i/>
          <w:iCs/>
          <w:color w:val="000000"/>
        </w:rPr>
        <w:t>population and social diversity</w:t>
      </w:r>
      <w:r w:rsidRPr="00951C7D">
        <w:rPr>
          <w:color w:val="000000"/>
        </w:rPr>
        <w:t xml:space="preserve">, and the </w:t>
      </w:r>
      <w:r w:rsidRPr="00951C7D">
        <w:rPr>
          <w:i/>
          <w:iCs/>
          <w:color w:val="000000"/>
        </w:rPr>
        <w:t>behavioral and decision environment</w:t>
      </w:r>
      <w:r w:rsidRPr="00951C7D">
        <w:rPr>
          <w:color w:val="000000"/>
        </w:rPr>
        <w:t xml:space="preserve">) within an iterative co-creation process (see Figure 1). In this stage, the hazard and system constraints were first characterized, and the demographic and social heterogeneity of the study area was formalized. Building on these foundations, the behavioral and decision environment was structured through successive refinements of response </w:t>
      </w:r>
      <w:r w:rsidRPr="00951C7D">
        <w:rPr>
          <w:color w:val="000000"/>
        </w:rPr>
        <w:lastRenderedPageBreak/>
        <w:t>assumptions. Rather than producing a single static scenario, this process supported progressive elaboration of evacuation behavior. Specifically, for the earthquake scenario, development progressed as follows:</w:t>
      </w:r>
    </w:p>
    <w:p w14:paraId="76F6DFAF" w14:textId="77777777" w:rsidR="0074544F" w:rsidRPr="0074544F" w:rsidRDefault="0074544F" w:rsidP="0074544F">
      <w:pPr>
        <w:pStyle w:val="ListParagraph"/>
        <w:numPr>
          <w:ilvl w:val="0"/>
          <w:numId w:val="7"/>
        </w:numPr>
        <w:pBdr>
          <w:top w:val="nil"/>
          <w:left w:val="nil"/>
          <w:bottom w:val="nil"/>
          <w:right w:val="nil"/>
          <w:between w:val="nil"/>
        </w:pBdr>
        <w:rPr>
          <w:color w:val="000000"/>
        </w:rPr>
      </w:pPr>
      <w:r w:rsidRPr="0074544F">
        <w:rPr>
          <w:b/>
          <w:bCs/>
          <w:color w:val="000000"/>
        </w:rPr>
        <w:t>Baseline scenario</w:t>
      </w:r>
      <w:r w:rsidRPr="0074544F">
        <w:rPr>
          <w:color w:val="000000"/>
        </w:rPr>
        <w:t xml:space="preserve">: all individuals comply with evacuation protocols. </w:t>
      </w:r>
    </w:p>
    <w:p w14:paraId="4B720E77" w14:textId="77777777" w:rsidR="0074544F" w:rsidRPr="0074544F" w:rsidRDefault="0074544F" w:rsidP="0074544F">
      <w:pPr>
        <w:pStyle w:val="ListParagraph"/>
        <w:numPr>
          <w:ilvl w:val="0"/>
          <w:numId w:val="7"/>
        </w:numPr>
        <w:pBdr>
          <w:top w:val="nil"/>
          <w:left w:val="nil"/>
          <w:bottom w:val="nil"/>
          <w:right w:val="nil"/>
          <w:between w:val="nil"/>
        </w:pBdr>
        <w:rPr>
          <w:color w:val="000000"/>
        </w:rPr>
      </w:pPr>
      <w:r w:rsidRPr="0074544F">
        <w:rPr>
          <w:b/>
          <w:bCs/>
          <w:color w:val="000000"/>
        </w:rPr>
        <w:t>Capacity-aware scenario</w:t>
      </w:r>
      <w:r w:rsidRPr="0074544F">
        <w:rPr>
          <w:color w:val="000000"/>
        </w:rPr>
        <w:t xml:space="preserve">: compliance is maintained, and capacity limits at evacuation centers are introduced. </w:t>
      </w:r>
    </w:p>
    <w:p w14:paraId="65FB163E" w14:textId="77777777" w:rsidR="0074544F" w:rsidRPr="0074544F" w:rsidRDefault="0074544F" w:rsidP="0074544F">
      <w:pPr>
        <w:pStyle w:val="ListParagraph"/>
        <w:numPr>
          <w:ilvl w:val="0"/>
          <w:numId w:val="7"/>
        </w:numPr>
        <w:pBdr>
          <w:top w:val="nil"/>
          <w:left w:val="nil"/>
          <w:bottom w:val="nil"/>
          <w:right w:val="nil"/>
          <w:between w:val="nil"/>
        </w:pBdr>
        <w:rPr>
          <w:color w:val="000000"/>
        </w:rPr>
      </w:pPr>
      <w:r w:rsidRPr="0074544F">
        <w:rPr>
          <w:b/>
          <w:bCs/>
          <w:color w:val="000000"/>
        </w:rPr>
        <w:t>Behavior-informed scenario</w:t>
      </w:r>
      <w:r w:rsidRPr="0074544F">
        <w:rPr>
          <w:color w:val="000000"/>
        </w:rPr>
        <w:t xml:space="preserve">: compliance assumptions are relaxed by integrating evacuation archetypes into the agent-based simulations. </w:t>
      </w:r>
    </w:p>
    <w:p w14:paraId="733E4E44" w14:textId="75142A51" w:rsidR="0074544F" w:rsidRPr="0074544F" w:rsidRDefault="0074544F" w:rsidP="0074544F">
      <w:pPr>
        <w:pBdr>
          <w:top w:val="nil"/>
          <w:left w:val="nil"/>
          <w:bottom w:val="nil"/>
          <w:right w:val="nil"/>
          <w:between w:val="nil"/>
        </w:pBdr>
        <w:rPr>
          <w:color w:val="000000"/>
        </w:rPr>
      </w:pPr>
      <w:r w:rsidRPr="0074544F">
        <w:rPr>
          <w:color w:val="000000"/>
        </w:rPr>
        <w:t>Scenarios were further updated based on stakeholder feedback</w:t>
      </w:r>
      <w:r w:rsidR="00DA2615">
        <w:rPr>
          <w:color w:val="000000"/>
        </w:rPr>
        <w:t xml:space="preserve"> on the simulation results</w:t>
      </w:r>
      <w:r w:rsidRPr="0074544F">
        <w:rPr>
          <w:color w:val="000000"/>
        </w:rPr>
        <w:t>. For example, an initially assumed downtown green space was removed as a safety location due to expert concerns about tree density. Additional refinements reflected municipal priorities, such as testing evacuation outcomes when residents were pre-informed about designated safe locations.</w:t>
      </w:r>
      <w:r w:rsidR="00951C7D">
        <w:rPr>
          <w:color w:val="000000"/>
        </w:rPr>
        <w:t xml:space="preserve"> </w:t>
      </w:r>
      <w:r w:rsidR="00951C7D" w:rsidRPr="00951C7D">
        <w:rPr>
          <w:color w:val="000000"/>
        </w:rPr>
        <w:t>The process through which these scenario components were defined and refined across the three dimensions is described in detail below.</w:t>
      </w:r>
    </w:p>
    <w:p w14:paraId="06A490C2" w14:textId="3E30DF37" w:rsidR="00170A30" w:rsidRDefault="00C92828" w:rsidP="00260FA4">
      <w:pPr>
        <w:pBdr>
          <w:top w:val="nil"/>
          <w:left w:val="nil"/>
          <w:bottom w:val="nil"/>
          <w:right w:val="nil"/>
          <w:between w:val="nil"/>
        </w:pBdr>
        <w:rPr>
          <w:color w:val="000000"/>
        </w:rPr>
      </w:pPr>
      <w:r w:rsidRPr="001649E3">
        <w:rPr>
          <w:i/>
          <w:iCs/>
          <w:color w:val="000000"/>
        </w:rPr>
        <w:t>Environmental and System Context</w:t>
      </w:r>
      <w:r w:rsidRPr="00C92828">
        <w:rPr>
          <w:color w:val="000000"/>
        </w:rPr>
        <w:t xml:space="preserve"> characterizes both the hazard stressor and the system within which behavior unfolds. For the earthquake scenario, the 7 September 1999 Athens earthquake </w:t>
      </w:r>
      <w:r w:rsidRPr="006C2778">
        <w:rPr>
          <w:color w:val="000000"/>
        </w:rPr>
        <w:fldChar w:fldCharType="begin"/>
      </w:r>
      <w:r w:rsidR="00C42DB3">
        <w:rPr>
          <w:color w:val="000000"/>
        </w:rPr>
        <w:instrText xml:space="preserve"> ADDIN ZOTERO_ITEM CSL_CITATION {"citationID":"gUcUkYTW","properties":{"formattedCitation":"(Lekkas, 2001)","plainCitation":"(Lekkas, 2001)","noteIndex":0},"citationItems":[{"id":"ueiO9W5d/3nsduX4u","uris":["http://zotero.org/users/local/fUjRzi5I/items/HFC5CVEI"],"itemData":{"id":38,"type":"article-journal","abstract":"The Athens earthquake, Ms=5.9, that occurred on 7th September 1999 with epicenter located at the southern flank of Mount Parnitha (Greece, Attiki) according to instrumental data, is attributed to the reactivation of an ESE–WNW south- dipping fault without surficial expression. The earthquake caused a large number of casualties and extensive damage within an extended area. Damage displayed significant differentiation from place to place, as well as a peculiar geographic distribution. Based on geological, tectonic and morphological characteristics of the affected area and on the elaboration of damage recordings for intensity evaluation, it can be safely suggested that intensity distribution was the result of the combination of a number of parameters both on macro and microscale. On the macroscale, the parameters are the strike of the seismogenic fault, seismic wave directivity effects and to an old NNE–SSW tectonic structure, and they are also responsible for the maximum intensity arrangement in two perpendicular directions ESE–WNW and NNE–SSW. On the microscale, site foundation formations, old tectonic structures buried under recent formations and morphology are the parameters that differentiated intensities within the affected area.","container-title":"Engineering Geology","DOI":"10.1016/S0013-7952(00)00119-8","ISSN":"0013-7952","issue":"3","journalAbbreviation":"Engineering Geology","page":"297-311","source":"ScienceDirect","title":"The Athens earthquake (7 September 1999): intensity distribution and controlling factors","title-short":"The Athens earthquake (7 September 1999)","volume":"59","author":[{"family":"Lekkas","given":"E."}],"issued":{"date-parts":[["2001",4,1]]}}}],"schema":"https://github.com/citation-style-language/schema/raw/master/csl-citation.json"} </w:instrText>
      </w:r>
      <w:r w:rsidRPr="006C2778">
        <w:rPr>
          <w:color w:val="000000"/>
        </w:rPr>
        <w:fldChar w:fldCharType="separate"/>
      </w:r>
      <w:r w:rsidRPr="006C2778">
        <w:rPr>
          <w:color w:val="000000"/>
        </w:rPr>
        <w:t>(Lekkas, 2001)</w:t>
      </w:r>
      <w:r w:rsidRPr="006C2778">
        <w:rPr>
          <w:color w:val="000000"/>
        </w:rPr>
        <w:fldChar w:fldCharType="end"/>
      </w:r>
      <w:r w:rsidRPr="000A19D5">
        <w:rPr>
          <w:color w:val="000000"/>
        </w:rPr>
        <w:t xml:space="preserve"> </w:t>
      </w:r>
      <w:r w:rsidRPr="00C92828">
        <w:rPr>
          <w:color w:val="000000"/>
        </w:rPr>
        <w:t xml:space="preserve">was adopted as the reference event, providing </w:t>
      </w:r>
      <w:r w:rsidRPr="00C92828">
        <w:rPr>
          <w:i/>
          <w:iCs/>
          <w:color w:val="000000"/>
        </w:rPr>
        <w:t>stressor characterization</w:t>
      </w:r>
      <w:r w:rsidRPr="00C92828">
        <w:rPr>
          <w:color w:val="000000"/>
        </w:rPr>
        <w:t xml:space="preserve"> through locally relevant shaking intensity patterns derived from the USGS ShakeMap (Figures 2</w:t>
      </w:r>
      <w:r>
        <w:rPr>
          <w:color w:val="000000"/>
        </w:rPr>
        <w:t xml:space="preserve"> (</w:t>
      </w:r>
      <w:r w:rsidRPr="00C92828">
        <w:rPr>
          <w:color w:val="000000"/>
        </w:rPr>
        <w:t>a</w:t>
      </w:r>
      <w:r>
        <w:rPr>
          <w:color w:val="000000"/>
        </w:rPr>
        <w:t>)</w:t>
      </w:r>
      <w:r w:rsidRPr="00C92828">
        <w:rPr>
          <w:color w:val="000000"/>
        </w:rPr>
        <w:t>–</w:t>
      </w:r>
      <w:r>
        <w:rPr>
          <w:color w:val="000000"/>
        </w:rPr>
        <w:t>(</w:t>
      </w:r>
      <w:r w:rsidRPr="00C92828">
        <w:rPr>
          <w:color w:val="000000"/>
        </w:rPr>
        <w:t>b)</w:t>
      </w:r>
      <w:r>
        <w:rPr>
          <w:color w:val="000000"/>
        </w:rPr>
        <w:t>)</w:t>
      </w:r>
      <w:r w:rsidRPr="00C92828">
        <w:rPr>
          <w:color w:val="000000"/>
        </w:rPr>
        <w:t xml:space="preserve">. These intensity patterns were translated into neighborhood-scale building damage estimates using the model </w:t>
      </w:r>
      <w:r w:rsidR="00A05F70">
        <w:rPr>
          <w:color w:val="000000"/>
        </w:rPr>
        <w:t>proposed by</w:t>
      </w:r>
      <w:r w:rsidRPr="00C92828">
        <w:rPr>
          <w:color w:val="000000"/>
        </w:rPr>
        <w:t xml:space="preserve"> </w:t>
      </w:r>
      <w:r w:rsidRPr="006C2778">
        <w:rPr>
          <w:color w:val="000000"/>
        </w:rPr>
        <w:fldChar w:fldCharType="begin"/>
      </w:r>
      <w:r w:rsidR="00C42DB3">
        <w:rPr>
          <w:color w:val="000000"/>
        </w:rPr>
        <w:instrText xml:space="preserve"> ADDIN ZOTERO_ITEM CSL_CITATION {"citationID":"qJei08r1","properties":{"formattedCitation":"(Iskandar et al., 2023)","plainCitation":"(Iskandar et al., 2023)","noteIndex":0},"citationItems":[{"id":"ueiO9W5d/6uwnnE4D","uris":["http://zotero.org/users/local/fUjRzi5I/items/DHWHZURE"],"itemData":{"id":42,"type":"article-journal","abstract":"The estimation of seismic damages and debris at the urban scale—at a building-by-building level- is challenging for several reasons. First, commonly used methodologies for seismic damage estimation rarely take into account the local site effects, precisely at the building-level. Second, the available methods for debris estimation fail to estimate at the same time the quantity of debris generated per building according to its damage level and the distribution of the debris (extent and height) around buildings. Finally, the lack of comprehensive data on the building stock and the relevant building properties and their taxonomy further increases the complexity of assessing possible earthquake consequences at an urban scale. This paper addresses these challenges and proposes improvements to the assessment of seismic damages and debris from building-level simulations, along with the development of a 3D building model based on satellite images and heterogeneous data. These developments, applied to the city of Beirut, Lebanon, highlight the control of the site effects on the seismic damage’s spatial distribution throughout the city and the large volume and extent of debris to be expected in the city for a strong earthquake.","container-title":"Bulletin of Earthquake Engineering","DOI":"10.1007/s10518-023-01768-x","ISSN":"1573-1456","issue":"13","journalAbbreviation":"Bull Earthquake Eng","language":"en","page":"5949-5990","source":"Springer Link","title":"Estimating urban seismic damages and debris from building-level simulations: application to the city of Beirut, Lebanon","title-short":"Estimating urban seismic damages and debris from building-level simulations","volume":"21","author":[{"family":"Iskandar","given":"Rouba"},{"family":"Al Tfaily","given":"Bilal"},{"family":"Cornou","given":"Cécile"},{"family":"Bard","given":"Pierre-Yves"},{"family":"Guillier","given":"Bertrand"},{"family":"Harb","given":"Jacques"},{"family":"Lacroix","given":"Pascal"},{"family":"Adjizian-Gérard","given":"Jocelyne"},{"family":"Beck","given":"Elise"},{"family":"Dugdale","given":"Julie"},{"family":"Salameh","given":"Christelle"},{"family":"Saliba","given":"Nada"},{"family":"Zaarour","given":"Rita"}],"issued":{"date-parts":[["2023",10,1]]}}}],"schema":"https://github.com/citation-style-language/schema/raw/master/csl-citation.json"} </w:instrText>
      </w:r>
      <w:r w:rsidRPr="006C2778">
        <w:rPr>
          <w:color w:val="000000"/>
        </w:rPr>
        <w:fldChar w:fldCharType="separate"/>
      </w:r>
      <w:r w:rsidRPr="006C2778">
        <w:rPr>
          <w:color w:val="000000"/>
        </w:rPr>
        <w:t>(Iskandar et al., 2023)</w:t>
      </w:r>
      <w:r w:rsidRPr="006C2778">
        <w:rPr>
          <w:color w:val="000000"/>
        </w:rPr>
        <w:fldChar w:fldCharType="end"/>
      </w:r>
      <w:r>
        <w:rPr>
          <w:color w:val="000000"/>
        </w:rPr>
        <w:t xml:space="preserve">, </w:t>
      </w:r>
      <w:r w:rsidRPr="00C92828">
        <w:rPr>
          <w:color w:val="000000"/>
        </w:rPr>
        <w:t xml:space="preserve">capturing </w:t>
      </w:r>
      <w:r w:rsidRPr="00C92828">
        <w:rPr>
          <w:i/>
          <w:iCs/>
          <w:color w:val="000000"/>
        </w:rPr>
        <w:t xml:space="preserve">exposure and spatial constraints </w:t>
      </w:r>
      <w:r w:rsidRPr="00C92828">
        <w:rPr>
          <w:color w:val="000000"/>
        </w:rPr>
        <w:t xml:space="preserve">that condition movement, accessibility, and shelter availability across the </w:t>
      </w:r>
      <w:r>
        <w:rPr>
          <w:color w:val="000000"/>
        </w:rPr>
        <w:t>area</w:t>
      </w:r>
      <w:r w:rsidRPr="00C92828">
        <w:rPr>
          <w:color w:val="000000"/>
        </w:rPr>
        <w:t xml:space="preserve"> (Figure 2</w:t>
      </w:r>
      <w:r>
        <w:rPr>
          <w:color w:val="000000"/>
        </w:rPr>
        <w:t xml:space="preserve"> (</w:t>
      </w:r>
      <w:r w:rsidRPr="00C92828">
        <w:rPr>
          <w:color w:val="000000"/>
        </w:rPr>
        <w:t>c)</w:t>
      </w:r>
      <w:r>
        <w:rPr>
          <w:color w:val="000000"/>
        </w:rPr>
        <w:t>)</w:t>
      </w:r>
      <w:r w:rsidRPr="00C92828">
        <w:rPr>
          <w:color w:val="000000"/>
        </w:rPr>
        <w:t xml:space="preserve">. Differences in damage severity were further used to represent </w:t>
      </w:r>
      <w:r w:rsidRPr="00C92828">
        <w:rPr>
          <w:i/>
          <w:iCs/>
          <w:color w:val="000000"/>
        </w:rPr>
        <w:t>dynamics of disruption and recovery</w:t>
      </w:r>
      <w:r w:rsidRPr="00C92828">
        <w:rPr>
          <w:color w:val="000000"/>
        </w:rPr>
        <w:t xml:space="preserve">, reflecting heterogeneous temporal trajectories of accessibility across neighborhoods. System-level capacities were represented through assumptions on </w:t>
      </w:r>
      <w:r w:rsidRPr="00C92828">
        <w:rPr>
          <w:i/>
          <w:iCs/>
          <w:color w:val="000000"/>
        </w:rPr>
        <w:t>the functional capacity of lifelines and services</w:t>
      </w:r>
      <w:r w:rsidR="00AC59EE" w:rsidRPr="00AC59EE">
        <w:rPr>
          <w:color w:val="000000"/>
        </w:rPr>
        <w:t>, including the configuration and connectivity of road networks, emergency access routes, and the capacity of designated shelters and critical facilities.</w:t>
      </w:r>
      <w:r w:rsidRPr="00C92828">
        <w:rPr>
          <w:color w:val="000000"/>
        </w:rPr>
        <w:t xml:space="preserve"> </w:t>
      </w:r>
      <w:r w:rsidR="00170A30" w:rsidRPr="00170A30">
        <w:rPr>
          <w:i/>
          <w:iCs/>
          <w:color w:val="000000"/>
        </w:rPr>
        <w:t>Institutional rules, powers, and policies</w:t>
      </w:r>
      <w:r w:rsidR="00170A30" w:rsidRPr="00170A30">
        <w:rPr>
          <w:color w:val="000000"/>
        </w:rPr>
        <w:t xml:space="preserve"> were operationalized through civil protection procedures and municipal response practices, including officially designated assembly points, evacuation protocols, emergency communication strategies, and operational constraints governing access to damaged zones. </w:t>
      </w:r>
    </w:p>
    <w:p w14:paraId="7C392B73" w14:textId="40A771CE" w:rsidR="00BB71D5" w:rsidRPr="006C2778" w:rsidRDefault="00AC59EE" w:rsidP="00260FA4">
      <w:pPr>
        <w:pBdr>
          <w:top w:val="nil"/>
          <w:left w:val="nil"/>
          <w:bottom w:val="nil"/>
          <w:right w:val="nil"/>
          <w:between w:val="nil"/>
        </w:pBdr>
        <w:rPr>
          <w:color w:val="000000"/>
        </w:rPr>
      </w:pPr>
      <w:r w:rsidRPr="00AC59EE">
        <w:rPr>
          <w:color w:val="000000"/>
        </w:rPr>
        <w:t xml:space="preserve">For the heatwave scenario, documented extreme heat events affecting Athens </w:t>
      </w:r>
      <w:r w:rsidRPr="006C2778">
        <w:rPr>
          <w:color w:val="000000"/>
        </w:rPr>
        <w:fldChar w:fldCharType="begin"/>
      </w:r>
      <w:r w:rsidRPr="006C2778">
        <w:rPr>
          <w:color w:val="000000"/>
        </w:rPr>
        <w:instrText xml:space="preserve"> ADDIN ZOTERO_TEMP </w:instrText>
      </w:r>
      <w:r w:rsidRPr="006C2778">
        <w:rPr>
          <w:color w:val="000000"/>
        </w:rPr>
        <w:fldChar w:fldCharType="separate"/>
      </w:r>
      <w:r w:rsidRPr="006C2778">
        <w:rPr>
          <w:color w:val="000000"/>
        </w:rPr>
        <w:t>(Paravantis et al., 2017)</w:t>
      </w:r>
      <w:r w:rsidRPr="006C2778">
        <w:rPr>
          <w:color w:val="000000"/>
        </w:rPr>
        <w:fldChar w:fldCharType="end"/>
      </w:r>
      <w:r w:rsidRPr="006C2778">
        <w:rPr>
          <w:color w:val="000000"/>
        </w:rPr>
        <w:t xml:space="preserve"> </w:t>
      </w:r>
      <w:r w:rsidRPr="00AC59EE">
        <w:rPr>
          <w:color w:val="000000"/>
        </w:rPr>
        <w:t xml:space="preserve">were used to define the </w:t>
      </w:r>
      <w:r w:rsidRPr="00AC59EE">
        <w:rPr>
          <w:i/>
          <w:iCs/>
          <w:color w:val="000000"/>
        </w:rPr>
        <w:t>stressor characterization</w:t>
      </w:r>
      <w:r>
        <w:rPr>
          <w:color w:val="000000"/>
        </w:rPr>
        <w:t xml:space="preserve">, </w:t>
      </w:r>
      <w:r w:rsidRPr="00AC59EE">
        <w:rPr>
          <w:color w:val="000000"/>
        </w:rPr>
        <w:t xml:space="preserve">including typical heatwave durations, intensity thresholds, and multi-day accumulation effects. Through iterative interaction with experts and local stakeholders, these hazard narratives were formalized to represent </w:t>
      </w:r>
      <w:r w:rsidRPr="00AC59EE">
        <w:rPr>
          <w:i/>
          <w:iCs/>
          <w:color w:val="000000"/>
        </w:rPr>
        <w:t>dynamics of disruption and recovery</w:t>
      </w:r>
      <w:r w:rsidRPr="00AC59EE">
        <w:rPr>
          <w:color w:val="000000"/>
        </w:rPr>
        <w:t xml:space="preserve">, capturing how prolonged exposure, nighttime heat persistence, and cumulative stress influence temporal patterns of risk and response. Heatwave impacts were further structured to reflect </w:t>
      </w:r>
      <w:r w:rsidRPr="00AC59EE">
        <w:rPr>
          <w:i/>
          <w:iCs/>
          <w:color w:val="000000"/>
        </w:rPr>
        <w:t xml:space="preserve">exposure and spatial constraints </w:t>
      </w:r>
      <w:r w:rsidRPr="00AC59EE">
        <w:rPr>
          <w:color w:val="000000"/>
        </w:rPr>
        <w:t xml:space="preserve">by accounting for building quality, urban density, green space availability, and access to cooling resources. System-level response capacity was represented through assumptions on the </w:t>
      </w:r>
      <w:r w:rsidRPr="00AC59EE">
        <w:rPr>
          <w:i/>
          <w:iCs/>
          <w:color w:val="000000"/>
        </w:rPr>
        <w:t>functional capacity of lifelines and services</w:t>
      </w:r>
      <w:r w:rsidRPr="00AC59EE">
        <w:rPr>
          <w:color w:val="000000"/>
        </w:rPr>
        <w:t xml:space="preserve">, including electricity and water reliability, </w:t>
      </w:r>
      <w:r w:rsidR="00DC084C">
        <w:rPr>
          <w:color w:val="000000"/>
        </w:rPr>
        <w:t xml:space="preserve">mobility and </w:t>
      </w:r>
      <w:r w:rsidRPr="00AC59EE">
        <w:rPr>
          <w:color w:val="000000"/>
        </w:rPr>
        <w:t xml:space="preserve">public transport </w:t>
      </w:r>
      <w:r w:rsidR="00DC084C">
        <w:rPr>
          <w:color w:val="000000"/>
        </w:rPr>
        <w:t>infrastructure</w:t>
      </w:r>
      <w:r w:rsidRPr="00AC59EE">
        <w:rPr>
          <w:color w:val="000000"/>
        </w:rPr>
        <w:t xml:space="preserve">, healthcare system capacity, and the availability of cooling centers and other cooling infrastructure. </w:t>
      </w:r>
      <w:r w:rsidR="00170A30" w:rsidRPr="00170A30">
        <w:rPr>
          <w:i/>
          <w:iCs/>
          <w:color w:val="000000"/>
        </w:rPr>
        <w:t>Institutional rules, powers, and policies</w:t>
      </w:r>
      <w:r w:rsidR="00170A30" w:rsidRPr="00170A30">
        <w:rPr>
          <w:color w:val="000000"/>
        </w:rPr>
        <w:t xml:space="preserve"> were operationalized through variables reflecting emergency response preparedness, service prioritization, and operational capacity during extreme heat events.</w:t>
      </w:r>
      <w:r w:rsidRPr="00AC59EE">
        <w:rPr>
          <w:color w:val="000000"/>
        </w:rPr>
        <w:t xml:space="preserve"> </w:t>
      </w:r>
      <w:r w:rsidR="00BD7A71" w:rsidRPr="00BD7A71">
        <w:rPr>
          <w:color w:val="000000"/>
        </w:rPr>
        <w:t>In Egaleo, these included cooling centers, health and social care outreach programs, public communication protocols, mobility adjustments, and community-based assistance schemes, shaping the formal intervention environment within which residents operate.</w:t>
      </w:r>
      <w:r w:rsidR="00170A30">
        <w:rPr>
          <w:color w:val="000000"/>
        </w:rPr>
        <w:t xml:space="preserve"> </w:t>
      </w:r>
      <w:r w:rsidR="00BD7A71" w:rsidRPr="00023235">
        <w:rPr>
          <w:color w:val="000000"/>
        </w:rPr>
        <w:t xml:space="preserve">As summarized in Table 1, </w:t>
      </w:r>
      <w:r w:rsidR="004A2960">
        <w:rPr>
          <w:color w:val="000000"/>
        </w:rPr>
        <w:t xml:space="preserve">all </w:t>
      </w:r>
      <w:r w:rsidR="00BD7A71" w:rsidRPr="00023235">
        <w:rPr>
          <w:color w:val="000000"/>
        </w:rPr>
        <w:t>this structuring transformed heatwave impacts into a set of explicit, behaviorally relevant context variables.</w:t>
      </w:r>
    </w:p>
    <w:p w14:paraId="35AD2232" w14:textId="15C46EBF" w:rsidR="005A48B8" w:rsidRDefault="00DC5150" w:rsidP="00B93B85">
      <w:pPr>
        <w:pBdr>
          <w:top w:val="nil"/>
          <w:left w:val="nil"/>
          <w:bottom w:val="nil"/>
          <w:right w:val="nil"/>
          <w:between w:val="nil"/>
        </w:pBdr>
        <w:rPr>
          <w:color w:val="000000"/>
        </w:rPr>
      </w:pPr>
      <w:r w:rsidRPr="001649E3">
        <w:rPr>
          <w:i/>
          <w:iCs/>
          <w:color w:val="000000"/>
        </w:rPr>
        <w:t>Population and Social Diversity</w:t>
      </w:r>
      <w:r w:rsidRPr="00DC5150">
        <w:rPr>
          <w:color w:val="000000"/>
        </w:rPr>
        <w:t xml:space="preserve"> defines how differences in population composition</w:t>
      </w:r>
      <w:r w:rsidR="00951C7D">
        <w:rPr>
          <w:color w:val="000000"/>
        </w:rPr>
        <w:t>, distribution,</w:t>
      </w:r>
      <w:r w:rsidRPr="00DC5150">
        <w:rPr>
          <w:color w:val="000000"/>
        </w:rPr>
        <w:t xml:space="preserve"> and social conditions constrain or enable individual behavior during crises.</w:t>
      </w:r>
      <w:r w:rsidR="009F7BED">
        <w:rPr>
          <w:color w:val="000000"/>
        </w:rPr>
        <w:t xml:space="preserve"> </w:t>
      </w:r>
      <w:r w:rsidR="00BB65F6" w:rsidRPr="00BB65F6">
        <w:rPr>
          <w:color w:val="000000"/>
          <w:highlight w:val="yellow"/>
        </w:rPr>
        <w:t xml:space="preserve">In this study, we focus on the area shown in Figure 2(c), corresponding to the zone for which detailed earthquake damage estimation was conducted. This study area comprises approximately 5000 residents, for whom demographic distributions were obtained from municipal records and census data. These baseline datasets were used to parameterize the synthetic population and ensure that population-level characteristics were grounded in official statistics. Building on this foundation, the </w:t>
      </w:r>
      <w:r w:rsidR="00BB65F6" w:rsidRPr="008A6CA6">
        <w:rPr>
          <w:i/>
          <w:iCs/>
          <w:color w:val="000000"/>
          <w:highlight w:val="yellow"/>
        </w:rPr>
        <w:t xml:space="preserve">population </w:t>
      </w:r>
      <w:r w:rsidR="008A6CA6" w:rsidRPr="008A6CA6">
        <w:rPr>
          <w:i/>
          <w:iCs/>
          <w:color w:val="000000"/>
          <w:highlight w:val="yellow"/>
        </w:rPr>
        <w:t>distribution and heterogeneity</w:t>
      </w:r>
      <w:r w:rsidR="00BB65F6" w:rsidRPr="00BB65F6">
        <w:rPr>
          <w:color w:val="000000"/>
          <w:highlight w:val="yellow"/>
        </w:rPr>
        <w:t xml:space="preserve"> </w:t>
      </w:r>
      <w:r w:rsidR="008A6CA6">
        <w:rPr>
          <w:color w:val="000000"/>
          <w:highlight w:val="yellow"/>
        </w:rPr>
        <w:t xml:space="preserve">component </w:t>
      </w:r>
      <w:r w:rsidR="00BB65F6" w:rsidRPr="00BB65F6">
        <w:rPr>
          <w:color w:val="000000"/>
          <w:highlight w:val="yellow"/>
        </w:rPr>
        <w:t xml:space="preserve">was operationalized by formalizing heterogeneity through </w:t>
      </w:r>
      <w:r w:rsidR="00BB71D5">
        <w:rPr>
          <w:color w:val="000000"/>
          <w:highlight w:val="yellow"/>
        </w:rPr>
        <w:t xml:space="preserve">items like </w:t>
      </w:r>
      <w:r w:rsidR="00BB65F6" w:rsidRPr="00BB65F6">
        <w:rPr>
          <w:color w:val="000000"/>
          <w:highlight w:val="yellow"/>
        </w:rPr>
        <w:t>age, health status, income level, housing conditions, and spatial distribution.</w:t>
      </w:r>
      <w:r w:rsidR="001649E3">
        <w:rPr>
          <w:color w:val="000000"/>
        </w:rPr>
        <w:t xml:space="preserve"> </w:t>
      </w:r>
      <w:r w:rsidR="00BB71D5">
        <w:rPr>
          <w:color w:val="000000"/>
        </w:rPr>
        <w:t xml:space="preserve">Furthermore, </w:t>
      </w:r>
      <w:r w:rsidR="00951C7D">
        <w:rPr>
          <w:i/>
          <w:iCs/>
          <w:color w:val="000000"/>
        </w:rPr>
        <w:t>h</w:t>
      </w:r>
      <w:r w:rsidRPr="00DC5150">
        <w:rPr>
          <w:i/>
          <w:iCs/>
          <w:color w:val="000000"/>
        </w:rPr>
        <w:t>ousehold and living arrangements</w:t>
      </w:r>
      <w:r w:rsidRPr="00DC5150">
        <w:rPr>
          <w:color w:val="000000"/>
        </w:rPr>
        <w:t xml:space="preserve"> captured whether individuals lived alone, in family units, or in multigenerational households, shaping coordination and caregiving needs. </w:t>
      </w:r>
      <w:r w:rsidR="00BB65F6">
        <w:rPr>
          <w:color w:val="000000"/>
        </w:rPr>
        <w:t>The a</w:t>
      </w:r>
      <w:r w:rsidRPr="00DC5150">
        <w:rPr>
          <w:i/>
          <w:iCs/>
          <w:color w:val="000000"/>
        </w:rPr>
        <w:t>bility to act under constraint</w:t>
      </w:r>
      <w:r w:rsidRPr="00DC5150">
        <w:rPr>
          <w:color w:val="000000"/>
        </w:rPr>
        <w:t xml:space="preserve"> was represented through mobility limitations, chronic illness, pregnancy, and caregiving responsibilities, directly affecting evacuation feasibility and access to cooling. </w:t>
      </w:r>
      <w:r w:rsidRPr="00DC5150">
        <w:rPr>
          <w:i/>
          <w:iCs/>
          <w:color w:val="000000"/>
        </w:rPr>
        <w:t>Social networks and support systems</w:t>
      </w:r>
      <w:r w:rsidRPr="00DC5150">
        <w:rPr>
          <w:color w:val="000000"/>
        </w:rPr>
        <w:t xml:space="preserve"> captured differences in information access, informal assistance, and reliance on external support. An explicit </w:t>
      </w:r>
      <w:r w:rsidRPr="00DC5150">
        <w:rPr>
          <w:i/>
          <w:iCs/>
          <w:color w:val="000000"/>
        </w:rPr>
        <w:t>equity and inclusion focus</w:t>
      </w:r>
      <w:r w:rsidRPr="00DC5150">
        <w:rPr>
          <w:color w:val="000000"/>
        </w:rPr>
        <w:t xml:space="preserve"> ensured that </w:t>
      </w:r>
      <w:r w:rsidR="00CE6018" w:rsidRPr="00CE6018">
        <w:rPr>
          <w:color w:val="000000"/>
        </w:rPr>
        <w:t xml:space="preserve">older adults, individuals with mobility or health limitations, low-income households, residents living alone, and caregivers were represented as distinct behavioral groups rather than averaged within the population. </w:t>
      </w:r>
      <w:r w:rsidRPr="00DC5150">
        <w:rPr>
          <w:color w:val="000000"/>
        </w:rPr>
        <w:t xml:space="preserve">These variables </w:t>
      </w:r>
      <w:r w:rsidR="00BB65F6">
        <w:rPr>
          <w:color w:val="000000"/>
        </w:rPr>
        <w:t xml:space="preserve">are </w:t>
      </w:r>
      <w:r w:rsidRPr="00DC5150">
        <w:rPr>
          <w:color w:val="000000"/>
        </w:rPr>
        <w:t>summarized in Table 2.</w:t>
      </w:r>
    </w:p>
    <w:p w14:paraId="054BA9F2" w14:textId="3F990076" w:rsidR="00BB71D5" w:rsidRPr="006C2778" w:rsidRDefault="00170A30" w:rsidP="00B93B85">
      <w:pPr>
        <w:pBdr>
          <w:top w:val="nil"/>
          <w:left w:val="nil"/>
          <w:bottom w:val="nil"/>
          <w:right w:val="nil"/>
          <w:between w:val="nil"/>
        </w:pBdr>
        <w:rPr>
          <w:color w:val="000000"/>
        </w:rPr>
      </w:pPr>
      <w:r w:rsidRPr="001649E3">
        <w:rPr>
          <w:i/>
          <w:iCs/>
          <w:color w:val="000000"/>
        </w:rPr>
        <w:t>Behavioral and Decision Environment</w:t>
      </w:r>
      <w:r w:rsidRPr="008133DD">
        <w:rPr>
          <w:color w:val="000000"/>
        </w:rPr>
        <w:t xml:space="preserve"> defines the cognitive, informational, and temporal conditions under which </w:t>
      </w:r>
      <w:r w:rsidRPr="008133DD">
        <w:rPr>
          <w:color w:val="000000"/>
        </w:rPr>
        <w:lastRenderedPageBreak/>
        <w:t xml:space="preserve">individuals make decisions and adapt their actions during crises. In Egaleo, this dimension was operationalized by structuring hazard situations into staged decision environments (pre-event preparedness, impact and immediate reaction, short-term response, and sustained disruption), each associated with specific </w:t>
      </w:r>
      <w:r w:rsidRPr="008133DD">
        <w:rPr>
          <w:i/>
          <w:iCs/>
          <w:color w:val="000000"/>
        </w:rPr>
        <w:t>contextual triggers</w:t>
      </w:r>
      <w:r w:rsidRPr="008133DD">
        <w:rPr>
          <w:color w:val="000000"/>
        </w:rPr>
        <w:t xml:space="preserve"> and </w:t>
      </w:r>
      <w:r w:rsidRPr="008133DD">
        <w:rPr>
          <w:i/>
          <w:iCs/>
          <w:color w:val="000000"/>
        </w:rPr>
        <w:t>decision points</w:t>
      </w:r>
      <w:r w:rsidRPr="008133DD">
        <w:rPr>
          <w:color w:val="000000"/>
        </w:rPr>
        <w:t xml:space="preserve">, such as whether to evacuate or remain, when to act, where to go, and whom to prioritize. Stakeholder engagement was </w:t>
      </w:r>
      <w:r>
        <w:rPr>
          <w:color w:val="000000"/>
        </w:rPr>
        <w:t xml:space="preserve">also </w:t>
      </w:r>
      <w:r w:rsidRPr="008133DD">
        <w:rPr>
          <w:color w:val="000000"/>
        </w:rPr>
        <w:t xml:space="preserve">used to identify how </w:t>
      </w:r>
      <w:r w:rsidRPr="008133DD">
        <w:rPr>
          <w:i/>
          <w:iCs/>
          <w:color w:val="000000"/>
        </w:rPr>
        <w:t>information and communication</w:t>
      </w:r>
      <w:r w:rsidRPr="008133DD">
        <w:rPr>
          <w:color w:val="000000"/>
        </w:rPr>
        <w:t xml:space="preserve"> channels</w:t>
      </w:r>
      <w:r>
        <w:rPr>
          <w:color w:val="000000"/>
        </w:rPr>
        <w:t xml:space="preserve"> </w:t>
      </w:r>
      <w:r w:rsidRPr="008133DD">
        <w:rPr>
          <w:color w:val="000000"/>
        </w:rPr>
        <w:t>and official warnings influence</w:t>
      </w:r>
      <w:r>
        <w:rPr>
          <w:color w:val="000000"/>
        </w:rPr>
        <w:t xml:space="preserve"> </w:t>
      </w:r>
      <w:r w:rsidRPr="008133DD">
        <w:rPr>
          <w:color w:val="000000"/>
        </w:rPr>
        <w:t>perceived risk</w:t>
      </w:r>
      <w:r>
        <w:rPr>
          <w:color w:val="000000"/>
        </w:rPr>
        <w:t>,</w:t>
      </w:r>
      <w:r w:rsidRPr="008133DD">
        <w:rPr>
          <w:color w:val="000000"/>
        </w:rPr>
        <w:t xml:space="preserve"> decision credibility</w:t>
      </w:r>
      <w:r>
        <w:rPr>
          <w:color w:val="000000"/>
        </w:rPr>
        <w:t>,</w:t>
      </w:r>
      <w:r w:rsidRPr="008133DD">
        <w:rPr>
          <w:color w:val="000000"/>
        </w:rPr>
        <w:t xml:space="preserve"> and compliance. Finally,</w:t>
      </w:r>
      <w:r>
        <w:rPr>
          <w:color w:val="000000"/>
        </w:rPr>
        <w:t xml:space="preserve"> by considering </w:t>
      </w:r>
      <w:r>
        <w:rPr>
          <w:i/>
          <w:iCs/>
          <w:color w:val="000000"/>
        </w:rPr>
        <w:t>i</w:t>
      </w:r>
      <w:r w:rsidRPr="00BB71D5">
        <w:rPr>
          <w:i/>
          <w:iCs/>
          <w:color w:val="000000"/>
        </w:rPr>
        <w:t>nstitutional rules, powers, and policies</w:t>
      </w:r>
      <w:r w:rsidRPr="00CC17C3">
        <w:rPr>
          <w:color w:val="000000"/>
        </w:rPr>
        <w:t>, we specified</w:t>
      </w:r>
      <w:r w:rsidRPr="008133DD">
        <w:rPr>
          <w:color w:val="000000"/>
        </w:rPr>
        <w:t xml:space="preserve"> </w:t>
      </w:r>
      <w:r w:rsidRPr="008133DD">
        <w:rPr>
          <w:i/>
          <w:iCs/>
          <w:color w:val="000000"/>
        </w:rPr>
        <w:t>coping and adaptation strategies</w:t>
      </w:r>
      <w:r w:rsidRPr="008133DD">
        <w:rPr>
          <w:color w:val="000000"/>
        </w:rPr>
        <w:t xml:space="preserve">, ranging from informal support and self-organized sheltering to the use or avoidance of formal services, while accounting for the </w:t>
      </w:r>
      <w:r w:rsidRPr="008133DD">
        <w:rPr>
          <w:i/>
          <w:iCs/>
          <w:color w:val="000000"/>
        </w:rPr>
        <w:t>temporal dynamics of decision-making</w:t>
      </w:r>
      <w:r w:rsidRPr="008133DD">
        <w:rPr>
          <w:color w:val="000000"/>
        </w:rPr>
        <w:t xml:space="preserve"> as conditions evolve. </w:t>
      </w:r>
      <w:r w:rsidRPr="00CC17C3">
        <w:rPr>
          <w:color w:val="000000"/>
        </w:rPr>
        <w:t xml:space="preserve">For example, </w:t>
      </w:r>
      <w:r w:rsidR="00DA2615">
        <w:rPr>
          <w:color w:val="000000"/>
        </w:rPr>
        <w:t xml:space="preserve">in case of an </w:t>
      </w:r>
      <w:r w:rsidR="009B3242">
        <w:rPr>
          <w:color w:val="000000"/>
        </w:rPr>
        <w:t>earthquake</w:t>
      </w:r>
      <w:r w:rsidR="00DA2615">
        <w:rPr>
          <w:color w:val="000000"/>
        </w:rPr>
        <w:t xml:space="preserve">, </w:t>
      </w:r>
      <w:r w:rsidRPr="00CC17C3">
        <w:rPr>
          <w:color w:val="000000"/>
        </w:rPr>
        <w:t>when multiple officially designated evacuation areas were available (</w:t>
      </w:r>
      <w:r w:rsidRPr="00CC17C3">
        <w:rPr>
          <w:i/>
          <w:iCs/>
          <w:color w:val="000000"/>
        </w:rPr>
        <w:t>institutional rules, powers, and policies</w:t>
      </w:r>
      <w:r w:rsidRPr="00CC17C3">
        <w:rPr>
          <w:color w:val="000000"/>
        </w:rPr>
        <w:t>), and an individual selected a designated site as a coping strategy (</w:t>
      </w:r>
      <w:r w:rsidRPr="00CC17C3">
        <w:rPr>
          <w:i/>
          <w:iCs/>
          <w:color w:val="000000"/>
        </w:rPr>
        <w:t>behavioral and decision environment</w:t>
      </w:r>
      <w:r w:rsidRPr="00CC17C3">
        <w:rPr>
          <w:color w:val="000000"/>
        </w:rPr>
        <w:t>), congestion or capacity limits at that location triggered a revision of the initial plan, leading individuals to redirect toward nearby alternative locations (</w:t>
      </w:r>
      <w:r w:rsidRPr="007B3858">
        <w:rPr>
          <w:i/>
          <w:iCs/>
          <w:color w:val="000000"/>
        </w:rPr>
        <w:t>temporal dynamics of decision-making</w:t>
      </w:r>
      <w:r w:rsidRPr="00CC17C3">
        <w:rPr>
          <w:color w:val="000000"/>
        </w:rPr>
        <w:t>).</w:t>
      </w:r>
    </w:p>
    <w:p w14:paraId="72F3AB11" w14:textId="08F6ABD5" w:rsidR="00260FA4" w:rsidRPr="006C2778" w:rsidRDefault="00260FA4" w:rsidP="00260FA4">
      <w:pPr>
        <w:pBdr>
          <w:top w:val="nil"/>
          <w:left w:val="nil"/>
          <w:bottom w:val="nil"/>
          <w:right w:val="nil"/>
          <w:between w:val="nil"/>
        </w:pBdr>
        <w:rPr>
          <w:color w:val="000000"/>
        </w:rPr>
      </w:pPr>
      <w:r w:rsidRPr="006C2778">
        <w:rPr>
          <w:noProof/>
          <w:color w:val="000000"/>
        </w:rPr>
        <w:drawing>
          <wp:inline distT="0" distB="0" distL="0" distR="0" wp14:anchorId="7A2AB935" wp14:editId="2C794243">
            <wp:extent cx="5727700" cy="1968460"/>
            <wp:effectExtent l="0" t="0" r="0" b="635"/>
            <wp:docPr id="210046440" name="Picture 2"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440" name="Picture 2" descr="A close-up of a m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8739" cy="1979127"/>
                    </a:xfrm>
                    <a:prstGeom prst="rect">
                      <a:avLst/>
                    </a:prstGeom>
                  </pic:spPr>
                </pic:pic>
              </a:graphicData>
            </a:graphic>
          </wp:inline>
        </w:drawing>
      </w:r>
    </w:p>
    <w:p w14:paraId="47C1ED9E" w14:textId="18408FFE" w:rsidR="005A48B8" w:rsidRPr="00170A30" w:rsidRDefault="00260FA4" w:rsidP="008A6CA6">
      <w:pPr>
        <w:pStyle w:val="Caption"/>
        <w:spacing w:line="187" w:lineRule="auto"/>
        <w:jc w:val="center"/>
        <w:rPr>
          <w:b/>
          <w:bCs/>
          <w:i w:val="0"/>
          <w:iCs w:val="0"/>
          <w:color w:val="000000" w:themeColor="text1"/>
          <w:sz w:val="20"/>
          <w:szCs w:val="20"/>
        </w:rPr>
      </w:pPr>
      <w:r w:rsidRPr="006C2778">
        <w:rPr>
          <w:b/>
          <w:bCs/>
          <w:i w:val="0"/>
          <w:iCs w:val="0"/>
          <w:color w:val="000000" w:themeColor="text1"/>
          <w:sz w:val="20"/>
          <w:szCs w:val="20"/>
        </w:rPr>
        <w:t xml:space="preserve">Figure 2. (a) USGS ShakeMap showing regional ground-shaking intensity during the 1999 Athens earthquake (Mw 6.0). (b) </w:t>
      </w:r>
      <w:r w:rsidR="00DC5150" w:rsidRPr="00DC5150">
        <w:rPr>
          <w:b/>
          <w:bCs/>
          <w:i w:val="0"/>
          <w:iCs w:val="0"/>
          <w:color w:val="000000" w:themeColor="text1"/>
          <w:sz w:val="20"/>
          <w:szCs w:val="20"/>
        </w:rPr>
        <w:t xml:space="preserve">Localized shaking intensity in the western Athens basin; the star indicates the location of Egaleo relative to the earthquake source. </w:t>
      </w:r>
      <w:r w:rsidRPr="006C2778">
        <w:rPr>
          <w:b/>
          <w:bCs/>
          <w:i w:val="0"/>
          <w:iCs w:val="0"/>
          <w:color w:val="000000" w:themeColor="text1"/>
          <w:sz w:val="20"/>
          <w:szCs w:val="20"/>
        </w:rPr>
        <w:t xml:space="preserve">(c) </w:t>
      </w:r>
      <w:r w:rsidR="00DC5150" w:rsidRPr="00DC5150">
        <w:rPr>
          <w:b/>
          <w:bCs/>
          <w:i w:val="0"/>
          <w:iCs w:val="0"/>
          <w:color w:val="000000" w:themeColor="text1"/>
          <w:sz w:val="20"/>
          <w:szCs w:val="20"/>
        </w:rPr>
        <w:t>Model-based building damage estimation for the Egaleo road network, where colors represent increasing damage severity from low to high, corresponding to predicted structural damage levels.</w:t>
      </w:r>
    </w:p>
    <w:p w14:paraId="5BB82735" w14:textId="51056A9A" w:rsidR="00260FA4" w:rsidRPr="006C2778" w:rsidRDefault="00260FA4" w:rsidP="008A6CA6">
      <w:pPr>
        <w:keepNext/>
        <w:pBdr>
          <w:top w:val="nil"/>
          <w:left w:val="nil"/>
          <w:bottom w:val="nil"/>
          <w:right w:val="nil"/>
          <w:between w:val="nil"/>
        </w:pBdr>
        <w:spacing w:line="187" w:lineRule="auto"/>
        <w:jc w:val="center"/>
        <w:rPr>
          <w:b/>
          <w:color w:val="000000"/>
        </w:rPr>
      </w:pPr>
      <w:r w:rsidRPr="006C2778">
        <w:rPr>
          <w:b/>
          <w:color w:val="000000"/>
        </w:rPr>
        <w:t xml:space="preserve">Table 1.  </w:t>
      </w:r>
      <w:r w:rsidR="006300D6" w:rsidRPr="006C2778">
        <w:rPr>
          <w:b/>
          <w:color w:val="000000"/>
        </w:rPr>
        <w:t>Heatwave characterization variables used to formalize the environmental and system context.</w:t>
      </w:r>
    </w:p>
    <w:tbl>
      <w:tblPr>
        <w:tblStyle w:val="a1"/>
        <w:tblW w:w="0" w:type="auto"/>
        <w:jc w:val="center"/>
        <w:tblBorders>
          <w:top w:val="single" w:sz="8" w:space="0" w:color="4F81BD"/>
          <w:left w:val="nil"/>
          <w:bottom w:val="single" w:sz="8" w:space="0" w:color="4F81BD"/>
          <w:right w:val="nil"/>
          <w:insideH w:val="nil"/>
          <w:insideV w:val="nil"/>
        </w:tblBorders>
        <w:tblLayout w:type="fixed"/>
        <w:tblLook w:val="0000" w:firstRow="0" w:lastRow="0" w:firstColumn="0" w:lastColumn="0" w:noHBand="0" w:noVBand="0"/>
      </w:tblPr>
      <w:tblGrid>
        <w:gridCol w:w="2410"/>
        <w:gridCol w:w="2036"/>
        <w:gridCol w:w="2642"/>
        <w:gridCol w:w="1784"/>
      </w:tblGrid>
      <w:tr w:rsidR="00260FA4" w:rsidRPr="006C2778" w14:paraId="57124E38" w14:textId="77777777" w:rsidTr="00286322">
        <w:trPr>
          <w:trHeight w:val="283"/>
          <w:jc w:val="center"/>
        </w:trPr>
        <w:tc>
          <w:tcPr>
            <w:tcW w:w="2410" w:type="dxa"/>
            <w:tcBorders>
              <w:top w:val="single" w:sz="4" w:space="0" w:color="auto"/>
              <w:left w:val="nil"/>
              <w:bottom w:val="single" w:sz="4" w:space="0" w:color="auto"/>
              <w:right w:val="nil"/>
            </w:tcBorders>
            <w:vAlign w:val="center"/>
          </w:tcPr>
          <w:p w14:paraId="42C4FA24" w14:textId="77777777" w:rsidR="00260FA4" w:rsidRPr="006C2778" w:rsidRDefault="00260FA4"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Factor</w:t>
            </w:r>
          </w:p>
        </w:tc>
        <w:tc>
          <w:tcPr>
            <w:tcW w:w="2036" w:type="dxa"/>
            <w:tcBorders>
              <w:top w:val="single" w:sz="4" w:space="0" w:color="auto"/>
              <w:left w:val="nil"/>
              <w:bottom w:val="single" w:sz="4" w:space="0" w:color="auto"/>
              <w:right w:val="nil"/>
            </w:tcBorders>
            <w:vAlign w:val="center"/>
          </w:tcPr>
          <w:p w14:paraId="19BD0169" w14:textId="77777777" w:rsidR="00260FA4" w:rsidRPr="006C2778" w:rsidRDefault="00260FA4"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Description</w:t>
            </w:r>
          </w:p>
        </w:tc>
        <w:tc>
          <w:tcPr>
            <w:tcW w:w="2642" w:type="dxa"/>
            <w:tcBorders>
              <w:top w:val="single" w:sz="4" w:space="0" w:color="auto"/>
              <w:left w:val="nil"/>
              <w:bottom w:val="single" w:sz="4" w:space="0" w:color="auto"/>
              <w:right w:val="nil"/>
            </w:tcBorders>
            <w:vAlign w:val="center"/>
          </w:tcPr>
          <w:p w14:paraId="02EBD3D1" w14:textId="77777777" w:rsidR="00260FA4" w:rsidRPr="006C2778" w:rsidRDefault="00260FA4"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Factor</w:t>
            </w:r>
          </w:p>
        </w:tc>
        <w:tc>
          <w:tcPr>
            <w:tcW w:w="1784" w:type="dxa"/>
            <w:tcBorders>
              <w:top w:val="single" w:sz="4" w:space="0" w:color="auto"/>
              <w:bottom w:val="single" w:sz="4" w:space="0" w:color="auto"/>
            </w:tcBorders>
            <w:vAlign w:val="center"/>
          </w:tcPr>
          <w:p w14:paraId="2C29B505" w14:textId="77777777" w:rsidR="00260FA4" w:rsidRPr="006C2778" w:rsidRDefault="00260FA4"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Description</w:t>
            </w:r>
          </w:p>
        </w:tc>
      </w:tr>
      <w:tr w:rsidR="00260FA4" w:rsidRPr="006C2778" w14:paraId="3AB02659" w14:textId="77777777" w:rsidTr="00286322">
        <w:trPr>
          <w:trHeight w:val="283"/>
          <w:jc w:val="center"/>
        </w:trPr>
        <w:tc>
          <w:tcPr>
            <w:tcW w:w="2410" w:type="dxa"/>
            <w:tcBorders>
              <w:top w:val="single" w:sz="4" w:space="0" w:color="auto"/>
            </w:tcBorders>
            <w:vAlign w:val="center"/>
          </w:tcPr>
          <w:p w14:paraId="744F9D2C"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Intensity of heatwave</w:t>
            </w:r>
          </w:p>
        </w:tc>
        <w:tc>
          <w:tcPr>
            <w:tcW w:w="2036" w:type="dxa"/>
            <w:tcBorders>
              <w:top w:val="single" w:sz="4" w:space="0" w:color="auto"/>
            </w:tcBorders>
            <w:vAlign w:val="center"/>
          </w:tcPr>
          <w:p w14:paraId="2D4D913A"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Mild / Moderate / Severe</w:t>
            </w:r>
          </w:p>
        </w:tc>
        <w:tc>
          <w:tcPr>
            <w:tcW w:w="2642" w:type="dxa"/>
            <w:tcBorders>
              <w:top w:val="single" w:sz="4" w:space="0" w:color="auto"/>
            </w:tcBorders>
            <w:vAlign w:val="center"/>
          </w:tcPr>
          <w:p w14:paraId="13C93BA9"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Cooling Centers Access</w:t>
            </w:r>
          </w:p>
        </w:tc>
        <w:tc>
          <w:tcPr>
            <w:tcW w:w="1784" w:type="dxa"/>
            <w:tcBorders>
              <w:top w:val="single" w:sz="4" w:space="0" w:color="auto"/>
            </w:tcBorders>
            <w:vAlign w:val="center"/>
          </w:tcPr>
          <w:p w14:paraId="2A0270DA"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 xml:space="preserve">None / Access </w:t>
            </w:r>
          </w:p>
        </w:tc>
      </w:tr>
      <w:tr w:rsidR="00260FA4" w:rsidRPr="006C2778" w14:paraId="004270AE" w14:textId="77777777" w:rsidTr="00286322">
        <w:trPr>
          <w:trHeight w:val="283"/>
          <w:jc w:val="center"/>
        </w:trPr>
        <w:tc>
          <w:tcPr>
            <w:tcW w:w="2410" w:type="dxa"/>
            <w:vAlign w:val="center"/>
          </w:tcPr>
          <w:p w14:paraId="12BC054B"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Heatwave Duration</w:t>
            </w:r>
          </w:p>
        </w:tc>
        <w:tc>
          <w:tcPr>
            <w:tcW w:w="2036" w:type="dxa"/>
            <w:vAlign w:val="center"/>
          </w:tcPr>
          <w:p w14:paraId="5223C35F"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Single-day / Multi-day</w:t>
            </w:r>
          </w:p>
        </w:tc>
        <w:tc>
          <w:tcPr>
            <w:tcW w:w="2642" w:type="dxa"/>
            <w:vAlign w:val="center"/>
          </w:tcPr>
          <w:p w14:paraId="410AE509"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Electricity Reliability</w:t>
            </w:r>
          </w:p>
        </w:tc>
        <w:tc>
          <w:tcPr>
            <w:tcW w:w="1784" w:type="dxa"/>
            <w:vAlign w:val="center"/>
          </w:tcPr>
          <w:p w14:paraId="5A0155B9"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r>
      <w:tr w:rsidR="00260FA4" w:rsidRPr="006C2778" w14:paraId="338641E1" w14:textId="77777777" w:rsidTr="00286322">
        <w:trPr>
          <w:trHeight w:val="283"/>
          <w:jc w:val="center"/>
        </w:trPr>
        <w:tc>
          <w:tcPr>
            <w:tcW w:w="2410" w:type="dxa"/>
            <w:vAlign w:val="center"/>
          </w:tcPr>
          <w:p w14:paraId="0FE967DB"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Time of Day (Heat Profile)</w:t>
            </w:r>
          </w:p>
        </w:tc>
        <w:tc>
          <w:tcPr>
            <w:tcW w:w="2036" w:type="dxa"/>
            <w:vAlign w:val="center"/>
          </w:tcPr>
          <w:p w14:paraId="0841E939"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Daytime / Nighttime</w:t>
            </w:r>
          </w:p>
        </w:tc>
        <w:tc>
          <w:tcPr>
            <w:tcW w:w="2642" w:type="dxa"/>
            <w:vAlign w:val="center"/>
          </w:tcPr>
          <w:p w14:paraId="639CD513"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Water Access &amp; Quality</w:t>
            </w:r>
          </w:p>
        </w:tc>
        <w:tc>
          <w:tcPr>
            <w:tcW w:w="1784" w:type="dxa"/>
            <w:vAlign w:val="center"/>
          </w:tcPr>
          <w:p w14:paraId="12A73418"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r>
      <w:tr w:rsidR="00260FA4" w:rsidRPr="006C2778" w14:paraId="4E3CF937" w14:textId="77777777" w:rsidTr="00286322">
        <w:trPr>
          <w:trHeight w:val="283"/>
          <w:jc w:val="center"/>
        </w:trPr>
        <w:tc>
          <w:tcPr>
            <w:tcW w:w="2410" w:type="dxa"/>
            <w:vAlign w:val="center"/>
          </w:tcPr>
          <w:p w14:paraId="409A2151"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Humidity Level</w:t>
            </w:r>
          </w:p>
        </w:tc>
        <w:tc>
          <w:tcPr>
            <w:tcW w:w="2036" w:type="dxa"/>
            <w:vAlign w:val="center"/>
          </w:tcPr>
          <w:p w14:paraId="73FCEC53"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c>
          <w:tcPr>
            <w:tcW w:w="2642" w:type="dxa"/>
            <w:vAlign w:val="center"/>
          </w:tcPr>
          <w:p w14:paraId="49032C6E"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Public Transport Conditions</w:t>
            </w:r>
          </w:p>
        </w:tc>
        <w:tc>
          <w:tcPr>
            <w:tcW w:w="1784" w:type="dxa"/>
            <w:vAlign w:val="center"/>
          </w:tcPr>
          <w:p w14:paraId="19CC509B"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5"/>
                <w:szCs w:val="15"/>
              </w:rPr>
              <w:t>Poor / Acceptable / Good</w:t>
            </w:r>
          </w:p>
        </w:tc>
      </w:tr>
      <w:tr w:rsidR="00260FA4" w:rsidRPr="006C2778" w14:paraId="5D7292CB" w14:textId="77777777" w:rsidTr="00286322">
        <w:trPr>
          <w:trHeight w:val="283"/>
          <w:jc w:val="center"/>
        </w:trPr>
        <w:tc>
          <w:tcPr>
            <w:tcW w:w="2410" w:type="dxa"/>
            <w:vAlign w:val="center"/>
          </w:tcPr>
          <w:p w14:paraId="14318195"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Urban vs Rural Setting</w:t>
            </w:r>
          </w:p>
        </w:tc>
        <w:tc>
          <w:tcPr>
            <w:tcW w:w="2036" w:type="dxa"/>
            <w:vAlign w:val="center"/>
          </w:tcPr>
          <w:p w14:paraId="4A44F95C"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Rural / Suburban / Urban</w:t>
            </w:r>
          </w:p>
        </w:tc>
        <w:tc>
          <w:tcPr>
            <w:tcW w:w="2642" w:type="dxa"/>
            <w:vAlign w:val="center"/>
          </w:tcPr>
          <w:p w14:paraId="531F1C28"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Healthcare System Capacity</w:t>
            </w:r>
          </w:p>
        </w:tc>
        <w:tc>
          <w:tcPr>
            <w:tcW w:w="1784" w:type="dxa"/>
            <w:vAlign w:val="center"/>
          </w:tcPr>
          <w:p w14:paraId="6B880D49"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r>
      <w:tr w:rsidR="00260FA4" w:rsidRPr="006C2778" w14:paraId="6649CF45" w14:textId="77777777" w:rsidTr="00286322">
        <w:trPr>
          <w:trHeight w:val="283"/>
          <w:jc w:val="center"/>
        </w:trPr>
        <w:tc>
          <w:tcPr>
            <w:tcW w:w="2410" w:type="dxa"/>
            <w:vAlign w:val="center"/>
          </w:tcPr>
          <w:p w14:paraId="0F765788"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Building Type &amp; Quality</w:t>
            </w:r>
          </w:p>
        </w:tc>
        <w:tc>
          <w:tcPr>
            <w:tcW w:w="2036" w:type="dxa"/>
            <w:vAlign w:val="center"/>
          </w:tcPr>
          <w:p w14:paraId="4A08B175"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Poor / Average / Good</w:t>
            </w:r>
          </w:p>
        </w:tc>
        <w:tc>
          <w:tcPr>
            <w:tcW w:w="2642" w:type="dxa"/>
            <w:vAlign w:val="center"/>
          </w:tcPr>
          <w:p w14:paraId="4A8CA00F"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Emergency Response Preparedness</w:t>
            </w:r>
          </w:p>
        </w:tc>
        <w:tc>
          <w:tcPr>
            <w:tcW w:w="1784" w:type="dxa"/>
            <w:vAlign w:val="center"/>
          </w:tcPr>
          <w:p w14:paraId="0FE52F07"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r>
      <w:tr w:rsidR="00260FA4" w:rsidRPr="006C2778" w14:paraId="5518EB4F" w14:textId="77777777" w:rsidTr="00286322">
        <w:trPr>
          <w:trHeight w:val="420"/>
          <w:jc w:val="center"/>
        </w:trPr>
        <w:tc>
          <w:tcPr>
            <w:tcW w:w="2410" w:type="dxa"/>
            <w:vAlign w:val="center"/>
          </w:tcPr>
          <w:p w14:paraId="38A17EF5"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Green Space Availability</w:t>
            </w:r>
          </w:p>
        </w:tc>
        <w:tc>
          <w:tcPr>
            <w:tcW w:w="2036" w:type="dxa"/>
            <w:vAlign w:val="center"/>
          </w:tcPr>
          <w:p w14:paraId="26903E45"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c>
          <w:tcPr>
            <w:tcW w:w="2642" w:type="dxa"/>
            <w:vAlign w:val="center"/>
          </w:tcPr>
          <w:p w14:paraId="06B19890"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Local Climate Norms</w:t>
            </w:r>
          </w:p>
        </w:tc>
        <w:tc>
          <w:tcPr>
            <w:tcW w:w="1784" w:type="dxa"/>
            <w:vAlign w:val="center"/>
          </w:tcPr>
          <w:p w14:paraId="66368854"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r>
      <w:tr w:rsidR="00260FA4" w:rsidRPr="006C2778" w14:paraId="1A293495" w14:textId="77777777" w:rsidTr="00286322">
        <w:trPr>
          <w:trHeight w:val="283"/>
          <w:jc w:val="center"/>
        </w:trPr>
        <w:tc>
          <w:tcPr>
            <w:tcW w:w="2410" w:type="dxa"/>
            <w:tcBorders>
              <w:bottom w:val="single" w:sz="4" w:space="0" w:color="auto"/>
            </w:tcBorders>
            <w:vAlign w:val="center"/>
          </w:tcPr>
          <w:p w14:paraId="38082C03"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Air Conditioning in Homes</w:t>
            </w:r>
          </w:p>
        </w:tc>
        <w:tc>
          <w:tcPr>
            <w:tcW w:w="2036" w:type="dxa"/>
            <w:tcBorders>
              <w:bottom w:val="single" w:sz="4" w:space="0" w:color="auto"/>
            </w:tcBorders>
            <w:vAlign w:val="center"/>
          </w:tcPr>
          <w:p w14:paraId="2C8D41AA" w14:textId="77777777" w:rsidR="00260FA4" w:rsidRPr="006C2778" w:rsidRDefault="00260FA4"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None / Partial / Full</w:t>
            </w:r>
          </w:p>
        </w:tc>
        <w:tc>
          <w:tcPr>
            <w:tcW w:w="2642" w:type="dxa"/>
            <w:tcBorders>
              <w:bottom w:val="single" w:sz="4" w:space="0" w:color="auto"/>
            </w:tcBorders>
            <w:vAlign w:val="center"/>
          </w:tcPr>
          <w:p w14:paraId="421CD0AD"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Other Cooling Infrastructure</w:t>
            </w:r>
          </w:p>
        </w:tc>
        <w:tc>
          <w:tcPr>
            <w:tcW w:w="1784" w:type="dxa"/>
            <w:tcBorders>
              <w:bottom w:val="single" w:sz="4" w:space="0" w:color="auto"/>
            </w:tcBorders>
            <w:vAlign w:val="center"/>
          </w:tcPr>
          <w:p w14:paraId="667E6658" w14:textId="77777777" w:rsidR="00260FA4" w:rsidRPr="006C2778" w:rsidRDefault="00260FA4"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None / Limited / Good</w:t>
            </w:r>
          </w:p>
        </w:tc>
      </w:tr>
    </w:tbl>
    <w:p w14:paraId="2323D338" w14:textId="77777777" w:rsidR="00172152" w:rsidRDefault="00172152" w:rsidP="008A6CA6">
      <w:pPr>
        <w:keepNext/>
        <w:pBdr>
          <w:top w:val="nil"/>
          <w:left w:val="nil"/>
          <w:bottom w:val="nil"/>
          <w:right w:val="nil"/>
          <w:between w:val="nil"/>
        </w:pBdr>
        <w:spacing w:line="187" w:lineRule="auto"/>
        <w:jc w:val="center"/>
        <w:rPr>
          <w:b/>
          <w:color w:val="000000"/>
        </w:rPr>
      </w:pPr>
    </w:p>
    <w:p w14:paraId="200EBEB3" w14:textId="11451ADA" w:rsidR="00F759C1" w:rsidRPr="006C2778" w:rsidRDefault="00F759C1" w:rsidP="008A6CA6">
      <w:pPr>
        <w:keepNext/>
        <w:pBdr>
          <w:top w:val="nil"/>
          <w:left w:val="nil"/>
          <w:bottom w:val="nil"/>
          <w:right w:val="nil"/>
          <w:between w:val="nil"/>
        </w:pBdr>
        <w:spacing w:line="187" w:lineRule="auto"/>
        <w:jc w:val="center"/>
        <w:rPr>
          <w:b/>
          <w:color w:val="000000"/>
        </w:rPr>
      </w:pPr>
      <w:r w:rsidRPr="006C2778">
        <w:rPr>
          <w:b/>
          <w:color w:val="000000"/>
        </w:rPr>
        <w:t>Table 2. Population and social diversity variables used as behavioral signatures for HBM.</w:t>
      </w:r>
    </w:p>
    <w:tbl>
      <w:tblPr>
        <w:tblStyle w:val="a1"/>
        <w:tblW w:w="0" w:type="auto"/>
        <w:jc w:val="center"/>
        <w:tblBorders>
          <w:top w:val="single" w:sz="8" w:space="0" w:color="4F81BD"/>
          <w:left w:val="nil"/>
          <w:bottom w:val="single" w:sz="8" w:space="0" w:color="4F81BD"/>
          <w:right w:val="nil"/>
          <w:insideH w:val="nil"/>
          <w:insideV w:val="nil"/>
        </w:tblBorders>
        <w:tblLayout w:type="fixed"/>
        <w:tblLook w:val="0000" w:firstRow="0" w:lastRow="0" w:firstColumn="0" w:lastColumn="0" w:noHBand="0" w:noVBand="0"/>
      </w:tblPr>
      <w:tblGrid>
        <w:gridCol w:w="2127"/>
        <w:gridCol w:w="2319"/>
        <w:gridCol w:w="2075"/>
        <w:gridCol w:w="2351"/>
      </w:tblGrid>
      <w:tr w:rsidR="00F759C1" w:rsidRPr="006C2778" w14:paraId="299C596F" w14:textId="77777777" w:rsidTr="0094391A">
        <w:trPr>
          <w:trHeight w:val="283"/>
          <w:jc w:val="center"/>
        </w:trPr>
        <w:tc>
          <w:tcPr>
            <w:tcW w:w="2127" w:type="dxa"/>
            <w:tcBorders>
              <w:top w:val="single" w:sz="4" w:space="0" w:color="auto"/>
              <w:left w:val="nil"/>
              <w:bottom w:val="single" w:sz="4" w:space="0" w:color="auto"/>
              <w:right w:val="nil"/>
            </w:tcBorders>
            <w:vAlign w:val="center"/>
          </w:tcPr>
          <w:p w14:paraId="70B699FD" w14:textId="77777777" w:rsidR="00F759C1" w:rsidRPr="006C2778" w:rsidRDefault="00F759C1"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Factor</w:t>
            </w:r>
          </w:p>
        </w:tc>
        <w:tc>
          <w:tcPr>
            <w:tcW w:w="2319" w:type="dxa"/>
            <w:tcBorders>
              <w:top w:val="single" w:sz="4" w:space="0" w:color="auto"/>
              <w:left w:val="nil"/>
              <w:bottom w:val="single" w:sz="4" w:space="0" w:color="auto"/>
              <w:right w:val="nil"/>
            </w:tcBorders>
            <w:vAlign w:val="center"/>
          </w:tcPr>
          <w:p w14:paraId="283E6B42" w14:textId="77777777" w:rsidR="00F759C1" w:rsidRPr="006C2778" w:rsidRDefault="00F759C1"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Description</w:t>
            </w:r>
          </w:p>
        </w:tc>
        <w:tc>
          <w:tcPr>
            <w:tcW w:w="2075" w:type="dxa"/>
            <w:tcBorders>
              <w:top w:val="single" w:sz="4" w:space="0" w:color="auto"/>
              <w:left w:val="nil"/>
              <w:bottom w:val="single" w:sz="4" w:space="0" w:color="auto"/>
              <w:right w:val="nil"/>
            </w:tcBorders>
            <w:vAlign w:val="center"/>
          </w:tcPr>
          <w:p w14:paraId="7DA58F7A" w14:textId="77777777" w:rsidR="00F759C1" w:rsidRPr="006C2778" w:rsidRDefault="00F759C1"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Factor</w:t>
            </w:r>
          </w:p>
        </w:tc>
        <w:tc>
          <w:tcPr>
            <w:tcW w:w="2351" w:type="dxa"/>
            <w:tcBorders>
              <w:top w:val="single" w:sz="4" w:space="0" w:color="auto"/>
              <w:bottom w:val="single" w:sz="4" w:space="0" w:color="auto"/>
            </w:tcBorders>
            <w:vAlign w:val="center"/>
          </w:tcPr>
          <w:p w14:paraId="537E269E" w14:textId="77777777" w:rsidR="00F759C1" w:rsidRPr="006C2778" w:rsidRDefault="00F759C1" w:rsidP="008A6CA6">
            <w:pPr>
              <w:pBdr>
                <w:top w:val="nil"/>
                <w:left w:val="nil"/>
                <w:bottom w:val="nil"/>
                <w:right w:val="nil"/>
                <w:between w:val="nil"/>
              </w:pBdr>
              <w:spacing w:before="40" w:after="40" w:line="187" w:lineRule="auto"/>
              <w:rPr>
                <w:b/>
                <w:bCs/>
                <w:color w:val="000000"/>
                <w:sz w:val="18"/>
                <w:szCs w:val="18"/>
              </w:rPr>
            </w:pPr>
            <w:r w:rsidRPr="006C2778">
              <w:rPr>
                <w:b/>
                <w:bCs/>
                <w:color w:val="000000"/>
                <w:sz w:val="18"/>
                <w:szCs w:val="18"/>
              </w:rPr>
              <w:t>Description</w:t>
            </w:r>
          </w:p>
        </w:tc>
      </w:tr>
      <w:tr w:rsidR="00F759C1" w:rsidRPr="006C2778" w14:paraId="62CAB720" w14:textId="77777777" w:rsidTr="0094391A">
        <w:trPr>
          <w:trHeight w:val="283"/>
          <w:jc w:val="center"/>
        </w:trPr>
        <w:tc>
          <w:tcPr>
            <w:tcW w:w="2127" w:type="dxa"/>
            <w:tcBorders>
              <w:top w:val="single" w:sz="4" w:space="0" w:color="auto"/>
            </w:tcBorders>
            <w:vAlign w:val="center"/>
          </w:tcPr>
          <w:p w14:paraId="6E1FCF96" w14:textId="63A46819"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Age Group</w:t>
            </w:r>
          </w:p>
        </w:tc>
        <w:tc>
          <w:tcPr>
            <w:tcW w:w="2319" w:type="dxa"/>
            <w:tcBorders>
              <w:top w:val="single" w:sz="4" w:space="0" w:color="auto"/>
            </w:tcBorders>
            <w:vAlign w:val="center"/>
          </w:tcPr>
          <w:p w14:paraId="556BACA5" w14:textId="0482C67D"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Children / Adults / Older Adults</w:t>
            </w:r>
          </w:p>
        </w:tc>
        <w:tc>
          <w:tcPr>
            <w:tcW w:w="2075" w:type="dxa"/>
            <w:tcBorders>
              <w:top w:val="single" w:sz="4" w:space="0" w:color="auto"/>
            </w:tcBorders>
            <w:vAlign w:val="center"/>
          </w:tcPr>
          <w:p w14:paraId="1ECB1939" w14:textId="50FE4FFA"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Household Composition</w:t>
            </w:r>
          </w:p>
        </w:tc>
        <w:tc>
          <w:tcPr>
            <w:tcW w:w="2351" w:type="dxa"/>
            <w:tcBorders>
              <w:top w:val="single" w:sz="4" w:space="0" w:color="auto"/>
            </w:tcBorders>
            <w:vAlign w:val="center"/>
          </w:tcPr>
          <w:p w14:paraId="70936D08" w14:textId="0B1AA2D5" w:rsidR="00F759C1" w:rsidRPr="006C2778" w:rsidRDefault="0094391A"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Alone/Family/ Multigenerational</w:t>
            </w:r>
          </w:p>
        </w:tc>
      </w:tr>
      <w:tr w:rsidR="00F759C1" w:rsidRPr="006C2778" w14:paraId="6ECF247D" w14:textId="77777777" w:rsidTr="0094391A">
        <w:trPr>
          <w:trHeight w:val="283"/>
          <w:jc w:val="center"/>
        </w:trPr>
        <w:tc>
          <w:tcPr>
            <w:tcW w:w="2127" w:type="dxa"/>
            <w:vAlign w:val="center"/>
          </w:tcPr>
          <w:p w14:paraId="15E04422" w14:textId="6615ABE6"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Gender</w:t>
            </w:r>
          </w:p>
        </w:tc>
        <w:tc>
          <w:tcPr>
            <w:tcW w:w="2319" w:type="dxa"/>
            <w:vAlign w:val="center"/>
          </w:tcPr>
          <w:p w14:paraId="57A28958" w14:textId="32BDF8C6"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Male / Female</w:t>
            </w:r>
          </w:p>
        </w:tc>
        <w:tc>
          <w:tcPr>
            <w:tcW w:w="2075" w:type="dxa"/>
            <w:vAlign w:val="center"/>
          </w:tcPr>
          <w:p w14:paraId="117BC944" w14:textId="56878992"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Caregiver Role</w:t>
            </w:r>
          </w:p>
        </w:tc>
        <w:tc>
          <w:tcPr>
            <w:tcW w:w="2351" w:type="dxa"/>
            <w:vAlign w:val="center"/>
          </w:tcPr>
          <w:p w14:paraId="54E4F671" w14:textId="6DA7FB29" w:rsidR="00F759C1" w:rsidRPr="006C2778" w:rsidRDefault="0094391A"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None / Caregiver</w:t>
            </w:r>
          </w:p>
        </w:tc>
      </w:tr>
      <w:tr w:rsidR="00F759C1" w:rsidRPr="006C2778" w14:paraId="59E20913" w14:textId="77777777" w:rsidTr="0094391A">
        <w:trPr>
          <w:trHeight w:val="283"/>
          <w:jc w:val="center"/>
        </w:trPr>
        <w:tc>
          <w:tcPr>
            <w:tcW w:w="2127" w:type="dxa"/>
            <w:vAlign w:val="center"/>
          </w:tcPr>
          <w:p w14:paraId="1BB7CEA4" w14:textId="78A7EC4A"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General Health</w:t>
            </w:r>
          </w:p>
        </w:tc>
        <w:tc>
          <w:tcPr>
            <w:tcW w:w="2319" w:type="dxa"/>
            <w:vAlign w:val="center"/>
          </w:tcPr>
          <w:p w14:paraId="757F2D63" w14:textId="0FA9794B"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Healthy / At-Risk</w:t>
            </w:r>
          </w:p>
        </w:tc>
        <w:tc>
          <w:tcPr>
            <w:tcW w:w="2075" w:type="dxa"/>
            <w:vAlign w:val="center"/>
          </w:tcPr>
          <w:p w14:paraId="2AFD1791" w14:textId="54BA0049" w:rsidR="00F759C1" w:rsidRPr="006C2778" w:rsidRDefault="00F759C1"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Language &amp; Literacy</w:t>
            </w:r>
          </w:p>
        </w:tc>
        <w:tc>
          <w:tcPr>
            <w:tcW w:w="2351" w:type="dxa"/>
            <w:vAlign w:val="center"/>
          </w:tcPr>
          <w:p w14:paraId="4A7DDF08" w14:textId="248C6E19" w:rsidR="00F759C1" w:rsidRPr="006C2778" w:rsidRDefault="0094391A"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Limited / Moderate / Fluent</w:t>
            </w:r>
          </w:p>
        </w:tc>
      </w:tr>
      <w:tr w:rsidR="00F759C1" w:rsidRPr="006C2778" w14:paraId="1E7C6A1B" w14:textId="77777777" w:rsidTr="0094391A">
        <w:trPr>
          <w:trHeight w:val="283"/>
          <w:jc w:val="center"/>
        </w:trPr>
        <w:tc>
          <w:tcPr>
            <w:tcW w:w="2127" w:type="dxa"/>
            <w:vAlign w:val="center"/>
          </w:tcPr>
          <w:p w14:paraId="4F830F91" w14:textId="2F57C77E"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Chronic Illness</w:t>
            </w:r>
          </w:p>
        </w:tc>
        <w:tc>
          <w:tcPr>
            <w:tcW w:w="2319" w:type="dxa"/>
            <w:vAlign w:val="center"/>
          </w:tcPr>
          <w:p w14:paraId="71F91C91" w14:textId="0124DA2B"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No / Yes</w:t>
            </w:r>
          </w:p>
        </w:tc>
        <w:tc>
          <w:tcPr>
            <w:tcW w:w="2075" w:type="dxa"/>
            <w:vAlign w:val="center"/>
          </w:tcPr>
          <w:p w14:paraId="7CC9E048" w14:textId="11E7EA49" w:rsidR="00F759C1" w:rsidRPr="006C2778" w:rsidRDefault="00F759C1"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Communication Means</w:t>
            </w:r>
          </w:p>
        </w:tc>
        <w:tc>
          <w:tcPr>
            <w:tcW w:w="2351" w:type="dxa"/>
            <w:vAlign w:val="center"/>
          </w:tcPr>
          <w:p w14:paraId="67AE22DD" w14:textId="77E09C5F" w:rsidR="00F759C1" w:rsidRPr="006C2778" w:rsidRDefault="0094391A" w:rsidP="008A6CA6">
            <w:pPr>
              <w:keepNext/>
              <w:pBdr>
                <w:top w:val="nil"/>
                <w:left w:val="nil"/>
                <w:bottom w:val="nil"/>
                <w:right w:val="nil"/>
                <w:between w:val="nil"/>
              </w:pBdr>
              <w:spacing w:before="40" w:after="40" w:line="187" w:lineRule="auto"/>
              <w:rPr>
                <w:color w:val="000000"/>
                <w:sz w:val="15"/>
                <w:szCs w:val="15"/>
              </w:rPr>
            </w:pPr>
            <w:r w:rsidRPr="006C2778">
              <w:rPr>
                <w:color w:val="000000"/>
                <w:sz w:val="16"/>
                <w:szCs w:val="16"/>
              </w:rPr>
              <w:t>Radio/TV / Phone / Internet</w:t>
            </w:r>
          </w:p>
        </w:tc>
      </w:tr>
      <w:tr w:rsidR="00F759C1" w:rsidRPr="006C2778" w14:paraId="54571EB1" w14:textId="77777777" w:rsidTr="0094391A">
        <w:trPr>
          <w:trHeight w:val="283"/>
          <w:jc w:val="center"/>
        </w:trPr>
        <w:tc>
          <w:tcPr>
            <w:tcW w:w="2127" w:type="dxa"/>
            <w:vAlign w:val="center"/>
          </w:tcPr>
          <w:p w14:paraId="25FF3DEA" w14:textId="029B0F60"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Mobility Disability</w:t>
            </w:r>
          </w:p>
        </w:tc>
        <w:tc>
          <w:tcPr>
            <w:tcW w:w="2319" w:type="dxa"/>
            <w:vAlign w:val="center"/>
          </w:tcPr>
          <w:p w14:paraId="4BF70503" w14:textId="27726FFD"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No / Yes</w:t>
            </w:r>
          </w:p>
        </w:tc>
        <w:tc>
          <w:tcPr>
            <w:tcW w:w="2075" w:type="dxa"/>
            <w:vAlign w:val="center"/>
          </w:tcPr>
          <w:p w14:paraId="5E88171C" w14:textId="7D37925A" w:rsidR="00F759C1" w:rsidRPr="006C2778" w:rsidRDefault="00F759C1"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Social Support Network</w:t>
            </w:r>
          </w:p>
        </w:tc>
        <w:tc>
          <w:tcPr>
            <w:tcW w:w="2351" w:type="dxa"/>
            <w:vAlign w:val="center"/>
          </w:tcPr>
          <w:p w14:paraId="25EB70E7" w14:textId="747A886F" w:rsidR="00F759C1" w:rsidRPr="006C2778" w:rsidRDefault="0094391A"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Weak / Moderate / Strong</w:t>
            </w:r>
          </w:p>
        </w:tc>
      </w:tr>
      <w:tr w:rsidR="00F759C1" w:rsidRPr="006C2778" w14:paraId="02C49BEE" w14:textId="77777777" w:rsidTr="0094391A">
        <w:trPr>
          <w:trHeight w:val="283"/>
          <w:jc w:val="center"/>
        </w:trPr>
        <w:tc>
          <w:tcPr>
            <w:tcW w:w="2127" w:type="dxa"/>
            <w:vAlign w:val="center"/>
          </w:tcPr>
          <w:p w14:paraId="2D413ECC" w14:textId="0EF8FB0D"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Pregnancy / Infant Status</w:t>
            </w:r>
          </w:p>
        </w:tc>
        <w:tc>
          <w:tcPr>
            <w:tcW w:w="2319" w:type="dxa"/>
            <w:vAlign w:val="center"/>
          </w:tcPr>
          <w:p w14:paraId="3B12F16D" w14:textId="4F4412AE"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None / Pregnant / Infant Present</w:t>
            </w:r>
          </w:p>
        </w:tc>
        <w:tc>
          <w:tcPr>
            <w:tcW w:w="2075" w:type="dxa"/>
            <w:vAlign w:val="center"/>
          </w:tcPr>
          <w:p w14:paraId="60C4A9DA" w14:textId="3A87C00B" w:rsidR="00F759C1" w:rsidRPr="006C2778" w:rsidRDefault="00F759C1"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Community Support Norms</w:t>
            </w:r>
          </w:p>
        </w:tc>
        <w:tc>
          <w:tcPr>
            <w:tcW w:w="2351" w:type="dxa"/>
            <w:vAlign w:val="center"/>
          </w:tcPr>
          <w:p w14:paraId="73B5066E" w14:textId="1F0A8A1B" w:rsidR="00F759C1" w:rsidRPr="006C2778" w:rsidRDefault="0094391A"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r>
      <w:tr w:rsidR="00F759C1" w:rsidRPr="006C2778" w14:paraId="361C8178" w14:textId="77777777" w:rsidTr="0094391A">
        <w:trPr>
          <w:trHeight w:val="420"/>
          <w:jc w:val="center"/>
        </w:trPr>
        <w:tc>
          <w:tcPr>
            <w:tcW w:w="2127" w:type="dxa"/>
            <w:vAlign w:val="center"/>
          </w:tcPr>
          <w:p w14:paraId="4B9EB793" w14:textId="76D80978"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Income Level</w:t>
            </w:r>
          </w:p>
        </w:tc>
        <w:tc>
          <w:tcPr>
            <w:tcW w:w="2319" w:type="dxa"/>
            <w:vAlign w:val="center"/>
          </w:tcPr>
          <w:p w14:paraId="22F57280" w14:textId="642CD513"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c>
          <w:tcPr>
            <w:tcW w:w="2075" w:type="dxa"/>
            <w:vAlign w:val="center"/>
          </w:tcPr>
          <w:p w14:paraId="3D3658CA" w14:textId="2568C31B" w:rsidR="00F759C1" w:rsidRPr="006C2778" w:rsidRDefault="00030C61"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Education Level</w:t>
            </w:r>
          </w:p>
        </w:tc>
        <w:tc>
          <w:tcPr>
            <w:tcW w:w="2351" w:type="dxa"/>
            <w:vAlign w:val="center"/>
          </w:tcPr>
          <w:p w14:paraId="68F91160" w14:textId="77777777" w:rsidR="00F759C1" w:rsidRPr="006C2778" w:rsidRDefault="00F759C1" w:rsidP="008A6CA6">
            <w:pPr>
              <w:keepNext/>
              <w:pBdr>
                <w:top w:val="nil"/>
                <w:left w:val="nil"/>
                <w:bottom w:val="nil"/>
                <w:right w:val="nil"/>
                <w:between w:val="nil"/>
              </w:pBdr>
              <w:spacing w:before="40" w:after="40" w:line="187" w:lineRule="auto"/>
              <w:rPr>
                <w:color w:val="000000"/>
                <w:sz w:val="16"/>
                <w:szCs w:val="16"/>
              </w:rPr>
            </w:pPr>
            <w:r w:rsidRPr="006C2778">
              <w:rPr>
                <w:color w:val="000000"/>
                <w:sz w:val="16"/>
                <w:szCs w:val="16"/>
              </w:rPr>
              <w:t>Low / Medium / High</w:t>
            </w:r>
          </w:p>
        </w:tc>
      </w:tr>
      <w:tr w:rsidR="00F759C1" w:rsidRPr="006C2778" w14:paraId="4B4F10C4" w14:textId="77777777" w:rsidTr="0094391A">
        <w:trPr>
          <w:trHeight w:val="283"/>
          <w:jc w:val="center"/>
        </w:trPr>
        <w:tc>
          <w:tcPr>
            <w:tcW w:w="2127" w:type="dxa"/>
            <w:tcBorders>
              <w:bottom w:val="single" w:sz="4" w:space="0" w:color="auto"/>
            </w:tcBorders>
            <w:vAlign w:val="center"/>
          </w:tcPr>
          <w:p w14:paraId="7E9F9A27" w14:textId="630786F7" w:rsidR="00F759C1" w:rsidRPr="006C2778" w:rsidRDefault="00F759C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Homelessness Risk</w:t>
            </w:r>
          </w:p>
        </w:tc>
        <w:tc>
          <w:tcPr>
            <w:tcW w:w="2319" w:type="dxa"/>
            <w:tcBorders>
              <w:bottom w:val="single" w:sz="4" w:space="0" w:color="auto"/>
            </w:tcBorders>
            <w:vAlign w:val="center"/>
          </w:tcPr>
          <w:p w14:paraId="4BE9C7E6" w14:textId="4A4D4173" w:rsidR="00F759C1" w:rsidRPr="006C2778" w:rsidRDefault="00030C61" w:rsidP="008A6CA6">
            <w:pPr>
              <w:pBdr>
                <w:top w:val="nil"/>
                <w:left w:val="nil"/>
                <w:bottom w:val="nil"/>
                <w:right w:val="nil"/>
                <w:between w:val="nil"/>
              </w:pBdr>
              <w:spacing w:before="40" w:after="40" w:line="187" w:lineRule="auto"/>
              <w:rPr>
                <w:color w:val="000000"/>
                <w:sz w:val="16"/>
                <w:szCs w:val="16"/>
              </w:rPr>
            </w:pPr>
            <w:r w:rsidRPr="006C2778">
              <w:rPr>
                <w:color w:val="000000"/>
                <w:sz w:val="16"/>
                <w:szCs w:val="16"/>
              </w:rPr>
              <w:t>No / Yes</w:t>
            </w:r>
          </w:p>
        </w:tc>
        <w:tc>
          <w:tcPr>
            <w:tcW w:w="2075" w:type="dxa"/>
            <w:tcBorders>
              <w:bottom w:val="single" w:sz="4" w:space="0" w:color="auto"/>
            </w:tcBorders>
            <w:vAlign w:val="center"/>
          </w:tcPr>
          <w:p w14:paraId="62A69473" w14:textId="3F11B18F" w:rsidR="00F759C1" w:rsidRPr="006C2778" w:rsidRDefault="00F759C1" w:rsidP="008A6CA6">
            <w:pPr>
              <w:keepNext/>
              <w:pBdr>
                <w:top w:val="nil"/>
                <w:left w:val="nil"/>
                <w:bottom w:val="nil"/>
                <w:right w:val="nil"/>
                <w:between w:val="nil"/>
              </w:pBdr>
              <w:spacing w:before="40" w:after="40" w:line="187" w:lineRule="auto"/>
              <w:rPr>
                <w:color w:val="000000"/>
                <w:sz w:val="16"/>
                <w:szCs w:val="16"/>
              </w:rPr>
            </w:pPr>
          </w:p>
        </w:tc>
        <w:tc>
          <w:tcPr>
            <w:tcW w:w="2351" w:type="dxa"/>
            <w:tcBorders>
              <w:bottom w:val="single" w:sz="4" w:space="0" w:color="auto"/>
            </w:tcBorders>
            <w:vAlign w:val="center"/>
          </w:tcPr>
          <w:p w14:paraId="2B99EE13" w14:textId="24D5911E" w:rsidR="00F759C1" w:rsidRPr="006C2778" w:rsidRDefault="00F759C1" w:rsidP="008A6CA6">
            <w:pPr>
              <w:keepNext/>
              <w:pBdr>
                <w:top w:val="nil"/>
                <w:left w:val="nil"/>
                <w:bottom w:val="nil"/>
                <w:right w:val="nil"/>
                <w:between w:val="nil"/>
              </w:pBdr>
              <w:spacing w:before="40" w:after="40" w:line="187" w:lineRule="auto"/>
              <w:rPr>
                <w:color w:val="000000"/>
                <w:sz w:val="16"/>
                <w:szCs w:val="16"/>
              </w:rPr>
            </w:pPr>
          </w:p>
        </w:tc>
      </w:tr>
    </w:tbl>
    <w:p w14:paraId="6CCFB5B1" w14:textId="4758CD1A" w:rsidR="00083D98" w:rsidRPr="006C2778" w:rsidRDefault="00083D98" w:rsidP="008A6CA6">
      <w:pPr>
        <w:pStyle w:val="Heading2"/>
        <w:spacing w:line="187" w:lineRule="auto"/>
        <w:jc w:val="both"/>
      </w:pPr>
      <w:r w:rsidRPr="006C2778">
        <w:lastRenderedPageBreak/>
        <w:t>Construction of the Living Scenario Dataset in Egaleo</w:t>
      </w:r>
    </w:p>
    <w:p w14:paraId="20977761" w14:textId="56EE19B2" w:rsidR="00DF3335" w:rsidRDefault="00DF3335" w:rsidP="008A6CA6">
      <w:pPr>
        <w:pBdr>
          <w:top w:val="nil"/>
          <w:left w:val="nil"/>
          <w:bottom w:val="nil"/>
          <w:right w:val="nil"/>
          <w:between w:val="nil"/>
        </w:pBdr>
      </w:pPr>
      <w:r w:rsidRPr="00DF3335">
        <w:t xml:space="preserve">The </w:t>
      </w:r>
      <w:r w:rsidRPr="00DF3335">
        <w:rPr>
          <w:i/>
          <w:iCs/>
        </w:rPr>
        <w:t>Living Scenario Dataset</w:t>
      </w:r>
      <w:r w:rsidRPr="00DF3335">
        <w:t xml:space="preserve"> in Egaleo integrates the outputs of </w:t>
      </w:r>
      <w:r w:rsidRPr="00DF3335">
        <w:rPr>
          <w:i/>
          <w:iCs/>
        </w:rPr>
        <w:t>Participatory Scenario Building</w:t>
      </w:r>
      <w:r w:rsidRPr="00DF3335">
        <w:t xml:space="preserve"> with </w:t>
      </w:r>
      <w:r w:rsidRPr="00DF3335">
        <w:rPr>
          <w:i/>
          <w:iCs/>
        </w:rPr>
        <w:t>Survey and Data Collection</w:t>
      </w:r>
      <w:r w:rsidRPr="00DF3335">
        <w:t xml:space="preserve"> and is designed to operationalize the co-created scenarios. For the heatwave crisis, the </w:t>
      </w:r>
      <w:r w:rsidRPr="00DF3335">
        <w:rPr>
          <w:i/>
          <w:iCs/>
        </w:rPr>
        <w:t>Living Scenario Dataset</w:t>
      </w:r>
      <w:r w:rsidRPr="00DF3335">
        <w:t xml:space="preserve"> is currently being developed through </w:t>
      </w:r>
      <w:r w:rsidRPr="00DF3335">
        <w:rPr>
          <w:i/>
          <w:iCs/>
        </w:rPr>
        <w:t>Survey and Data Collection</w:t>
      </w:r>
      <w:r w:rsidRPr="00DF3335">
        <w:t>, which is still ongoing. The questionnaire</w:t>
      </w:r>
      <w:r w:rsidRPr="006C2778">
        <w:rPr>
          <w:rStyle w:val="FootnoteReference"/>
          <w:color w:val="000000"/>
        </w:rPr>
        <w:footnoteReference w:id="1"/>
      </w:r>
      <w:r w:rsidRPr="00DF3335">
        <w:t xml:space="preserve"> was designed to translate the heatwave-related context into measurable variables, with items covering thermal exposure conditions, access to cooling resources and services, health-related constraints, and access to information. In line with the framework, the survey explicitly accounts for vulnerable groups, including older adults, individuals with health conditions, and residents with limited access to cooling devices. The remainder of this section focuses on the earthquake scenario, for which the </w:t>
      </w:r>
      <w:r w:rsidRPr="00276051">
        <w:rPr>
          <w:i/>
          <w:iCs/>
        </w:rPr>
        <w:t>Living Scenario Dataset</w:t>
      </w:r>
      <w:r w:rsidRPr="00DF3335">
        <w:t xml:space="preserve"> has been completed and subsequently used for HBM construction.</w:t>
      </w:r>
    </w:p>
    <w:p w14:paraId="6EFBBE0F" w14:textId="28F35EC5" w:rsidR="00DE3FEF" w:rsidRDefault="00276051" w:rsidP="00083D98">
      <w:pPr>
        <w:pBdr>
          <w:top w:val="nil"/>
          <w:left w:val="nil"/>
          <w:bottom w:val="nil"/>
          <w:right w:val="nil"/>
          <w:between w:val="nil"/>
        </w:pBdr>
        <w:rPr>
          <w:color w:val="000000"/>
        </w:rPr>
      </w:pPr>
      <w:r w:rsidRPr="00276051">
        <w:rPr>
          <w:highlight w:val="yellow"/>
        </w:rPr>
        <w:t xml:space="preserve">For the earthquake scenario, </w:t>
      </w:r>
      <w:r w:rsidRPr="00276051">
        <w:rPr>
          <w:color w:val="000000"/>
          <w:highlight w:val="yellow"/>
        </w:rPr>
        <w:t>t</w:t>
      </w:r>
      <w:r w:rsidR="00DE3FEF" w:rsidRPr="00276051">
        <w:rPr>
          <w:color w:val="000000"/>
          <w:highlight w:val="yellow"/>
        </w:rPr>
        <w:t xml:space="preserve">he </w:t>
      </w:r>
      <w:r w:rsidR="00903EC2" w:rsidRPr="00276051">
        <w:rPr>
          <w:color w:val="000000"/>
          <w:highlight w:val="yellow"/>
        </w:rPr>
        <w:t xml:space="preserve">associated </w:t>
      </w:r>
      <w:r w:rsidR="00DE3FEF" w:rsidRPr="00276051">
        <w:rPr>
          <w:color w:val="000000"/>
          <w:highlight w:val="yellow"/>
        </w:rPr>
        <w:t>questionnaire</w:t>
      </w:r>
      <w:r w:rsidR="00881E1C" w:rsidRPr="00276051">
        <w:rPr>
          <w:rStyle w:val="FootnoteReference"/>
          <w:color w:val="000000"/>
          <w:highlight w:val="yellow"/>
        </w:rPr>
        <w:footnoteReference w:id="2"/>
      </w:r>
      <w:r w:rsidR="00DE3FEF" w:rsidRPr="00276051">
        <w:rPr>
          <w:color w:val="000000"/>
          <w:highlight w:val="yellow"/>
        </w:rPr>
        <w:t xml:space="preserve"> followed an architecture-aligned survey design, with items explicitly mapped to the </w:t>
      </w:r>
      <w:r w:rsidR="00DE3FEF" w:rsidRPr="00276051">
        <w:rPr>
          <w:i/>
          <w:iCs/>
          <w:color w:val="000000"/>
          <w:highlight w:val="yellow"/>
        </w:rPr>
        <w:t>environmental and system conditions</w:t>
      </w:r>
      <w:r w:rsidR="00DE3FEF" w:rsidRPr="00276051">
        <w:rPr>
          <w:color w:val="000000"/>
          <w:highlight w:val="yellow"/>
        </w:rPr>
        <w:t xml:space="preserve">, </w:t>
      </w:r>
      <w:r w:rsidR="00DE3FEF" w:rsidRPr="00276051">
        <w:rPr>
          <w:i/>
          <w:iCs/>
          <w:color w:val="000000"/>
          <w:highlight w:val="yellow"/>
        </w:rPr>
        <w:t>population characteristics</w:t>
      </w:r>
      <w:r w:rsidR="00DE3FEF" w:rsidRPr="00276051">
        <w:rPr>
          <w:color w:val="000000"/>
          <w:highlight w:val="yellow"/>
        </w:rPr>
        <w:t xml:space="preserve">, and </w:t>
      </w:r>
      <w:r w:rsidR="00DE3FEF" w:rsidRPr="00276051">
        <w:rPr>
          <w:i/>
          <w:iCs/>
          <w:color w:val="000000"/>
          <w:highlight w:val="yellow"/>
        </w:rPr>
        <w:t>decision environments</w:t>
      </w:r>
      <w:r w:rsidR="00DE3FEF" w:rsidRPr="00276051">
        <w:rPr>
          <w:color w:val="000000"/>
          <w:highlight w:val="yellow"/>
        </w:rPr>
        <w:t xml:space="preserve"> identified during scenario co-creation. To ensure coherence with the framework, the survey was structured around two complementary logics. First, it captured what individuals are able to do, reflecting capacities, resources, constraints, and social conditions grounded in the </w:t>
      </w:r>
      <w:r w:rsidR="00DE3FEF" w:rsidRPr="00276051">
        <w:rPr>
          <w:i/>
          <w:iCs/>
          <w:color w:val="000000"/>
          <w:highlight w:val="yellow"/>
        </w:rPr>
        <w:t xml:space="preserve">environmental and system context </w:t>
      </w:r>
      <w:r w:rsidR="00DE3FEF" w:rsidRPr="00276051">
        <w:rPr>
          <w:color w:val="000000"/>
          <w:highlight w:val="yellow"/>
        </w:rPr>
        <w:t>and</w:t>
      </w:r>
      <w:r w:rsidR="00DE3FEF" w:rsidRPr="00276051">
        <w:rPr>
          <w:i/>
          <w:iCs/>
          <w:color w:val="000000"/>
          <w:highlight w:val="yellow"/>
        </w:rPr>
        <w:t xml:space="preserve"> population and</w:t>
      </w:r>
      <w:r w:rsidR="00DE3FEF" w:rsidRPr="00276051">
        <w:rPr>
          <w:color w:val="000000"/>
          <w:highlight w:val="yellow"/>
        </w:rPr>
        <w:t xml:space="preserve"> </w:t>
      </w:r>
      <w:r w:rsidR="00DE3FEF" w:rsidRPr="00276051">
        <w:rPr>
          <w:i/>
          <w:iCs/>
          <w:color w:val="000000"/>
          <w:highlight w:val="yellow"/>
        </w:rPr>
        <w:t xml:space="preserve">social diversity </w:t>
      </w:r>
      <w:r w:rsidR="00DE3FEF" w:rsidRPr="00276051">
        <w:rPr>
          <w:color w:val="000000"/>
          <w:highlight w:val="yellow"/>
        </w:rPr>
        <w:t xml:space="preserve">dimensions. For example, items assessed access to safe spaces, household composition, health vulnerabilities, and caregiving responsibilities. Second, it captured when and under what conditions individuals act, reflecting the </w:t>
      </w:r>
      <w:r w:rsidR="00DE3FEF" w:rsidRPr="00276051">
        <w:rPr>
          <w:i/>
          <w:iCs/>
          <w:color w:val="000000"/>
          <w:highlight w:val="yellow"/>
        </w:rPr>
        <w:t>behavioral and decision environment</w:t>
      </w:r>
      <w:r w:rsidR="00DE3FEF" w:rsidRPr="00276051">
        <w:rPr>
          <w:color w:val="000000"/>
          <w:highlight w:val="yellow"/>
        </w:rPr>
        <w:t xml:space="preserve"> dimension through questions on decision triggers, response timing, information use, and adaptive behavior under evolving conditions. Here, particular attention was given to the inclusion of vulnerable groups, with targeted outreach and assisted survey completion to accommodate older adults, individuals with health or mobility limitations, low-income households, and residents facing literacy or language barriers. By structuring survey items around capacity to act and timing of action, the questionnaire operationalized the co-created scenarios in a form directly compatible with downstream behavioral variable extraction and model construction.</w:t>
      </w:r>
    </w:p>
    <w:p w14:paraId="1CCFAE36" w14:textId="085EA32D" w:rsidR="0008112F" w:rsidRPr="00903EC2" w:rsidRDefault="0008112F" w:rsidP="00775EB1">
      <w:pPr>
        <w:pBdr>
          <w:top w:val="nil"/>
          <w:left w:val="nil"/>
          <w:bottom w:val="nil"/>
          <w:right w:val="nil"/>
          <w:between w:val="nil"/>
        </w:pBdr>
        <w:rPr>
          <w:color w:val="000000"/>
        </w:rPr>
      </w:pPr>
      <w:r w:rsidRPr="0008112F">
        <w:rPr>
          <w:color w:val="000000"/>
          <w:highlight w:val="yellow"/>
        </w:rPr>
        <w:t>The resulting survey comprised 121 responses, as described in Table 3. Although the survey sample (N=121) is relatively small compared to the approximately 5000 residents in the study area, a stratified sampling strategy was applied to ensure coverage across key population strata. Specifically, respondents</w:t>
      </w:r>
      <w:r>
        <w:rPr>
          <w:color w:val="000000"/>
          <w:highlight w:val="yellow"/>
        </w:rPr>
        <w:t xml:space="preserve"> </w:t>
      </w:r>
      <w:r w:rsidRPr="0008112F">
        <w:rPr>
          <w:color w:val="000000"/>
          <w:highlight w:val="yellow"/>
        </w:rPr>
        <w:t xml:space="preserve">were recruited to reflect variation across neighborhoods, age groups, household compositions, and identified vulnerability profiles defined during </w:t>
      </w:r>
      <w:r w:rsidRPr="0008112F">
        <w:rPr>
          <w:i/>
          <w:iCs/>
          <w:color w:val="000000"/>
          <w:highlight w:val="yellow"/>
        </w:rPr>
        <w:t>Participatory Scenario Building.</w:t>
      </w:r>
      <w:r w:rsidRPr="0008112F">
        <w:rPr>
          <w:color w:val="000000"/>
          <w:highlight w:val="yellow"/>
        </w:rPr>
        <w:t xml:space="preserve"> Rather than relying on simple random sampling, the stratified approach intentionally sought proportional representation of socially and spatially differentiated groups, including vulnerable subpopulations, thereby reducing the risk that particular segments of the community would be underrepresented. Comparison with municipal demographic distributions indicates that the main population strata (e.g., age structure</w:t>
      </w:r>
      <w:r>
        <w:rPr>
          <w:color w:val="000000"/>
          <w:highlight w:val="yellow"/>
        </w:rPr>
        <w:t>, gender distribution,</w:t>
      </w:r>
      <w:r w:rsidRPr="0008112F">
        <w:rPr>
          <w:color w:val="000000"/>
          <w:highlight w:val="yellow"/>
        </w:rPr>
        <w:t xml:space="preserve"> educational levels</w:t>
      </w:r>
      <w:r w:rsidR="00276051">
        <w:rPr>
          <w:color w:val="000000"/>
          <w:highlight w:val="yellow"/>
        </w:rPr>
        <w:t>, and vulnerable people</w:t>
      </w:r>
      <w:r w:rsidRPr="0008112F">
        <w:rPr>
          <w:color w:val="000000"/>
          <w:highlight w:val="yellow"/>
        </w:rPr>
        <w:t xml:space="preserve">) are reflected in the sample. </w:t>
      </w:r>
      <w:r w:rsidR="00276051">
        <w:rPr>
          <w:color w:val="000000"/>
          <w:highlight w:val="yellow"/>
        </w:rPr>
        <w:t>Note here that</w:t>
      </w:r>
      <w:r w:rsidRPr="0008112F">
        <w:rPr>
          <w:color w:val="000000"/>
          <w:highlight w:val="yellow"/>
        </w:rPr>
        <w:t xml:space="preserve"> the survey was not designed to produce statistically representative prevalence estimates at the population level; rather, it serves to elicit and validate distinct behavioral patterns, decision logics, and response archetypes. Population-level distributions used in the simulation model are anchored in census and municipal data, while the survey informs the structure and parameterization of behavioral diversity. This separation ensures that the behavioral representation is empirically grounded without relying on the survey alone for demographic representativeness.</w:t>
      </w:r>
    </w:p>
    <w:p w14:paraId="39A15864" w14:textId="58D37B05" w:rsidR="00CC58F4" w:rsidRPr="00CC58F4" w:rsidRDefault="00CC58F4" w:rsidP="00775EB1">
      <w:pPr>
        <w:pBdr>
          <w:top w:val="nil"/>
          <w:left w:val="nil"/>
          <w:bottom w:val="nil"/>
          <w:right w:val="nil"/>
          <w:between w:val="nil"/>
        </w:pBdr>
      </w:pPr>
      <w:r>
        <w:rPr>
          <w:rStyle w:val="Emphasis"/>
        </w:rPr>
        <w:t>Data Architecture &amp; Integration</w:t>
      </w:r>
      <w:r>
        <w:t xml:space="preserve"> organized the responses under a </w:t>
      </w:r>
      <w:r>
        <w:rPr>
          <w:rStyle w:val="Emphasis"/>
        </w:rPr>
        <w:t>unified data schema</w:t>
      </w:r>
      <w:r w:rsidR="001E5045">
        <w:t xml:space="preserve"> </w:t>
      </w:r>
      <w:r w:rsidR="001E5045" w:rsidRPr="001E5045">
        <w:t>(in this case study, a single questionnaire version was deployed, ensuring internal consistency across all variables)</w:t>
      </w:r>
      <w:r>
        <w:t xml:space="preserve">. </w:t>
      </w:r>
      <w:r>
        <w:rPr>
          <w:rStyle w:val="Emphasis"/>
        </w:rPr>
        <w:t>Defined variable formats</w:t>
      </w:r>
      <w:r>
        <w:t xml:space="preserve"> ensured compatibility with downstream behavioral modeling. As summarized in Table 3, core demographic variables (age, gender, and education) were stored alongside explicit </w:t>
      </w:r>
      <w:r>
        <w:rPr>
          <w:rStyle w:val="Emphasis"/>
        </w:rPr>
        <w:t>layers for vulnerable groups</w:t>
      </w:r>
      <w:r>
        <w:t xml:space="preserve">, enabling differentiated analysis rather than population averaging. This structure supported </w:t>
      </w:r>
      <w:r>
        <w:rPr>
          <w:rStyle w:val="Emphasis"/>
        </w:rPr>
        <w:t>interoperable data sources</w:t>
      </w:r>
      <w:r>
        <w:t xml:space="preserve">, allowing survey data to be directly linked to behavioral representations, and accommodated </w:t>
      </w:r>
      <w:r>
        <w:rPr>
          <w:rStyle w:val="Emphasis"/>
        </w:rPr>
        <w:t>incremental data updates</w:t>
      </w:r>
      <w:r>
        <w:t xml:space="preserve"> as new responses or scenario iterations were added. </w:t>
      </w:r>
    </w:p>
    <w:p w14:paraId="5B5FDFA4" w14:textId="77777777" w:rsidR="00775EB1" w:rsidRPr="006C2778" w:rsidRDefault="00775EB1" w:rsidP="00775EB1">
      <w:pPr>
        <w:keepNext/>
        <w:pBdr>
          <w:top w:val="nil"/>
          <w:left w:val="nil"/>
          <w:bottom w:val="nil"/>
          <w:right w:val="nil"/>
          <w:between w:val="nil"/>
        </w:pBdr>
        <w:jc w:val="center"/>
        <w:rPr>
          <w:b/>
          <w:color w:val="000000"/>
        </w:rPr>
      </w:pPr>
      <w:r w:rsidRPr="006C2778">
        <w:rPr>
          <w:b/>
          <w:color w:val="000000"/>
        </w:rPr>
        <w:t>Table 3.  Sample demographic characteristics (N=121)</w:t>
      </w:r>
    </w:p>
    <w:tbl>
      <w:tblPr>
        <w:tblStyle w:val="a1"/>
        <w:tblW w:w="8018" w:type="dxa"/>
        <w:jc w:val="center"/>
        <w:tblBorders>
          <w:top w:val="single" w:sz="8" w:space="0" w:color="4F81BD"/>
          <w:left w:val="nil"/>
          <w:bottom w:val="single" w:sz="8" w:space="0" w:color="4F81BD"/>
          <w:right w:val="nil"/>
          <w:insideH w:val="nil"/>
          <w:insideV w:val="nil"/>
        </w:tblBorders>
        <w:tblLayout w:type="fixed"/>
        <w:tblLook w:val="0000" w:firstRow="0" w:lastRow="0" w:firstColumn="0" w:lastColumn="0" w:noHBand="0" w:noVBand="0"/>
      </w:tblPr>
      <w:tblGrid>
        <w:gridCol w:w="1288"/>
        <w:gridCol w:w="1376"/>
        <w:gridCol w:w="1872"/>
        <w:gridCol w:w="830"/>
        <w:gridCol w:w="1722"/>
        <w:gridCol w:w="930"/>
      </w:tblGrid>
      <w:tr w:rsidR="00775EB1" w:rsidRPr="006C2778" w14:paraId="526FC3E6" w14:textId="77777777" w:rsidTr="00B13EF4">
        <w:trPr>
          <w:trHeight w:val="254"/>
          <w:jc w:val="center"/>
        </w:trPr>
        <w:tc>
          <w:tcPr>
            <w:tcW w:w="1288" w:type="dxa"/>
            <w:tcBorders>
              <w:top w:val="single" w:sz="4" w:space="0" w:color="auto"/>
              <w:left w:val="nil"/>
              <w:bottom w:val="single" w:sz="4" w:space="0" w:color="auto"/>
              <w:right w:val="nil"/>
            </w:tcBorders>
          </w:tcPr>
          <w:p w14:paraId="081370DF" w14:textId="77777777" w:rsidR="00775EB1" w:rsidRPr="006C2778" w:rsidRDefault="00775EB1" w:rsidP="00B13EF4">
            <w:pPr>
              <w:pBdr>
                <w:top w:val="nil"/>
                <w:left w:val="nil"/>
                <w:bottom w:val="nil"/>
                <w:right w:val="nil"/>
                <w:between w:val="nil"/>
              </w:pBdr>
              <w:spacing w:before="40" w:after="40"/>
              <w:rPr>
                <w:b/>
                <w:bCs/>
                <w:color w:val="000000"/>
                <w:sz w:val="16"/>
                <w:szCs w:val="16"/>
              </w:rPr>
            </w:pPr>
            <w:r w:rsidRPr="006C2778">
              <w:rPr>
                <w:b/>
                <w:bCs/>
                <w:color w:val="000000"/>
                <w:sz w:val="16"/>
                <w:szCs w:val="16"/>
              </w:rPr>
              <w:t>Age</w:t>
            </w:r>
          </w:p>
        </w:tc>
        <w:tc>
          <w:tcPr>
            <w:tcW w:w="1376" w:type="dxa"/>
            <w:tcBorders>
              <w:top w:val="single" w:sz="4" w:space="0" w:color="auto"/>
              <w:bottom w:val="single" w:sz="4" w:space="0" w:color="auto"/>
            </w:tcBorders>
          </w:tcPr>
          <w:p w14:paraId="6CDDC9C4" w14:textId="77777777" w:rsidR="00775EB1" w:rsidRPr="006C2778" w:rsidRDefault="00775EB1" w:rsidP="00B13EF4">
            <w:pPr>
              <w:pBdr>
                <w:top w:val="nil"/>
                <w:left w:val="nil"/>
                <w:bottom w:val="nil"/>
                <w:right w:val="nil"/>
                <w:between w:val="nil"/>
              </w:pBdr>
              <w:spacing w:before="40" w:after="40"/>
              <w:rPr>
                <w:b/>
                <w:color w:val="000000"/>
                <w:sz w:val="16"/>
                <w:szCs w:val="16"/>
              </w:rPr>
            </w:pPr>
          </w:p>
        </w:tc>
        <w:tc>
          <w:tcPr>
            <w:tcW w:w="1872" w:type="dxa"/>
            <w:tcBorders>
              <w:top w:val="single" w:sz="4" w:space="0" w:color="auto"/>
              <w:left w:val="nil"/>
              <w:bottom w:val="single" w:sz="4" w:space="0" w:color="auto"/>
              <w:right w:val="nil"/>
            </w:tcBorders>
          </w:tcPr>
          <w:p w14:paraId="13924B3C"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b/>
                <w:color w:val="000000"/>
                <w:sz w:val="16"/>
                <w:szCs w:val="16"/>
              </w:rPr>
              <w:t>Gender</w:t>
            </w:r>
          </w:p>
        </w:tc>
        <w:tc>
          <w:tcPr>
            <w:tcW w:w="830" w:type="dxa"/>
            <w:tcBorders>
              <w:top w:val="single" w:sz="4" w:space="0" w:color="auto"/>
              <w:bottom w:val="single" w:sz="4" w:space="0" w:color="auto"/>
            </w:tcBorders>
          </w:tcPr>
          <w:p w14:paraId="6E5CE6FB" w14:textId="77777777" w:rsidR="00775EB1" w:rsidRPr="006C2778" w:rsidRDefault="00775EB1" w:rsidP="00B13EF4">
            <w:pPr>
              <w:pBdr>
                <w:top w:val="nil"/>
                <w:left w:val="nil"/>
                <w:bottom w:val="nil"/>
                <w:right w:val="nil"/>
                <w:between w:val="nil"/>
              </w:pBdr>
              <w:spacing w:before="40" w:after="40"/>
              <w:rPr>
                <w:b/>
                <w:color w:val="000000"/>
                <w:sz w:val="16"/>
                <w:szCs w:val="16"/>
              </w:rPr>
            </w:pPr>
          </w:p>
        </w:tc>
        <w:tc>
          <w:tcPr>
            <w:tcW w:w="1722" w:type="dxa"/>
            <w:tcBorders>
              <w:top w:val="single" w:sz="4" w:space="0" w:color="auto"/>
              <w:left w:val="nil"/>
              <w:bottom w:val="single" w:sz="4" w:space="0" w:color="auto"/>
              <w:right w:val="nil"/>
            </w:tcBorders>
          </w:tcPr>
          <w:p w14:paraId="7D160F22"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b/>
                <w:color w:val="000000"/>
                <w:sz w:val="16"/>
                <w:szCs w:val="16"/>
              </w:rPr>
              <w:t>Educational level</w:t>
            </w:r>
          </w:p>
        </w:tc>
        <w:tc>
          <w:tcPr>
            <w:tcW w:w="930" w:type="dxa"/>
            <w:tcBorders>
              <w:top w:val="single" w:sz="4" w:space="0" w:color="auto"/>
              <w:bottom w:val="single" w:sz="4" w:space="0" w:color="auto"/>
              <w:right w:val="nil"/>
            </w:tcBorders>
          </w:tcPr>
          <w:p w14:paraId="524F9764" w14:textId="77777777" w:rsidR="00775EB1" w:rsidRPr="006C2778" w:rsidRDefault="00775EB1" w:rsidP="00B13EF4">
            <w:pPr>
              <w:pBdr>
                <w:top w:val="nil"/>
                <w:left w:val="nil"/>
                <w:bottom w:val="nil"/>
                <w:right w:val="nil"/>
                <w:between w:val="nil"/>
              </w:pBdr>
              <w:spacing w:before="40" w:after="40"/>
              <w:rPr>
                <w:b/>
                <w:color w:val="000000"/>
                <w:sz w:val="16"/>
                <w:szCs w:val="16"/>
              </w:rPr>
            </w:pPr>
          </w:p>
        </w:tc>
      </w:tr>
      <w:tr w:rsidR="00775EB1" w:rsidRPr="006C2778" w14:paraId="48DB4399" w14:textId="77777777" w:rsidTr="00B13EF4">
        <w:trPr>
          <w:trHeight w:val="254"/>
          <w:jc w:val="center"/>
        </w:trPr>
        <w:tc>
          <w:tcPr>
            <w:tcW w:w="1288" w:type="dxa"/>
            <w:tcBorders>
              <w:top w:val="single" w:sz="4" w:space="0" w:color="auto"/>
            </w:tcBorders>
          </w:tcPr>
          <w:p w14:paraId="24BB2FF7"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Under 18</w:t>
            </w:r>
          </w:p>
        </w:tc>
        <w:tc>
          <w:tcPr>
            <w:tcW w:w="1376" w:type="dxa"/>
            <w:tcBorders>
              <w:top w:val="single" w:sz="4" w:space="0" w:color="auto"/>
            </w:tcBorders>
          </w:tcPr>
          <w:p w14:paraId="3C2BCF4D"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2%</w:t>
            </w:r>
          </w:p>
        </w:tc>
        <w:tc>
          <w:tcPr>
            <w:tcW w:w="1872" w:type="dxa"/>
            <w:tcBorders>
              <w:top w:val="single" w:sz="4" w:space="0" w:color="auto"/>
            </w:tcBorders>
          </w:tcPr>
          <w:p w14:paraId="77BC9C21"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Female</w:t>
            </w:r>
          </w:p>
        </w:tc>
        <w:tc>
          <w:tcPr>
            <w:tcW w:w="830" w:type="dxa"/>
            <w:tcBorders>
              <w:top w:val="single" w:sz="4" w:space="0" w:color="auto"/>
            </w:tcBorders>
          </w:tcPr>
          <w:p w14:paraId="19BE920E"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63%</w:t>
            </w:r>
          </w:p>
        </w:tc>
        <w:tc>
          <w:tcPr>
            <w:tcW w:w="1722" w:type="dxa"/>
            <w:tcBorders>
              <w:top w:val="single" w:sz="4" w:space="0" w:color="auto"/>
            </w:tcBorders>
          </w:tcPr>
          <w:p w14:paraId="3EF5E480"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Never went to school</w:t>
            </w:r>
          </w:p>
        </w:tc>
        <w:tc>
          <w:tcPr>
            <w:tcW w:w="930" w:type="dxa"/>
            <w:tcBorders>
              <w:top w:val="single" w:sz="4" w:space="0" w:color="auto"/>
            </w:tcBorders>
          </w:tcPr>
          <w:p w14:paraId="7A4BCBED"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2%</w:t>
            </w:r>
          </w:p>
        </w:tc>
      </w:tr>
      <w:tr w:rsidR="00775EB1" w:rsidRPr="006C2778" w14:paraId="2084E992" w14:textId="77777777" w:rsidTr="00B13EF4">
        <w:trPr>
          <w:trHeight w:val="254"/>
          <w:jc w:val="center"/>
        </w:trPr>
        <w:tc>
          <w:tcPr>
            <w:tcW w:w="1288" w:type="dxa"/>
          </w:tcPr>
          <w:p w14:paraId="1EBD3234"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18-24</w:t>
            </w:r>
          </w:p>
        </w:tc>
        <w:tc>
          <w:tcPr>
            <w:tcW w:w="1376" w:type="dxa"/>
          </w:tcPr>
          <w:p w14:paraId="5B3BC4C3"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16%</w:t>
            </w:r>
          </w:p>
        </w:tc>
        <w:tc>
          <w:tcPr>
            <w:tcW w:w="1872" w:type="dxa"/>
          </w:tcPr>
          <w:p w14:paraId="1EF85ECF"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Male</w:t>
            </w:r>
          </w:p>
        </w:tc>
        <w:tc>
          <w:tcPr>
            <w:tcW w:w="830" w:type="dxa"/>
          </w:tcPr>
          <w:p w14:paraId="3959E93E"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36%</w:t>
            </w:r>
          </w:p>
        </w:tc>
        <w:tc>
          <w:tcPr>
            <w:tcW w:w="1722" w:type="dxa"/>
          </w:tcPr>
          <w:p w14:paraId="4955B249"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Primary level</w:t>
            </w:r>
          </w:p>
        </w:tc>
        <w:tc>
          <w:tcPr>
            <w:tcW w:w="930" w:type="dxa"/>
          </w:tcPr>
          <w:p w14:paraId="77A56E49"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7%</w:t>
            </w:r>
          </w:p>
        </w:tc>
      </w:tr>
      <w:tr w:rsidR="00775EB1" w:rsidRPr="006C2778" w14:paraId="24F29CD1" w14:textId="77777777" w:rsidTr="00B13EF4">
        <w:trPr>
          <w:trHeight w:val="254"/>
          <w:jc w:val="center"/>
        </w:trPr>
        <w:tc>
          <w:tcPr>
            <w:tcW w:w="1288" w:type="dxa"/>
          </w:tcPr>
          <w:p w14:paraId="2601540B"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25-39</w:t>
            </w:r>
          </w:p>
        </w:tc>
        <w:tc>
          <w:tcPr>
            <w:tcW w:w="1376" w:type="dxa"/>
          </w:tcPr>
          <w:p w14:paraId="1C01E0D9"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25%</w:t>
            </w:r>
          </w:p>
        </w:tc>
        <w:tc>
          <w:tcPr>
            <w:tcW w:w="1872" w:type="dxa"/>
          </w:tcPr>
          <w:p w14:paraId="0F1B96D0"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Prefer not to answer</w:t>
            </w:r>
          </w:p>
        </w:tc>
        <w:tc>
          <w:tcPr>
            <w:tcW w:w="830" w:type="dxa"/>
          </w:tcPr>
          <w:p w14:paraId="307562F5"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1%</w:t>
            </w:r>
          </w:p>
        </w:tc>
        <w:tc>
          <w:tcPr>
            <w:tcW w:w="1722" w:type="dxa"/>
          </w:tcPr>
          <w:p w14:paraId="22623017"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Secondary level</w:t>
            </w:r>
          </w:p>
        </w:tc>
        <w:tc>
          <w:tcPr>
            <w:tcW w:w="930" w:type="dxa"/>
          </w:tcPr>
          <w:p w14:paraId="2BDBA917"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33%</w:t>
            </w:r>
          </w:p>
        </w:tc>
      </w:tr>
      <w:tr w:rsidR="00775EB1" w:rsidRPr="006C2778" w14:paraId="20DF696D" w14:textId="77777777" w:rsidTr="00B13EF4">
        <w:trPr>
          <w:trHeight w:val="254"/>
          <w:jc w:val="center"/>
        </w:trPr>
        <w:tc>
          <w:tcPr>
            <w:tcW w:w="1288" w:type="dxa"/>
          </w:tcPr>
          <w:p w14:paraId="0A76C004"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40-64</w:t>
            </w:r>
          </w:p>
        </w:tc>
        <w:tc>
          <w:tcPr>
            <w:tcW w:w="1376" w:type="dxa"/>
          </w:tcPr>
          <w:p w14:paraId="08B114E0"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53%</w:t>
            </w:r>
          </w:p>
        </w:tc>
        <w:tc>
          <w:tcPr>
            <w:tcW w:w="1872" w:type="dxa"/>
          </w:tcPr>
          <w:p w14:paraId="0C7A8A6D" w14:textId="77777777" w:rsidR="00775EB1" w:rsidRPr="006C2778" w:rsidRDefault="00775EB1" w:rsidP="00B13EF4">
            <w:pPr>
              <w:pBdr>
                <w:top w:val="nil"/>
                <w:left w:val="nil"/>
                <w:bottom w:val="nil"/>
                <w:right w:val="nil"/>
                <w:between w:val="nil"/>
              </w:pBdr>
              <w:spacing w:before="40" w:after="40"/>
              <w:rPr>
                <w:color w:val="000000"/>
                <w:sz w:val="16"/>
                <w:szCs w:val="16"/>
              </w:rPr>
            </w:pPr>
          </w:p>
        </w:tc>
        <w:tc>
          <w:tcPr>
            <w:tcW w:w="830" w:type="dxa"/>
          </w:tcPr>
          <w:p w14:paraId="541D4227" w14:textId="77777777" w:rsidR="00775EB1" w:rsidRPr="006C2778" w:rsidRDefault="00775EB1" w:rsidP="00B13EF4">
            <w:pPr>
              <w:pBdr>
                <w:top w:val="nil"/>
                <w:left w:val="nil"/>
                <w:bottom w:val="nil"/>
                <w:right w:val="nil"/>
                <w:between w:val="nil"/>
              </w:pBdr>
              <w:spacing w:before="40" w:after="40"/>
              <w:rPr>
                <w:color w:val="000000"/>
                <w:sz w:val="16"/>
                <w:szCs w:val="16"/>
              </w:rPr>
            </w:pPr>
          </w:p>
        </w:tc>
        <w:tc>
          <w:tcPr>
            <w:tcW w:w="1722" w:type="dxa"/>
          </w:tcPr>
          <w:p w14:paraId="017FA1BF"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Higher education</w:t>
            </w:r>
          </w:p>
        </w:tc>
        <w:tc>
          <w:tcPr>
            <w:tcW w:w="930" w:type="dxa"/>
          </w:tcPr>
          <w:p w14:paraId="186CCC1E"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56%</w:t>
            </w:r>
          </w:p>
        </w:tc>
      </w:tr>
      <w:tr w:rsidR="00775EB1" w:rsidRPr="006C2778" w14:paraId="2ECDB7EB" w14:textId="77777777" w:rsidTr="00B13EF4">
        <w:trPr>
          <w:trHeight w:val="254"/>
          <w:jc w:val="center"/>
        </w:trPr>
        <w:tc>
          <w:tcPr>
            <w:tcW w:w="1288" w:type="dxa"/>
            <w:tcBorders>
              <w:bottom w:val="single" w:sz="4" w:space="0" w:color="auto"/>
            </w:tcBorders>
          </w:tcPr>
          <w:p w14:paraId="35DC475D"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65 and older</w:t>
            </w:r>
          </w:p>
        </w:tc>
        <w:tc>
          <w:tcPr>
            <w:tcW w:w="1376" w:type="dxa"/>
            <w:tcBorders>
              <w:bottom w:val="single" w:sz="4" w:space="0" w:color="auto"/>
            </w:tcBorders>
          </w:tcPr>
          <w:p w14:paraId="5EAA84ED" w14:textId="77777777" w:rsidR="00775EB1" w:rsidRPr="006C2778" w:rsidRDefault="00775EB1" w:rsidP="00B13EF4">
            <w:pPr>
              <w:pBdr>
                <w:top w:val="nil"/>
                <w:left w:val="nil"/>
                <w:bottom w:val="nil"/>
                <w:right w:val="nil"/>
                <w:between w:val="nil"/>
              </w:pBdr>
              <w:spacing w:before="40" w:after="40"/>
              <w:rPr>
                <w:color w:val="000000"/>
                <w:sz w:val="16"/>
                <w:szCs w:val="16"/>
              </w:rPr>
            </w:pPr>
            <w:r w:rsidRPr="006C2778">
              <w:rPr>
                <w:color w:val="000000"/>
                <w:sz w:val="16"/>
                <w:szCs w:val="16"/>
              </w:rPr>
              <w:t>5%</w:t>
            </w:r>
          </w:p>
        </w:tc>
        <w:tc>
          <w:tcPr>
            <w:tcW w:w="1872" w:type="dxa"/>
            <w:tcBorders>
              <w:bottom w:val="single" w:sz="4" w:space="0" w:color="auto"/>
            </w:tcBorders>
          </w:tcPr>
          <w:p w14:paraId="4EBA5AED" w14:textId="77777777" w:rsidR="00775EB1" w:rsidRPr="006C2778" w:rsidRDefault="00775EB1" w:rsidP="00B13EF4">
            <w:pPr>
              <w:pBdr>
                <w:top w:val="nil"/>
                <w:left w:val="nil"/>
                <w:bottom w:val="nil"/>
                <w:right w:val="nil"/>
                <w:between w:val="nil"/>
              </w:pBdr>
              <w:spacing w:before="40" w:after="40"/>
              <w:rPr>
                <w:color w:val="000000"/>
                <w:sz w:val="16"/>
                <w:szCs w:val="16"/>
              </w:rPr>
            </w:pPr>
          </w:p>
        </w:tc>
        <w:tc>
          <w:tcPr>
            <w:tcW w:w="830" w:type="dxa"/>
            <w:tcBorders>
              <w:bottom w:val="single" w:sz="4" w:space="0" w:color="auto"/>
            </w:tcBorders>
          </w:tcPr>
          <w:p w14:paraId="5E3F2657" w14:textId="77777777" w:rsidR="00775EB1" w:rsidRPr="006C2778" w:rsidRDefault="00775EB1" w:rsidP="00B13EF4">
            <w:pPr>
              <w:keepNext/>
              <w:pBdr>
                <w:top w:val="nil"/>
                <w:left w:val="nil"/>
                <w:bottom w:val="nil"/>
                <w:right w:val="nil"/>
                <w:between w:val="nil"/>
              </w:pBdr>
              <w:spacing w:before="40" w:after="40"/>
              <w:rPr>
                <w:color w:val="000000"/>
                <w:sz w:val="16"/>
                <w:szCs w:val="16"/>
              </w:rPr>
            </w:pPr>
          </w:p>
        </w:tc>
        <w:tc>
          <w:tcPr>
            <w:tcW w:w="1722" w:type="dxa"/>
            <w:tcBorders>
              <w:bottom w:val="single" w:sz="4" w:space="0" w:color="auto"/>
            </w:tcBorders>
          </w:tcPr>
          <w:p w14:paraId="37AEB531" w14:textId="77777777" w:rsidR="00775EB1" w:rsidRPr="006C2778" w:rsidRDefault="00775EB1" w:rsidP="00B13EF4">
            <w:pPr>
              <w:keepNext/>
              <w:pBdr>
                <w:top w:val="nil"/>
                <w:left w:val="nil"/>
                <w:bottom w:val="nil"/>
                <w:right w:val="nil"/>
                <w:between w:val="nil"/>
              </w:pBdr>
              <w:spacing w:before="40" w:after="40"/>
              <w:rPr>
                <w:color w:val="000000"/>
                <w:sz w:val="16"/>
                <w:szCs w:val="16"/>
              </w:rPr>
            </w:pPr>
            <w:r w:rsidRPr="006C2778">
              <w:rPr>
                <w:color w:val="000000"/>
                <w:sz w:val="16"/>
                <w:szCs w:val="16"/>
              </w:rPr>
              <w:t>Prefer not to answer</w:t>
            </w:r>
          </w:p>
        </w:tc>
        <w:tc>
          <w:tcPr>
            <w:tcW w:w="930" w:type="dxa"/>
            <w:tcBorders>
              <w:bottom w:val="single" w:sz="4" w:space="0" w:color="auto"/>
            </w:tcBorders>
          </w:tcPr>
          <w:p w14:paraId="4469ED9F" w14:textId="77777777" w:rsidR="00775EB1" w:rsidRPr="006C2778" w:rsidRDefault="00775EB1" w:rsidP="00B13EF4">
            <w:pPr>
              <w:keepNext/>
              <w:pBdr>
                <w:top w:val="nil"/>
                <w:left w:val="nil"/>
                <w:bottom w:val="nil"/>
                <w:right w:val="nil"/>
                <w:between w:val="nil"/>
              </w:pBdr>
              <w:spacing w:before="40" w:after="40"/>
              <w:rPr>
                <w:color w:val="000000"/>
                <w:sz w:val="16"/>
                <w:szCs w:val="16"/>
              </w:rPr>
            </w:pPr>
            <w:r w:rsidRPr="006C2778">
              <w:rPr>
                <w:color w:val="000000"/>
                <w:sz w:val="16"/>
                <w:szCs w:val="16"/>
              </w:rPr>
              <w:t>2%</w:t>
            </w:r>
          </w:p>
        </w:tc>
      </w:tr>
    </w:tbl>
    <w:p w14:paraId="065DB7B9" w14:textId="1600BCB8" w:rsidR="00530418" w:rsidRPr="006C2778" w:rsidRDefault="00F54565" w:rsidP="00530418">
      <w:pPr>
        <w:pStyle w:val="Heading2"/>
        <w:jc w:val="both"/>
      </w:pPr>
      <w:r w:rsidRPr="006C2778">
        <w:lastRenderedPageBreak/>
        <w:t>Earthquake behavioral representation in Egaleo</w:t>
      </w:r>
    </w:p>
    <w:p w14:paraId="22A0DB16" w14:textId="1669EA7E" w:rsidR="00B34761" w:rsidRDefault="00B34761" w:rsidP="00BE6B18">
      <w:pPr>
        <w:pBdr>
          <w:top w:val="nil"/>
          <w:left w:val="nil"/>
          <w:bottom w:val="nil"/>
          <w:right w:val="nil"/>
          <w:between w:val="nil"/>
        </w:pBdr>
      </w:pPr>
      <w:r w:rsidRPr="0042042C">
        <w:rPr>
          <w:highlight w:val="yellow"/>
        </w:rPr>
        <w:t>In this case study, archetype-based representations were adopted as the HBM structure. Given the modest sample size (N = 121), clustering was employed as an exploratory tool to identify coherent behavioral patterns rather than to estimate statistically representative prevalence rates within the population. The purpose of clustering was to reveal structured differences in evacuation timing, destination choice, protective behavior, and social coordination, thereby informing the form of behavioral diversity embedded in the model. Importantly, the survey and census data play distinct roles within the framework. The survey informs the structure and qualitative differentiation of behavioral archetypes</w:t>
      </w:r>
      <w:r w:rsidR="0042042C" w:rsidRPr="0042042C">
        <w:rPr>
          <w:highlight w:val="yellow"/>
        </w:rPr>
        <w:t xml:space="preserve"> (i.e., </w:t>
      </w:r>
      <w:r w:rsidRPr="0042042C">
        <w:rPr>
          <w:highlight w:val="yellow"/>
        </w:rPr>
        <w:t>how people decide and act</w:t>
      </w:r>
      <w:r w:rsidR="0042042C" w:rsidRPr="0042042C">
        <w:rPr>
          <w:highlight w:val="yellow"/>
        </w:rPr>
        <w:t xml:space="preserve">) </w:t>
      </w:r>
      <w:r w:rsidRPr="0042042C">
        <w:rPr>
          <w:highlight w:val="yellow"/>
        </w:rPr>
        <w:t>while population-level composition in the simulation (e.g., age distribution, household structure, vulnerability prevalence) is anchored in census and municipal datasets. Archetype proportions in the synthetic population are therefore aligned with demographic distributions rather than inferred solely from the survey sample. This separation ensures that the resulting HBM is empirically grounded in observed behavioral patterns while avoiding overreliance on a small sample for population-level statistical inference.</w:t>
      </w:r>
    </w:p>
    <w:p w14:paraId="46E02742" w14:textId="6617BE42" w:rsidR="00A92989" w:rsidRDefault="00A92989" w:rsidP="00BE6B18">
      <w:pPr>
        <w:pBdr>
          <w:top w:val="nil"/>
          <w:left w:val="nil"/>
          <w:bottom w:val="nil"/>
          <w:right w:val="nil"/>
          <w:between w:val="nil"/>
        </w:pBdr>
      </w:pPr>
      <w:r w:rsidRPr="00A92989">
        <w:rPr>
          <w:highlight w:val="yellow"/>
        </w:rPr>
        <w:t xml:space="preserve">Clustering was restricted to decision-relevant behavioral signatures identified during </w:t>
      </w:r>
      <w:r w:rsidRPr="004B5244">
        <w:rPr>
          <w:i/>
          <w:iCs/>
          <w:highlight w:val="yellow"/>
        </w:rPr>
        <w:t>Participatory Scenario Building</w:t>
      </w:r>
      <w:r w:rsidRPr="00A92989">
        <w:rPr>
          <w:highlight w:val="yellow"/>
        </w:rPr>
        <w:t xml:space="preserve"> and operationalized in the questionnaire. Variable selection followed three principles: direct correspondence to explicit decision points within the staged earthquake response environment, behavioral relevance for evacuation modeling, and sufficient variability across respondents to enable meaningful differentiation. The clustering inputs</w:t>
      </w:r>
      <w:r w:rsidR="004B5244">
        <w:rPr>
          <w:highlight w:val="yellow"/>
        </w:rPr>
        <w:t>,</w:t>
      </w:r>
      <w:r w:rsidRPr="00A92989">
        <w:rPr>
          <w:highlight w:val="yellow"/>
        </w:rPr>
        <w:t xml:space="preserve"> therefore</w:t>
      </w:r>
      <w:r w:rsidR="004B5244">
        <w:rPr>
          <w:highlight w:val="yellow"/>
        </w:rPr>
        <w:t>,</w:t>
      </w:r>
      <w:r w:rsidRPr="00A92989">
        <w:rPr>
          <w:highlight w:val="yellow"/>
        </w:rPr>
        <w:t xml:space="preserve"> captured the primary evacuation decision (evacuate or remain), response timing (delay categories), intermediate protective or social actions (e.g., searching for household members), destination choice (near building, undefined open space, or designated assembly point), and social coordination (evacuate alone or with others). Contextual and attitudinal attributes (such as perceived building safety, preparedness level, and trust in authorities) were intentionally excluded from cluster formation to avoid demographic or perceptual factors dominating behavioral grouping. These attributes were instead used post hoc to interpret and characterize the resulting archetypes (Tables 4–6). Prior to clustering, categorical variables were consistently encoded, ordinal variables were treated as ordered to preserve rank structure, and missing responses were handled through variable-wise exclusion to avoid imputing behavioral decisions.</w:t>
      </w:r>
    </w:p>
    <w:p w14:paraId="233F6649" w14:textId="1308DDF0" w:rsidR="00A92989" w:rsidRDefault="00A92989" w:rsidP="00BE6B18">
      <w:pPr>
        <w:pBdr>
          <w:top w:val="nil"/>
          <w:left w:val="nil"/>
          <w:bottom w:val="nil"/>
          <w:right w:val="nil"/>
          <w:between w:val="nil"/>
        </w:pBdr>
      </w:pPr>
      <w:r w:rsidRPr="00A92989">
        <w:rPr>
          <w:highlight w:val="yellow"/>
        </w:rPr>
        <w:t>Clustering was implemented using a hierarchical procedure in Treensight</w:t>
      </w:r>
      <w:r w:rsidRPr="00A92989">
        <w:rPr>
          <w:rStyle w:val="FootnoteReference"/>
          <w:color w:val="000000"/>
          <w:highlight w:val="yellow"/>
        </w:rPr>
        <w:footnoteReference w:id="3"/>
      </w:r>
      <w:r w:rsidRPr="00A92989">
        <w:rPr>
          <w:highlight w:val="yellow"/>
        </w:rPr>
        <w:t>, applied to the selected behavioral variables. Hierarchical clustering was chosen as an exploratory approach because it allows examination of nested similarity structures without requiring the number of clusters to be specified a priori. The resulting dendrogram was inspected at multiple cut levels to explore alternative partitioning solutions. Candidate solutions were evaluated based on (i) behavioral distinctiveness across key evacuation dimensions (decision to evacuate, delay, destination, and social coordination), (ii) interpretability of resulting behavioral profiles, (iii) relative balance of cluster sizes, and (iv) practical relevance for evacuation planning. The seven-cluster solution was retained because it provided a clear and behaviorally meaningful differentiation between evacuation patterns while maintaining parsimony and avoiding excessive fragmentation into small respondent groups. The plausibility and usefulness of this solution were further assessed through structured feedback with municipal and civil protection stakeholders, consistent with the calibration and validation stage of the framework. The resulting archetypes are summarized in Tables 4–6.</w:t>
      </w:r>
    </w:p>
    <w:p w14:paraId="221935CC" w14:textId="3C9D65D8" w:rsidR="00CC58F4" w:rsidRPr="006C2778" w:rsidRDefault="00CC58F4" w:rsidP="00172152">
      <w:pPr>
        <w:keepNext/>
        <w:pBdr>
          <w:top w:val="nil"/>
          <w:left w:val="nil"/>
          <w:bottom w:val="nil"/>
          <w:right w:val="nil"/>
          <w:between w:val="nil"/>
        </w:pBdr>
        <w:jc w:val="center"/>
        <w:rPr>
          <w:b/>
          <w:color w:val="000000"/>
        </w:rPr>
      </w:pPr>
      <w:r w:rsidRPr="006C2778">
        <w:rPr>
          <w:b/>
          <w:color w:val="000000"/>
        </w:rPr>
        <w:t xml:space="preserve">Table </w:t>
      </w:r>
      <w:r>
        <w:rPr>
          <w:b/>
          <w:color w:val="000000"/>
        </w:rPr>
        <w:t>4</w:t>
      </w:r>
      <w:r w:rsidRPr="006C2778">
        <w:rPr>
          <w:b/>
          <w:color w:val="000000"/>
        </w:rPr>
        <w:t>.  Socio-demographic characteristics of the identified archetypes</w:t>
      </w:r>
    </w:p>
    <w:tbl>
      <w:tblPr>
        <w:tblStyle w:val="a1"/>
        <w:tblW w:w="9072" w:type="dxa"/>
        <w:jc w:val="center"/>
        <w:tblBorders>
          <w:top w:val="single" w:sz="8" w:space="0" w:color="4F81BD"/>
          <w:left w:val="nil"/>
          <w:bottom w:val="single" w:sz="8" w:space="0" w:color="4F81BD"/>
          <w:right w:val="nil"/>
          <w:insideH w:val="nil"/>
          <w:insideV w:val="nil"/>
        </w:tblBorders>
        <w:tblLayout w:type="fixed"/>
        <w:tblLook w:val="0000" w:firstRow="0" w:lastRow="0" w:firstColumn="0" w:lastColumn="0" w:noHBand="0" w:noVBand="0"/>
      </w:tblPr>
      <w:tblGrid>
        <w:gridCol w:w="1560"/>
        <w:gridCol w:w="1417"/>
        <w:gridCol w:w="709"/>
        <w:gridCol w:w="1134"/>
        <w:gridCol w:w="850"/>
        <w:gridCol w:w="993"/>
        <w:gridCol w:w="992"/>
        <w:gridCol w:w="1417"/>
      </w:tblGrid>
      <w:tr w:rsidR="00CC58F4" w:rsidRPr="006C2778" w14:paraId="6B194116" w14:textId="77777777" w:rsidTr="00B13EF4">
        <w:trPr>
          <w:trHeight w:val="283"/>
          <w:jc w:val="center"/>
        </w:trPr>
        <w:tc>
          <w:tcPr>
            <w:tcW w:w="1560" w:type="dxa"/>
            <w:vMerge w:val="restart"/>
            <w:tcBorders>
              <w:top w:val="single" w:sz="4" w:space="0" w:color="auto"/>
              <w:left w:val="nil"/>
              <w:right w:val="nil"/>
            </w:tcBorders>
            <w:vAlign w:val="center"/>
          </w:tcPr>
          <w:p w14:paraId="3C318FE0" w14:textId="77777777" w:rsidR="00CC58F4" w:rsidRPr="006C2778" w:rsidRDefault="00CC58F4" w:rsidP="00172152">
            <w:pPr>
              <w:pBdr>
                <w:top w:val="nil"/>
                <w:left w:val="nil"/>
                <w:bottom w:val="nil"/>
                <w:right w:val="nil"/>
                <w:between w:val="nil"/>
              </w:pBdr>
              <w:spacing w:before="40" w:after="40"/>
              <w:jc w:val="center"/>
              <w:rPr>
                <w:b/>
                <w:bCs/>
                <w:color w:val="000000"/>
                <w:sz w:val="16"/>
                <w:szCs w:val="16"/>
              </w:rPr>
            </w:pPr>
            <w:r w:rsidRPr="006C2778">
              <w:rPr>
                <w:b/>
                <w:bCs/>
                <w:color w:val="000000"/>
                <w:sz w:val="16"/>
                <w:szCs w:val="16"/>
              </w:rPr>
              <w:t>Archetypes</w:t>
            </w:r>
          </w:p>
        </w:tc>
        <w:tc>
          <w:tcPr>
            <w:tcW w:w="7512" w:type="dxa"/>
            <w:gridSpan w:val="7"/>
            <w:tcBorders>
              <w:top w:val="single" w:sz="4" w:space="0" w:color="auto"/>
              <w:left w:val="nil"/>
              <w:bottom w:val="single" w:sz="4" w:space="0" w:color="auto"/>
            </w:tcBorders>
          </w:tcPr>
          <w:p w14:paraId="54696A20"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Demographic signatures</w:t>
            </w:r>
          </w:p>
        </w:tc>
      </w:tr>
      <w:tr w:rsidR="00CC58F4" w:rsidRPr="006C2778" w14:paraId="1AD56C73" w14:textId="77777777" w:rsidTr="00B13EF4">
        <w:trPr>
          <w:trHeight w:val="283"/>
          <w:jc w:val="center"/>
        </w:trPr>
        <w:tc>
          <w:tcPr>
            <w:tcW w:w="1560" w:type="dxa"/>
            <w:vMerge/>
            <w:tcBorders>
              <w:left w:val="nil"/>
              <w:bottom w:val="single" w:sz="4" w:space="0" w:color="auto"/>
              <w:right w:val="nil"/>
            </w:tcBorders>
          </w:tcPr>
          <w:p w14:paraId="42E2E5AC" w14:textId="77777777" w:rsidR="00CC58F4" w:rsidRPr="006C2778" w:rsidRDefault="00CC58F4" w:rsidP="00172152">
            <w:pPr>
              <w:pBdr>
                <w:top w:val="nil"/>
                <w:left w:val="nil"/>
                <w:bottom w:val="nil"/>
                <w:right w:val="nil"/>
                <w:between w:val="nil"/>
              </w:pBdr>
              <w:spacing w:before="40" w:after="40"/>
              <w:rPr>
                <w:b/>
                <w:bCs/>
                <w:color w:val="000000"/>
                <w:sz w:val="16"/>
                <w:szCs w:val="16"/>
              </w:rPr>
            </w:pPr>
          </w:p>
        </w:tc>
        <w:tc>
          <w:tcPr>
            <w:tcW w:w="1417" w:type="dxa"/>
            <w:tcBorders>
              <w:top w:val="single" w:sz="4" w:space="0" w:color="auto"/>
              <w:bottom w:val="single" w:sz="4" w:space="0" w:color="auto"/>
            </w:tcBorders>
          </w:tcPr>
          <w:p w14:paraId="1591DAEB"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Age</w:t>
            </w:r>
          </w:p>
        </w:tc>
        <w:tc>
          <w:tcPr>
            <w:tcW w:w="709" w:type="dxa"/>
            <w:tcBorders>
              <w:top w:val="single" w:sz="4" w:space="0" w:color="auto"/>
              <w:left w:val="nil"/>
              <w:bottom w:val="single" w:sz="4" w:space="0" w:color="auto"/>
              <w:right w:val="nil"/>
            </w:tcBorders>
          </w:tcPr>
          <w:p w14:paraId="17881E46"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Gender</w:t>
            </w:r>
          </w:p>
        </w:tc>
        <w:tc>
          <w:tcPr>
            <w:tcW w:w="1134" w:type="dxa"/>
            <w:tcBorders>
              <w:top w:val="single" w:sz="4" w:space="0" w:color="auto"/>
              <w:bottom w:val="single" w:sz="4" w:space="0" w:color="auto"/>
            </w:tcBorders>
          </w:tcPr>
          <w:p w14:paraId="5BFE200C"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Education</w:t>
            </w:r>
          </w:p>
        </w:tc>
        <w:tc>
          <w:tcPr>
            <w:tcW w:w="850" w:type="dxa"/>
            <w:tcBorders>
              <w:top w:val="single" w:sz="4" w:space="0" w:color="auto"/>
              <w:left w:val="nil"/>
              <w:bottom w:val="single" w:sz="4" w:space="0" w:color="auto"/>
              <w:right w:val="nil"/>
            </w:tcBorders>
          </w:tcPr>
          <w:p w14:paraId="3F20442D"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Income</w:t>
            </w:r>
          </w:p>
        </w:tc>
        <w:tc>
          <w:tcPr>
            <w:tcW w:w="993" w:type="dxa"/>
            <w:tcBorders>
              <w:top w:val="single" w:sz="4" w:space="0" w:color="auto"/>
              <w:bottom w:val="single" w:sz="4" w:space="0" w:color="auto"/>
              <w:right w:val="nil"/>
            </w:tcBorders>
          </w:tcPr>
          <w:p w14:paraId="53E447B1"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Has disability</w:t>
            </w:r>
          </w:p>
        </w:tc>
        <w:tc>
          <w:tcPr>
            <w:tcW w:w="992" w:type="dxa"/>
            <w:tcBorders>
              <w:top w:val="single" w:sz="4" w:space="0" w:color="auto"/>
              <w:bottom w:val="single" w:sz="4" w:space="0" w:color="auto"/>
            </w:tcBorders>
          </w:tcPr>
          <w:p w14:paraId="779F26DE"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Care giving</w:t>
            </w:r>
          </w:p>
        </w:tc>
        <w:tc>
          <w:tcPr>
            <w:tcW w:w="1417" w:type="dxa"/>
            <w:tcBorders>
              <w:top w:val="single" w:sz="4" w:space="0" w:color="auto"/>
              <w:bottom w:val="single" w:sz="4" w:space="0" w:color="auto"/>
            </w:tcBorders>
          </w:tcPr>
          <w:p w14:paraId="2FA2FD1F" w14:textId="77777777" w:rsidR="00CC58F4" w:rsidRPr="006C2778" w:rsidRDefault="00CC58F4" w:rsidP="00172152">
            <w:pPr>
              <w:pBdr>
                <w:top w:val="nil"/>
                <w:left w:val="nil"/>
                <w:bottom w:val="nil"/>
                <w:right w:val="nil"/>
                <w:between w:val="nil"/>
              </w:pBdr>
              <w:spacing w:before="40" w:after="40"/>
              <w:jc w:val="center"/>
              <w:rPr>
                <w:b/>
                <w:color w:val="000000"/>
                <w:sz w:val="15"/>
                <w:szCs w:val="15"/>
              </w:rPr>
            </w:pPr>
            <w:r w:rsidRPr="006C2778">
              <w:rPr>
                <w:b/>
                <w:color w:val="000000"/>
                <w:sz w:val="15"/>
                <w:szCs w:val="15"/>
              </w:rPr>
              <w:t>Household composition</w:t>
            </w:r>
          </w:p>
        </w:tc>
      </w:tr>
      <w:tr w:rsidR="00CC58F4" w:rsidRPr="006C2778" w14:paraId="748BECF1" w14:textId="77777777" w:rsidTr="00B13EF4">
        <w:trPr>
          <w:trHeight w:val="283"/>
          <w:jc w:val="center"/>
        </w:trPr>
        <w:tc>
          <w:tcPr>
            <w:tcW w:w="1560" w:type="dxa"/>
            <w:tcBorders>
              <w:top w:val="single" w:sz="4" w:space="0" w:color="auto"/>
            </w:tcBorders>
          </w:tcPr>
          <w:p w14:paraId="08AE379F" w14:textId="79BA9DDC" w:rsidR="00CC58F4" w:rsidRPr="006C2778" w:rsidRDefault="001813C6" w:rsidP="00172152">
            <w:pPr>
              <w:pBdr>
                <w:top w:val="nil"/>
                <w:left w:val="nil"/>
                <w:bottom w:val="nil"/>
                <w:right w:val="nil"/>
                <w:between w:val="nil"/>
              </w:pBdr>
              <w:spacing w:before="40" w:after="40"/>
              <w:jc w:val="left"/>
              <w:rPr>
                <w:color w:val="000000"/>
                <w:sz w:val="16"/>
                <w:szCs w:val="16"/>
              </w:rPr>
            </w:pPr>
            <w:r w:rsidRPr="001813C6">
              <w:rPr>
                <w:color w:val="000000"/>
                <w:sz w:val="16"/>
                <w:szCs w:val="16"/>
              </w:rPr>
              <w:t>Prepared Stay-at-Home</w:t>
            </w:r>
          </w:p>
        </w:tc>
        <w:tc>
          <w:tcPr>
            <w:tcW w:w="1417" w:type="dxa"/>
            <w:tcBorders>
              <w:top w:val="single" w:sz="4" w:space="0" w:color="auto"/>
            </w:tcBorders>
          </w:tcPr>
          <w:p w14:paraId="1E9878F3"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25-39 and &gt;64</w:t>
            </w:r>
          </w:p>
        </w:tc>
        <w:tc>
          <w:tcPr>
            <w:tcW w:w="709" w:type="dxa"/>
            <w:tcBorders>
              <w:top w:val="single" w:sz="4" w:space="0" w:color="auto"/>
            </w:tcBorders>
          </w:tcPr>
          <w:p w14:paraId="5A64BFDE"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Female</w:t>
            </w:r>
          </w:p>
        </w:tc>
        <w:tc>
          <w:tcPr>
            <w:tcW w:w="1134" w:type="dxa"/>
            <w:tcBorders>
              <w:top w:val="single" w:sz="4" w:space="0" w:color="auto"/>
            </w:tcBorders>
          </w:tcPr>
          <w:p w14:paraId="66218D53"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Higher education</w:t>
            </w:r>
          </w:p>
        </w:tc>
        <w:tc>
          <w:tcPr>
            <w:tcW w:w="850" w:type="dxa"/>
            <w:tcBorders>
              <w:top w:val="single" w:sz="4" w:space="0" w:color="auto"/>
            </w:tcBorders>
          </w:tcPr>
          <w:p w14:paraId="303795A6"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&gt;40 k</w:t>
            </w:r>
          </w:p>
        </w:tc>
        <w:tc>
          <w:tcPr>
            <w:tcW w:w="993" w:type="dxa"/>
            <w:tcBorders>
              <w:top w:val="single" w:sz="4" w:space="0" w:color="auto"/>
            </w:tcBorders>
          </w:tcPr>
          <w:p w14:paraId="5F74DBBE"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992" w:type="dxa"/>
            <w:tcBorders>
              <w:top w:val="single" w:sz="4" w:space="0" w:color="auto"/>
            </w:tcBorders>
          </w:tcPr>
          <w:p w14:paraId="211EEB15"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Unlikely</w:t>
            </w:r>
          </w:p>
        </w:tc>
        <w:tc>
          <w:tcPr>
            <w:tcW w:w="1417" w:type="dxa"/>
            <w:tcBorders>
              <w:top w:val="single" w:sz="4" w:space="0" w:color="auto"/>
            </w:tcBorders>
          </w:tcPr>
          <w:p w14:paraId="3A2D3D0D"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Couple Household without Children or Group Adults</w:t>
            </w:r>
          </w:p>
        </w:tc>
      </w:tr>
      <w:tr w:rsidR="00CC58F4" w:rsidRPr="006C2778" w14:paraId="2A7D5A75" w14:textId="77777777" w:rsidTr="00B13EF4">
        <w:trPr>
          <w:trHeight w:val="283"/>
          <w:jc w:val="center"/>
        </w:trPr>
        <w:tc>
          <w:tcPr>
            <w:tcW w:w="1560" w:type="dxa"/>
          </w:tcPr>
          <w:p w14:paraId="370DD5DC"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Reluctant Evacuator</w:t>
            </w:r>
          </w:p>
        </w:tc>
        <w:tc>
          <w:tcPr>
            <w:tcW w:w="1417" w:type="dxa"/>
          </w:tcPr>
          <w:p w14:paraId="28D21996"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&lt;39</w:t>
            </w:r>
          </w:p>
        </w:tc>
        <w:tc>
          <w:tcPr>
            <w:tcW w:w="709" w:type="dxa"/>
          </w:tcPr>
          <w:p w14:paraId="1F2C5FF8"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Female</w:t>
            </w:r>
          </w:p>
        </w:tc>
        <w:tc>
          <w:tcPr>
            <w:tcW w:w="1134" w:type="dxa"/>
          </w:tcPr>
          <w:p w14:paraId="046A63B8"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Higher education</w:t>
            </w:r>
          </w:p>
        </w:tc>
        <w:tc>
          <w:tcPr>
            <w:tcW w:w="850" w:type="dxa"/>
          </w:tcPr>
          <w:p w14:paraId="00804D49"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10 - 20 k</w:t>
            </w:r>
          </w:p>
        </w:tc>
        <w:tc>
          <w:tcPr>
            <w:tcW w:w="993" w:type="dxa"/>
          </w:tcPr>
          <w:p w14:paraId="552188EA"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992" w:type="dxa"/>
          </w:tcPr>
          <w:p w14:paraId="028E56F9"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1417" w:type="dxa"/>
          </w:tcPr>
          <w:p w14:paraId="29AB44DB"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Couple Household with Children or Single Parent</w:t>
            </w:r>
          </w:p>
        </w:tc>
      </w:tr>
      <w:tr w:rsidR="00CC58F4" w:rsidRPr="006C2778" w14:paraId="1EDAC4F4" w14:textId="77777777" w:rsidTr="00B13EF4">
        <w:trPr>
          <w:trHeight w:val="283"/>
          <w:jc w:val="center"/>
        </w:trPr>
        <w:tc>
          <w:tcPr>
            <w:tcW w:w="1560" w:type="dxa"/>
          </w:tcPr>
          <w:p w14:paraId="2603FD44"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Reluctant Evacuator</w:t>
            </w:r>
          </w:p>
        </w:tc>
        <w:tc>
          <w:tcPr>
            <w:tcW w:w="1417" w:type="dxa"/>
          </w:tcPr>
          <w:p w14:paraId="0217ED7A"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40-64</w:t>
            </w:r>
          </w:p>
        </w:tc>
        <w:tc>
          <w:tcPr>
            <w:tcW w:w="709" w:type="dxa"/>
          </w:tcPr>
          <w:p w14:paraId="6AFE17A4"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Female</w:t>
            </w:r>
          </w:p>
        </w:tc>
        <w:tc>
          <w:tcPr>
            <w:tcW w:w="1134" w:type="dxa"/>
          </w:tcPr>
          <w:p w14:paraId="30DDE2DF"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Primary level</w:t>
            </w:r>
          </w:p>
        </w:tc>
        <w:tc>
          <w:tcPr>
            <w:tcW w:w="850" w:type="dxa"/>
          </w:tcPr>
          <w:p w14:paraId="4B554BD2"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30 - 40 k</w:t>
            </w:r>
          </w:p>
        </w:tc>
        <w:tc>
          <w:tcPr>
            <w:tcW w:w="993" w:type="dxa"/>
          </w:tcPr>
          <w:p w14:paraId="224A83B8"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992" w:type="dxa"/>
          </w:tcPr>
          <w:p w14:paraId="1FABE7D0"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1417" w:type="dxa"/>
          </w:tcPr>
          <w:p w14:paraId="20E8D25C"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Single Adult or Single Parent</w:t>
            </w:r>
          </w:p>
        </w:tc>
      </w:tr>
      <w:tr w:rsidR="00CC58F4" w:rsidRPr="006C2778" w14:paraId="6F193E9E" w14:textId="77777777" w:rsidTr="00B13EF4">
        <w:trPr>
          <w:trHeight w:val="283"/>
          <w:jc w:val="center"/>
        </w:trPr>
        <w:tc>
          <w:tcPr>
            <w:tcW w:w="1560" w:type="dxa"/>
          </w:tcPr>
          <w:p w14:paraId="49C27A97"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Protective Evacuator</w:t>
            </w:r>
          </w:p>
        </w:tc>
        <w:tc>
          <w:tcPr>
            <w:tcW w:w="1417" w:type="dxa"/>
          </w:tcPr>
          <w:p w14:paraId="44E5C44D"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40-64</w:t>
            </w:r>
          </w:p>
        </w:tc>
        <w:tc>
          <w:tcPr>
            <w:tcW w:w="709" w:type="dxa"/>
          </w:tcPr>
          <w:p w14:paraId="3DA8A8D2"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Female</w:t>
            </w:r>
          </w:p>
        </w:tc>
        <w:tc>
          <w:tcPr>
            <w:tcW w:w="1134" w:type="dxa"/>
          </w:tcPr>
          <w:p w14:paraId="0A615AE2"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Secondary level</w:t>
            </w:r>
          </w:p>
        </w:tc>
        <w:tc>
          <w:tcPr>
            <w:tcW w:w="850" w:type="dxa"/>
          </w:tcPr>
          <w:p w14:paraId="53E8345E"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30 - 40 k</w:t>
            </w:r>
          </w:p>
        </w:tc>
        <w:tc>
          <w:tcPr>
            <w:tcW w:w="993" w:type="dxa"/>
          </w:tcPr>
          <w:p w14:paraId="0E2DD0B2"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992" w:type="dxa"/>
          </w:tcPr>
          <w:p w14:paraId="0EABE847"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Unlikely</w:t>
            </w:r>
          </w:p>
        </w:tc>
        <w:tc>
          <w:tcPr>
            <w:tcW w:w="1417" w:type="dxa"/>
          </w:tcPr>
          <w:p w14:paraId="73FA9454"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Couple Household with Children or Single Parent</w:t>
            </w:r>
          </w:p>
        </w:tc>
      </w:tr>
      <w:tr w:rsidR="00CC58F4" w:rsidRPr="006C2778" w14:paraId="275C073E" w14:textId="77777777" w:rsidTr="00B13EF4">
        <w:trPr>
          <w:trHeight w:val="283"/>
          <w:jc w:val="center"/>
        </w:trPr>
        <w:tc>
          <w:tcPr>
            <w:tcW w:w="1560" w:type="dxa"/>
          </w:tcPr>
          <w:p w14:paraId="36842704"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Protective Evacuator</w:t>
            </w:r>
          </w:p>
        </w:tc>
        <w:tc>
          <w:tcPr>
            <w:tcW w:w="1417" w:type="dxa"/>
          </w:tcPr>
          <w:p w14:paraId="06D9826C"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25-39</w:t>
            </w:r>
          </w:p>
        </w:tc>
        <w:tc>
          <w:tcPr>
            <w:tcW w:w="709" w:type="dxa"/>
          </w:tcPr>
          <w:p w14:paraId="616D2507"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Male</w:t>
            </w:r>
          </w:p>
        </w:tc>
        <w:tc>
          <w:tcPr>
            <w:tcW w:w="1134" w:type="dxa"/>
          </w:tcPr>
          <w:p w14:paraId="3332556F"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Higher education</w:t>
            </w:r>
          </w:p>
        </w:tc>
        <w:tc>
          <w:tcPr>
            <w:tcW w:w="850" w:type="dxa"/>
          </w:tcPr>
          <w:p w14:paraId="2D045FA3"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20 - 30 k</w:t>
            </w:r>
          </w:p>
        </w:tc>
        <w:tc>
          <w:tcPr>
            <w:tcW w:w="993" w:type="dxa"/>
          </w:tcPr>
          <w:p w14:paraId="1BD5C1AA"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Unlikely</w:t>
            </w:r>
          </w:p>
        </w:tc>
        <w:tc>
          <w:tcPr>
            <w:tcW w:w="992" w:type="dxa"/>
          </w:tcPr>
          <w:p w14:paraId="72735B3D"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Unlikely</w:t>
            </w:r>
          </w:p>
        </w:tc>
        <w:tc>
          <w:tcPr>
            <w:tcW w:w="1417" w:type="dxa"/>
          </w:tcPr>
          <w:p w14:paraId="4E80341C"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Couple Household with Children or Single Parent</w:t>
            </w:r>
          </w:p>
        </w:tc>
      </w:tr>
      <w:tr w:rsidR="00CC58F4" w:rsidRPr="006C2778" w14:paraId="660EE984" w14:textId="77777777" w:rsidTr="00B13EF4">
        <w:trPr>
          <w:trHeight w:val="283"/>
          <w:jc w:val="center"/>
        </w:trPr>
        <w:tc>
          <w:tcPr>
            <w:tcW w:w="1560" w:type="dxa"/>
          </w:tcPr>
          <w:p w14:paraId="108E8CAD"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lastRenderedPageBreak/>
              <w:t>Proactive Evacuator</w:t>
            </w:r>
          </w:p>
        </w:tc>
        <w:tc>
          <w:tcPr>
            <w:tcW w:w="1417" w:type="dxa"/>
          </w:tcPr>
          <w:p w14:paraId="47B77056"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18-35</w:t>
            </w:r>
          </w:p>
        </w:tc>
        <w:tc>
          <w:tcPr>
            <w:tcW w:w="709" w:type="dxa"/>
          </w:tcPr>
          <w:p w14:paraId="635D6284"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Female</w:t>
            </w:r>
          </w:p>
        </w:tc>
        <w:tc>
          <w:tcPr>
            <w:tcW w:w="1134" w:type="dxa"/>
          </w:tcPr>
          <w:p w14:paraId="1099428A"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Higher education</w:t>
            </w:r>
          </w:p>
        </w:tc>
        <w:tc>
          <w:tcPr>
            <w:tcW w:w="850" w:type="dxa"/>
          </w:tcPr>
          <w:p w14:paraId="629A60C7"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10 - 20 k</w:t>
            </w:r>
          </w:p>
        </w:tc>
        <w:tc>
          <w:tcPr>
            <w:tcW w:w="993" w:type="dxa"/>
          </w:tcPr>
          <w:p w14:paraId="577F986B"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Unlikely</w:t>
            </w:r>
          </w:p>
        </w:tc>
        <w:tc>
          <w:tcPr>
            <w:tcW w:w="992" w:type="dxa"/>
          </w:tcPr>
          <w:p w14:paraId="550730D0"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1417" w:type="dxa"/>
          </w:tcPr>
          <w:p w14:paraId="0FE883A4"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Multigenerational Household</w:t>
            </w:r>
          </w:p>
        </w:tc>
      </w:tr>
      <w:tr w:rsidR="00CC58F4" w:rsidRPr="006C2778" w14:paraId="7BFC9686" w14:textId="77777777" w:rsidTr="00B13EF4">
        <w:trPr>
          <w:trHeight w:val="283"/>
          <w:jc w:val="center"/>
        </w:trPr>
        <w:tc>
          <w:tcPr>
            <w:tcW w:w="1560" w:type="dxa"/>
            <w:tcBorders>
              <w:bottom w:val="single" w:sz="4" w:space="0" w:color="auto"/>
            </w:tcBorders>
          </w:tcPr>
          <w:p w14:paraId="65215CF8"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Proactive Evacuator</w:t>
            </w:r>
          </w:p>
        </w:tc>
        <w:tc>
          <w:tcPr>
            <w:tcW w:w="1417" w:type="dxa"/>
            <w:tcBorders>
              <w:bottom w:val="single" w:sz="4" w:space="0" w:color="auto"/>
            </w:tcBorders>
          </w:tcPr>
          <w:p w14:paraId="4BF88523"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40-64</w:t>
            </w:r>
          </w:p>
        </w:tc>
        <w:tc>
          <w:tcPr>
            <w:tcW w:w="709" w:type="dxa"/>
            <w:tcBorders>
              <w:bottom w:val="single" w:sz="4" w:space="0" w:color="auto"/>
            </w:tcBorders>
          </w:tcPr>
          <w:p w14:paraId="181870E6"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Male</w:t>
            </w:r>
          </w:p>
        </w:tc>
        <w:tc>
          <w:tcPr>
            <w:tcW w:w="1134" w:type="dxa"/>
            <w:tcBorders>
              <w:bottom w:val="single" w:sz="4" w:space="0" w:color="auto"/>
            </w:tcBorders>
          </w:tcPr>
          <w:p w14:paraId="7CAFF195"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Secondary level</w:t>
            </w:r>
          </w:p>
        </w:tc>
        <w:tc>
          <w:tcPr>
            <w:tcW w:w="850" w:type="dxa"/>
            <w:tcBorders>
              <w:bottom w:val="single" w:sz="4" w:space="0" w:color="auto"/>
            </w:tcBorders>
          </w:tcPr>
          <w:p w14:paraId="04D3CCA8"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20 - 30 k</w:t>
            </w:r>
          </w:p>
        </w:tc>
        <w:tc>
          <w:tcPr>
            <w:tcW w:w="993" w:type="dxa"/>
            <w:tcBorders>
              <w:bottom w:val="single" w:sz="4" w:space="0" w:color="auto"/>
            </w:tcBorders>
          </w:tcPr>
          <w:p w14:paraId="4C5EEF52"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Unlikely</w:t>
            </w:r>
          </w:p>
        </w:tc>
        <w:tc>
          <w:tcPr>
            <w:tcW w:w="992" w:type="dxa"/>
            <w:tcBorders>
              <w:bottom w:val="single" w:sz="4" w:space="0" w:color="auto"/>
            </w:tcBorders>
          </w:tcPr>
          <w:p w14:paraId="710FEFA8"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Likely</w:t>
            </w:r>
          </w:p>
        </w:tc>
        <w:tc>
          <w:tcPr>
            <w:tcW w:w="1417" w:type="dxa"/>
            <w:tcBorders>
              <w:bottom w:val="single" w:sz="4" w:space="0" w:color="auto"/>
            </w:tcBorders>
          </w:tcPr>
          <w:p w14:paraId="0B69FC31"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Couple Household with Children or Single Adult</w:t>
            </w:r>
          </w:p>
        </w:tc>
      </w:tr>
    </w:tbl>
    <w:p w14:paraId="02AAC1AC" w14:textId="77777777" w:rsidR="00EF3176" w:rsidRDefault="00EF3176" w:rsidP="00172152">
      <w:pPr>
        <w:keepNext/>
        <w:pBdr>
          <w:top w:val="nil"/>
          <w:left w:val="nil"/>
          <w:bottom w:val="nil"/>
          <w:right w:val="nil"/>
          <w:between w:val="nil"/>
        </w:pBdr>
        <w:jc w:val="center"/>
        <w:rPr>
          <w:b/>
          <w:color w:val="000000"/>
        </w:rPr>
      </w:pPr>
    </w:p>
    <w:p w14:paraId="48398F84" w14:textId="6623B384" w:rsidR="00357079" w:rsidRPr="006C2778" w:rsidRDefault="00357079" w:rsidP="00172152">
      <w:pPr>
        <w:keepNext/>
        <w:pBdr>
          <w:top w:val="nil"/>
          <w:left w:val="nil"/>
          <w:bottom w:val="nil"/>
          <w:right w:val="nil"/>
          <w:between w:val="nil"/>
        </w:pBdr>
        <w:jc w:val="center"/>
        <w:rPr>
          <w:b/>
          <w:color w:val="000000"/>
        </w:rPr>
      </w:pPr>
      <w:r w:rsidRPr="006C2778">
        <w:rPr>
          <w:b/>
          <w:color w:val="000000"/>
        </w:rPr>
        <w:t xml:space="preserve">Table </w:t>
      </w:r>
      <w:r w:rsidR="00BC4ED0" w:rsidRPr="006C2778">
        <w:rPr>
          <w:b/>
          <w:color w:val="000000"/>
        </w:rPr>
        <w:t>5</w:t>
      </w:r>
      <w:r w:rsidRPr="006C2778">
        <w:rPr>
          <w:b/>
          <w:color w:val="000000"/>
        </w:rPr>
        <w:t xml:space="preserve">.  </w:t>
      </w:r>
      <w:r w:rsidR="00BC4ED0" w:rsidRPr="006C2778">
        <w:rPr>
          <w:b/>
          <w:color w:val="000000"/>
        </w:rPr>
        <w:t>Characteristics of the identified archetypes for earthquake evacuation in Egaleo</w:t>
      </w:r>
    </w:p>
    <w:tbl>
      <w:tblPr>
        <w:tblStyle w:val="a1"/>
        <w:tblW w:w="9214" w:type="dxa"/>
        <w:jc w:val="center"/>
        <w:tblBorders>
          <w:top w:val="single" w:sz="8" w:space="0" w:color="4F81BD"/>
          <w:left w:val="nil"/>
          <w:bottom w:val="single" w:sz="8" w:space="0" w:color="4F81BD"/>
          <w:right w:val="nil"/>
          <w:insideH w:val="nil"/>
          <w:insideV w:val="nil"/>
        </w:tblBorders>
        <w:tblLayout w:type="fixed"/>
        <w:tblLook w:val="0000" w:firstRow="0" w:lastRow="0" w:firstColumn="0" w:lastColumn="0" w:noHBand="0" w:noVBand="0"/>
      </w:tblPr>
      <w:tblGrid>
        <w:gridCol w:w="1560"/>
        <w:gridCol w:w="1275"/>
        <w:gridCol w:w="1134"/>
        <w:gridCol w:w="1560"/>
        <w:gridCol w:w="1275"/>
        <w:gridCol w:w="1276"/>
        <w:gridCol w:w="1134"/>
      </w:tblGrid>
      <w:tr w:rsidR="00BD5B06" w:rsidRPr="006C2778" w14:paraId="76188071" w14:textId="7AF86EF2" w:rsidTr="00506A29">
        <w:trPr>
          <w:trHeight w:val="283"/>
          <w:jc w:val="center"/>
        </w:trPr>
        <w:tc>
          <w:tcPr>
            <w:tcW w:w="1560" w:type="dxa"/>
            <w:vMerge w:val="restart"/>
            <w:tcBorders>
              <w:top w:val="single" w:sz="4" w:space="0" w:color="auto"/>
              <w:left w:val="nil"/>
              <w:right w:val="nil"/>
            </w:tcBorders>
            <w:vAlign w:val="center"/>
          </w:tcPr>
          <w:p w14:paraId="63438E7F" w14:textId="77777777" w:rsidR="00BD5B06" w:rsidRPr="006C2778" w:rsidRDefault="00BD5B06" w:rsidP="00172152">
            <w:pPr>
              <w:pBdr>
                <w:top w:val="nil"/>
                <w:left w:val="nil"/>
                <w:bottom w:val="nil"/>
                <w:right w:val="nil"/>
                <w:between w:val="nil"/>
              </w:pBdr>
              <w:spacing w:before="40" w:after="40"/>
              <w:jc w:val="center"/>
              <w:rPr>
                <w:b/>
                <w:bCs/>
                <w:color w:val="000000"/>
                <w:sz w:val="16"/>
                <w:szCs w:val="16"/>
              </w:rPr>
            </w:pPr>
            <w:r w:rsidRPr="006C2778">
              <w:rPr>
                <w:b/>
                <w:bCs/>
                <w:color w:val="000000"/>
                <w:sz w:val="16"/>
                <w:szCs w:val="16"/>
              </w:rPr>
              <w:t>Archetypes</w:t>
            </w:r>
          </w:p>
        </w:tc>
        <w:tc>
          <w:tcPr>
            <w:tcW w:w="6520" w:type="dxa"/>
            <w:gridSpan w:val="5"/>
            <w:tcBorders>
              <w:top w:val="single" w:sz="4" w:space="0" w:color="auto"/>
              <w:left w:val="nil"/>
              <w:bottom w:val="single" w:sz="4" w:space="0" w:color="auto"/>
            </w:tcBorders>
          </w:tcPr>
          <w:p w14:paraId="31BE8C48" w14:textId="4749A5CD" w:rsidR="00BD5B06" w:rsidRPr="006C2778" w:rsidRDefault="00BD5B06" w:rsidP="00172152">
            <w:pPr>
              <w:pBdr>
                <w:top w:val="nil"/>
                <w:bottom w:val="nil"/>
                <w:right w:val="nil"/>
                <w:between w:val="nil"/>
              </w:pBdr>
              <w:spacing w:before="40" w:after="40"/>
              <w:jc w:val="center"/>
              <w:rPr>
                <w:b/>
                <w:color w:val="000000"/>
                <w:sz w:val="16"/>
                <w:szCs w:val="16"/>
              </w:rPr>
            </w:pPr>
            <w:r w:rsidRPr="006C2778">
              <w:rPr>
                <w:b/>
                <w:color w:val="000000"/>
                <w:sz w:val="15"/>
                <w:szCs w:val="15"/>
              </w:rPr>
              <w:t>Knowledge/Preparedness</w:t>
            </w:r>
          </w:p>
        </w:tc>
        <w:tc>
          <w:tcPr>
            <w:tcW w:w="1134" w:type="dxa"/>
            <w:tcBorders>
              <w:top w:val="single" w:sz="4" w:space="0" w:color="auto"/>
              <w:bottom w:val="single" w:sz="4" w:space="0" w:color="auto"/>
              <w:right w:val="nil"/>
            </w:tcBorders>
          </w:tcPr>
          <w:p w14:paraId="27C52151" w14:textId="77777777" w:rsidR="00BD5B06" w:rsidRPr="006C2778" w:rsidRDefault="00BD5B06" w:rsidP="00172152">
            <w:pPr>
              <w:pBdr>
                <w:top w:val="nil"/>
                <w:left w:val="nil"/>
                <w:bottom w:val="nil"/>
                <w:right w:val="nil"/>
                <w:between w:val="nil"/>
              </w:pBdr>
              <w:spacing w:before="40" w:after="40"/>
              <w:jc w:val="center"/>
              <w:rPr>
                <w:b/>
                <w:color w:val="000000"/>
                <w:sz w:val="16"/>
                <w:szCs w:val="16"/>
              </w:rPr>
            </w:pPr>
          </w:p>
        </w:tc>
      </w:tr>
      <w:tr w:rsidR="00BD5B06" w:rsidRPr="006C2778" w14:paraId="32506BDD" w14:textId="509BED60" w:rsidTr="00506A29">
        <w:trPr>
          <w:trHeight w:val="283"/>
          <w:jc w:val="center"/>
        </w:trPr>
        <w:tc>
          <w:tcPr>
            <w:tcW w:w="1560" w:type="dxa"/>
            <w:vMerge/>
            <w:tcBorders>
              <w:left w:val="nil"/>
              <w:bottom w:val="single" w:sz="4" w:space="0" w:color="auto"/>
              <w:right w:val="nil"/>
            </w:tcBorders>
          </w:tcPr>
          <w:p w14:paraId="25046A89" w14:textId="77777777" w:rsidR="00BD5B06" w:rsidRPr="006C2778" w:rsidRDefault="00BD5B06" w:rsidP="00172152">
            <w:pPr>
              <w:pBdr>
                <w:top w:val="nil"/>
                <w:left w:val="nil"/>
                <w:bottom w:val="nil"/>
                <w:right w:val="nil"/>
                <w:between w:val="nil"/>
              </w:pBdr>
              <w:spacing w:before="40" w:after="40"/>
              <w:rPr>
                <w:b/>
                <w:bCs/>
                <w:color w:val="000000"/>
                <w:sz w:val="16"/>
                <w:szCs w:val="16"/>
              </w:rPr>
            </w:pPr>
          </w:p>
        </w:tc>
        <w:tc>
          <w:tcPr>
            <w:tcW w:w="1275" w:type="dxa"/>
            <w:tcBorders>
              <w:top w:val="single" w:sz="4" w:space="0" w:color="auto"/>
              <w:bottom w:val="single" w:sz="4" w:space="0" w:color="auto"/>
            </w:tcBorders>
          </w:tcPr>
          <w:p w14:paraId="3577CA6F" w14:textId="0AF6A09D" w:rsidR="00BD5B06" w:rsidRPr="006C2778" w:rsidRDefault="00BD5B06"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Feeling prepared for an earthquake</w:t>
            </w:r>
          </w:p>
        </w:tc>
        <w:tc>
          <w:tcPr>
            <w:tcW w:w="1134" w:type="dxa"/>
            <w:tcBorders>
              <w:top w:val="single" w:sz="4" w:space="0" w:color="auto"/>
              <w:left w:val="nil"/>
              <w:bottom w:val="single" w:sz="4" w:space="0" w:color="auto"/>
              <w:right w:val="nil"/>
            </w:tcBorders>
          </w:tcPr>
          <w:p w14:paraId="4F9DD4CC" w14:textId="0CBDA433" w:rsidR="00BD5B06" w:rsidRPr="006C2778" w:rsidRDefault="00BD5B06"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Received information on behaviors</w:t>
            </w:r>
          </w:p>
        </w:tc>
        <w:tc>
          <w:tcPr>
            <w:tcW w:w="1560" w:type="dxa"/>
            <w:tcBorders>
              <w:top w:val="single" w:sz="4" w:space="0" w:color="auto"/>
              <w:bottom w:val="single" w:sz="4" w:space="0" w:color="auto"/>
            </w:tcBorders>
          </w:tcPr>
          <w:p w14:paraId="74F97318" w14:textId="674E654C" w:rsidR="00BD5B06" w:rsidRPr="006C2778" w:rsidRDefault="00BD5B06"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Knowledge of recommended actions in the street</w:t>
            </w:r>
          </w:p>
        </w:tc>
        <w:tc>
          <w:tcPr>
            <w:tcW w:w="1275" w:type="dxa"/>
            <w:tcBorders>
              <w:top w:val="single" w:sz="4" w:space="0" w:color="auto"/>
              <w:left w:val="nil"/>
              <w:bottom w:val="single" w:sz="4" w:space="0" w:color="auto"/>
              <w:right w:val="nil"/>
            </w:tcBorders>
          </w:tcPr>
          <w:p w14:paraId="20C14985" w14:textId="62755C6F" w:rsidR="00BD5B06" w:rsidRPr="006C2778" w:rsidRDefault="00BD5B06"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Knowledge of recommended actions at home</w:t>
            </w:r>
          </w:p>
        </w:tc>
        <w:tc>
          <w:tcPr>
            <w:tcW w:w="1276" w:type="dxa"/>
            <w:tcBorders>
              <w:top w:val="single" w:sz="4" w:space="0" w:color="auto"/>
              <w:bottom w:val="single" w:sz="4" w:space="0" w:color="auto"/>
              <w:right w:val="nil"/>
            </w:tcBorders>
          </w:tcPr>
          <w:p w14:paraId="322E3913" w14:textId="60B1DFA5" w:rsidR="00BD5B06" w:rsidRPr="006C2778" w:rsidRDefault="00BD5B06"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Knowledge of recommended actions at work</w:t>
            </w:r>
          </w:p>
        </w:tc>
        <w:tc>
          <w:tcPr>
            <w:tcW w:w="1134" w:type="dxa"/>
            <w:tcBorders>
              <w:top w:val="single" w:sz="4" w:space="0" w:color="auto"/>
              <w:bottom w:val="single" w:sz="4" w:space="0" w:color="auto"/>
            </w:tcBorders>
          </w:tcPr>
          <w:p w14:paraId="08EE6A9F" w14:textId="0C8DCA23" w:rsidR="00BD5B06" w:rsidRPr="006C2778" w:rsidRDefault="00BD5B06" w:rsidP="00172152">
            <w:pPr>
              <w:pBdr>
                <w:top w:val="nil"/>
                <w:left w:val="nil"/>
                <w:bottom w:val="nil"/>
                <w:right w:val="nil"/>
                <w:between w:val="nil"/>
              </w:pBdr>
              <w:spacing w:before="40" w:after="40"/>
              <w:jc w:val="center"/>
              <w:rPr>
                <w:b/>
                <w:color w:val="000000"/>
                <w:sz w:val="16"/>
                <w:szCs w:val="16"/>
              </w:rPr>
            </w:pPr>
            <w:r w:rsidRPr="006C2778">
              <w:rPr>
                <w:b/>
                <w:color w:val="000000"/>
                <w:sz w:val="15"/>
                <w:szCs w:val="15"/>
              </w:rPr>
              <w:t>Knowledge of Designated Open spaces</w:t>
            </w:r>
          </w:p>
        </w:tc>
      </w:tr>
      <w:tr w:rsidR="00BD5B06" w:rsidRPr="006C2778" w14:paraId="1FFFC209" w14:textId="3D7D1B12" w:rsidTr="00506A29">
        <w:trPr>
          <w:trHeight w:val="283"/>
          <w:jc w:val="center"/>
        </w:trPr>
        <w:tc>
          <w:tcPr>
            <w:tcW w:w="1560" w:type="dxa"/>
            <w:tcBorders>
              <w:top w:val="single" w:sz="4" w:space="0" w:color="auto"/>
            </w:tcBorders>
          </w:tcPr>
          <w:p w14:paraId="5246CE95" w14:textId="3345164C" w:rsidR="00BD5B06" w:rsidRPr="006C2778" w:rsidRDefault="001813C6" w:rsidP="00172152">
            <w:pPr>
              <w:pBdr>
                <w:top w:val="nil"/>
                <w:left w:val="nil"/>
                <w:bottom w:val="nil"/>
                <w:right w:val="nil"/>
                <w:between w:val="nil"/>
              </w:pBdr>
              <w:spacing w:before="40" w:after="40"/>
              <w:jc w:val="left"/>
              <w:rPr>
                <w:color w:val="000000"/>
                <w:sz w:val="16"/>
                <w:szCs w:val="16"/>
              </w:rPr>
            </w:pPr>
            <w:r w:rsidRPr="001813C6">
              <w:rPr>
                <w:color w:val="000000"/>
                <w:sz w:val="16"/>
                <w:szCs w:val="16"/>
              </w:rPr>
              <w:t>Prepared Stay-at-Home</w:t>
            </w:r>
          </w:p>
        </w:tc>
        <w:tc>
          <w:tcPr>
            <w:tcW w:w="1275" w:type="dxa"/>
            <w:tcBorders>
              <w:top w:val="single" w:sz="4" w:space="0" w:color="auto"/>
            </w:tcBorders>
          </w:tcPr>
          <w:p w14:paraId="0170070B" w14:textId="03DD0289"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34" w:type="dxa"/>
            <w:tcBorders>
              <w:top w:val="single" w:sz="4" w:space="0" w:color="auto"/>
            </w:tcBorders>
          </w:tcPr>
          <w:p w14:paraId="41CAED77" w14:textId="0910CA92"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560" w:type="dxa"/>
            <w:tcBorders>
              <w:top w:val="single" w:sz="4" w:space="0" w:color="auto"/>
            </w:tcBorders>
          </w:tcPr>
          <w:p w14:paraId="2104B81D" w14:textId="057AE295"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5" w:type="dxa"/>
            <w:tcBorders>
              <w:top w:val="single" w:sz="4" w:space="0" w:color="auto"/>
            </w:tcBorders>
          </w:tcPr>
          <w:p w14:paraId="4D17F339" w14:textId="1FC6858F"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6" w:type="dxa"/>
            <w:tcBorders>
              <w:top w:val="single" w:sz="4" w:space="0" w:color="auto"/>
            </w:tcBorders>
          </w:tcPr>
          <w:p w14:paraId="2ADA9E83" w14:textId="0CF3572C"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34" w:type="dxa"/>
            <w:tcBorders>
              <w:top w:val="single" w:sz="4" w:space="0" w:color="auto"/>
            </w:tcBorders>
          </w:tcPr>
          <w:p w14:paraId="03845C0E" w14:textId="7E8A2473"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r>
      <w:tr w:rsidR="00BD5B06" w:rsidRPr="006C2778" w14:paraId="6AD696A6" w14:textId="07CC48C0" w:rsidTr="00506A29">
        <w:trPr>
          <w:trHeight w:val="283"/>
          <w:jc w:val="center"/>
        </w:trPr>
        <w:tc>
          <w:tcPr>
            <w:tcW w:w="1560" w:type="dxa"/>
          </w:tcPr>
          <w:p w14:paraId="31C3A0D2" w14:textId="77777777" w:rsidR="00BD5B06" w:rsidRPr="006C2778" w:rsidRDefault="00BD5B06"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Reluctant Evacuator</w:t>
            </w:r>
          </w:p>
        </w:tc>
        <w:tc>
          <w:tcPr>
            <w:tcW w:w="1275" w:type="dxa"/>
          </w:tcPr>
          <w:p w14:paraId="38FD720E" w14:textId="138F7102"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34" w:type="dxa"/>
          </w:tcPr>
          <w:p w14:paraId="6E0D4DC9" w14:textId="292B3041"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560" w:type="dxa"/>
          </w:tcPr>
          <w:p w14:paraId="0F6E1BE6" w14:textId="4CA4DB58"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275" w:type="dxa"/>
          </w:tcPr>
          <w:p w14:paraId="0E30EE0C" w14:textId="4894FBA0"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276" w:type="dxa"/>
          </w:tcPr>
          <w:p w14:paraId="0628EB46" w14:textId="304A2108"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34" w:type="dxa"/>
          </w:tcPr>
          <w:p w14:paraId="430FA20D" w14:textId="51A07A51"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r>
      <w:tr w:rsidR="00BD5B06" w:rsidRPr="006C2778" w14:paraId="53755E85" w14:textId="49C89E52" w:rsidTr="00506A29">
        <w:trPr>
          <w:trHeight w:val="283"/>
          <w:jc w:val="center"/>
        </w:trPr>
        <w:tc>
          <w:tcPr>
            <w:tcW w:w="1560" w:type="dxa"/>
          </w:tcPr>
          <w:p w14:paraId="455E3D50" w14:textId="77777777" w:rsidR="00BD5B06" w:rsidRPr="006C2778" w:rsidRDefault="00BD5B06"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Reluctant Evacuator</w:t>
            </w:r>
          </w:p>
        </w:tc>
        <w:tc>
          <w:tcPr>
            <w:tcW w:w="1275" w:type="dxa"/>
          </w:tcPr>
          <w:p w14:paraId="4B630C30" w14:textId="745D59AB"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34" w:type="dxa"/>
          </w:tcPr>
          <w:p w14:paraId="31D77D62" w14:textId="37761452"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560" w:type="dxa"/>
          </w:tcPr>
          <w:p w14:paraId="32F1DA51" w14:textId="1A7A7ED6"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275" w:type="dxa"/>
          </w:tcPr>
          <w:p w14:paraId="0351145F" w14:textId="168605E4"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276" w:type="dxa"/>
          </w:tcPr>
          <w:p w14:paraId="588723CD" w14:textId="3D75A6AC"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34" w:type="dxa"/>
          </w:tcPr>
          <w:p w14:paraId="306E8236" w14:textId="1481672B"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r>
      <w:tr w:rsidR="00BD5B06" w:rsidRPr="006C2778" w14:paraId="7065799F" w14:textId="1A8623F7" w:rsidTr="00506A29">
        <w:trPr>
          <w:trHeight w:val="283"/>
          <w:jc w:val="center"/>
        </w:trPr>
        <w:tc>
          <w:tcPr>
            <w:tcW w:w="1560" w:type="dxa"/>
          </w:tcPr>
          <w:p w14:paraId="58B7E623" w14:textId="77777777" w:rsidR="00BD5B06" w:rsidRPr="006C2778" w:rsidRDefault="00BD5B06"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Protective Evacuator</w:t>
            </w:r>
          </w:p>
        </w:tc>
        <w:tc>
          <w:tcPr>
            <w:tcW w:w="1275" w:type="dxa"/>
          </w:tcPr>
          <w:p w14:paraId="2204B40B" w14:textId="77777777"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34" w:type="dxa"/>
          </w:tcPr>
          <w:p w14:paraId="297BCFFB" w14:textId="74E6DEBD"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560" w:type="dxa"/>
          </w:tcPr>
          <w:p w14:paraId="0DE69CB0" w14:textId="75A759D9"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5" w:type="dxa"/>
          </w:tcPr>
          <w:p w14:paraId="6315D0DF" w14:textId="2E9CAA5C"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6" w:type="dxa"/>
          </w:tcPr>
          <w:p w14:paraId="56FAD90C" w14:textId="299B25AA"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34" w:type="dxa"/>
          </w:tcPr>
          <w:p w14:paraId="271E861C" w14:textId="435FAC1F"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r>
      <w:tr w:rsidR="00BD5B06" w:rsidRPr="006C2778" w14:paraId="4E85F07B" w14:textId="590BAFAB" w:rsidTr="00506A29">
        <w:trPr>
          <w:trHeight w:val="283"/>
          <w:jc w:val="center"/>
        </w:trPr>
        <w:tc>
          <w:tcPr>
            <w:tcW w:w="1560" w:type="dxa"/>
          </w:tcPr>
          <w:p w14:paraId="7FF7C7E9" w14:textId="77777777" w:rsidR="00BD5B06" w:rsidRPr="006C2778" w:rsidRDefault="00BD5B06"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Protective Evacuator</w:t>
            </w:r>
          </w:p>
        </w:tc>
        <w:tc>
          <w:tcPr>
            <w:tcW w:w="1275" w:type="dxa"/>
          </w:tcPr>
          <w:p w14:paraId="5FBD3F49" w14:textId="77777777"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34" w:type="dxa"/>
          </w:tcPr>
          <w:p w14:paraId="7A31C748" w14:textId="21248A06"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560" w:type="dxa"/>
          </w:tcPr>
          <w:p w14:paraId="62B70758" w14:textId="42CF715F"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275" w:type="dxa"/>
          </w:tcPr>
          <w:p w14:paraId="22A1B448" w14:textId="73CEEABD"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276" w:type="dxa"/>
          </w:tcPr>
          <w:p w14:paraId="308DE48E" w14:textId="75893586"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34" w:type="dxa"/>
          </w:tcPr>
          <w:p w14:paraId="305F289C" w14:textId="485AF063"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No</w:t>
            </w:r>
          </w:p>
        </w:tc>
      </w:tr>
      <w:tr w:rsidR="00BD5B06" w:rsidRPr="006C2778" w14:paraId="731F5D6B" w14:textId="4DA5BB51" w:rsidTr="00506A29">
        <w:trPr>
          <w:trHeight w:val="283"/>
          <w:jc w:val="center"/>
        </w:trPr>
        <w:tc>
          <w:tcPr>
            <w:tcW w:w="1560" w:type="dxa"/>
          </w:tcPr>
          <w:p w14:paraId="036770CF" w14:textId="77777777" w:rsidR="00BD5B06" w:rsidRPr="006C2778" w:rsidRDefault="00BD5B06"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Proactive Evacuator</w:t>
            </w:r>
          </w:p>
        </w:tc>
        <w:tc>
          <w:tcPr>
            <w:tcW w:w="1275" w:type="dxa"/>
          </w:tcPr>
          <w:p w14:paraId="325F6BAC" w14:textId="385C759C"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34" w:type="dxa"/>
          </w:tcPr>
          <w:p w14:paraId="11B2815A" w14:textId="67654662"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560" w:type="dxa"/>
          </w:tcPr>
          <w:p w14:paraId="08190156" w14:textId="1BF90FEA"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5" w:type="dxa"/>
          </w:tcPr>
          <w:p w14:paraId="4254F717" w14:textId="401F75C5"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6" w:type="dxa"/>
          </w:tcPr>
          <w:p w14:paraId="509805B2" w14:textId="48EE7B42"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34" w:type="dxa"/>
          </w:tcPr>
          <w:p w14:paraId="6A0FF9AD" w14:textId="63C4D89C"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r>
      <w:tr w:rsidR="00BD5B06" w:rsidRPr="006C2778" w14:paraId="533FC9D2" w14:textId="01EA473B" w:rsidTr="00506A29">
        <w:trPr>
          <w:trHeight w:val="283"/>
          <w:jc w:val="center"/>
        </w:trPr>
        <w:tc>
          <w:tcPr>
            <w:tcW w:w="1560" w:type="dxa"/>
            <w:tcBorders>
              <w:bottom w:val="single" w:sz="4" w:space="0" w:color="auto"/>
            </w:tcBorders>
          </w:tcPr>
          <w:p w14:paraId="154FD752" w14:textId="77777777" w:rsidR="00BD5B06" w:rsidRPr="006C2778" w:rsidRDefault="00BD5B06"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Proactive Evacuator</w:t>
            </w:r>
          </w:p>
        </w:tc>
        <w:tc>
          <w:tcPr>
            <w:tcW w:w="1275" w:type="dxa"/>
            <w:tcBorders>
              <w:bottom w:val="single" w:sz="4" w:space="0" w:color="auto"/>
            </w:tcBorders>
          </w:tcPr>
          <w:p w14:paraId="33042B99" w14:textId="77777777"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34" w:type="dxa"/>
            <w:tcBorders>
              <w:bottom w:val="single" w:sz="4" w:space="0" w:color="auto"/>
            </w:tcBorders>
          </w:tcPr>
          <w:p w14:paraId="42095902" w14:textId="77777777" w:rsidR="00BD5B06" w:rsidRPr="006C2778" w:rsidRDefault="00BD5B06"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560" w:type="dxa"/>
            <w:tcBorders>
              <w:bottom w:val="single" w:sz="4" w:space="0" w:color="auto"/>
            </w:tcBorders>
          </w:tcPr>
          <w:p w14:paraId="7BA8860D" w14:textId="1655BBA0"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5" w:type="dxa"/>
            <w:tcBorders>
              <w:bottom w:val="single" w:sz="4" w:space="0" w:color="auto"/>
            </w:tcBorders>
          </w:tcPr>
          <w:p w14:paraId="0B2BA93F" w14:textId="145F5CD8"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276" w:type="dxa"/>
            <w:tcBorders>
              <w:bottom w:val="single" w:sz="4" w:space="0" w:color="auto"/>
            </w:tcBorders>
          </w:tcPr>
          <w:p w14:paraId="2508876B" w14:textId="70F18455"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34" w:type="dxa"/>
            <w:tcBorders>
              <w:bottom w:val="single" w:sz="4" w:space="0" w:color="auto"/>
            </w:tcBorders>
          </w:tcPr>
          <w:p w14:paraId="13BB4CB2" w14:textId="11B6BFED" w:rsidR="00BD5B06" w:rsidRPr="006C2778" w:rsidRDefault="00BD5B06"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r>
    </w:tbl>
    <w:p w14:paraId="563746F6" w14:textId="77777777" w:rsidR="00EF3176" w:rsidRDefault="00EF3176" w:rsidP="00172152">
      <w:pPr>
        <w:keepNext/>
        <w:pBdr>
          <w:top w:val="nil"/>
          <w:left w:val="nil"/>
          <w:bottom w:val="nil"/>
          <w:right w:val="nil"/>
          <w:between w:val="nil"/>
        </w:pBdr>
        <w:jc w:val="center"/>
        <w:rPr>
          <w:b/>
          <w:color w:val="000000"/>
        </w:rPr>
      </w:pPr>
    </w:p>
    <w:p w14:paraId="623B1036" w14:textId="6BD49A7B" w:rsidR="00CC58F4" w:rsidRPr="006C2778" w:rsidRDefault="00CC58F4" w:rsidP="00172152">
      <w:pPr>
        <w:keepNext/>
        <w:pBdr>
          <w:top w:val="nil"/>
          <w:left w:val="nil"/>
          <w:bottom w:val="nil"/>
          <w:right w:val="nil"/>
          <w:between w:val="nil"/>
        </w:pBdr>
        <w:jc w:val="center"/>
        <w:rPr>
          <w:b/>
          <w:color w:val="000000"/>
        </w:rPr>
      </w:pPr>
      <w:r w:rsidRPr="006C2778">
        <w:rPr>
          <w:b/>
          <w:color w:val="000000"/>
        </w:rPr>
        <w:t xml:space="preserve">Table </w:t>
      </w:r>
      <w:r>
        <w:rPr>
          <w:b/>
          <w:color w:val="000000"/>
        </w:rPr>
        <w:t>6</w:t>
      </w:r>
      <w:r w:rsidRPr="006C2778">
        <w:rPr>
          <w:b/>
          <w:color w:val="000000"/>
        </w:rPr>
        <w:t>.  Behaviors of the identified archetypes for earthquake evacuation in Egaleo</w:t>
      </w:r>
    </w:p>
    <w:tbl>
      <w:tblPr>
        <w:tblStyle w:val="a1"/>
        <w:tblW w:w="8993" w:type="dxa"/>
        <w:jc w:val="center"/>
        <w:tblBorders>
          <w:top w:val="single" w:sz="8" w:space="0" w:color="4F81BD"/>
          <w:left w:val="nil"/>
          <w:bottom w:val="single" w:sz="8" w:space="0" w:color="4F81BD"/>
          <w:right w:val="nil"/>
          <w:insideH w:val="nil"/>
          <w:insideV w:val="nil"/>
        </w:tblBorders>
        <w:tblLayout w:type="fixed"/>
        <w:tblLook w:val="0000" w:firstRow="0" w:lastRow="0" w:firstColumn="0" w:lastColumn="0" w:noHBand="0" w:noVBand="0"/>
      </w:tblPr>
      <w:tblGrid>
        <w:gridCol w:w="2064"/>
        <w:gridCol w:w="1031"/>
        <w:gridCol w:w="1158"/>
        <w:gridCol w:w="1843"/>
        <w:gridCol w:w="2268"/>
        <w:gridCol w:w="629"/>
      </w:tblGrid>
      <w:tr w:rsidR="00CC58F4" w:rsidRPr="006C2778" w14:paraId="70C8C825" w14:textId="77777777" w:rsidTr="00B13EF4">
        <w:trPr>
          <w:trHeight w:val="369"/>
          <w:jc w:val="center"/>
        </w:trPr>
        <w:tc>
          <w:tcPr>
            <w:tcW w:w="2064" w:type="dxa"/>
            <w:vMerge w:val="restart"/>
            <w:tcBorders>
              <w:top w:val="single" w:sz="4" w:space="0" w:color="auto"/>
              <w:left w:val="nil"/>
              <w:right w:val="nil"/>
            </w:tcBorders>
            <w:vAlign w:val="center"/>
          </w:tcPr>
          <w:p w14:paraId="0EE9E580" w14:textId="77777777" w:rsidR="00CC58F4" w:rsidRPr="006C2778" w:rsidRDefault="00CC58F4" w:rsidP="00172152">
            <w:pPr>
              <w:pBdr>
                <w:top w:val="nil"/>
                <w:left w:val="nil"/>
                <w:bottom w:val="nil"/>
                <w:right w:val="nil"/>
                <w:between w:val="nil"/>
              </w:pBdr>
              <w:spacing w:before="40" w:after="40"/>
              <w:jc w:val="center"/>
              <w:rPr>
                <w:b/>
                <w:bCs/>
                <w:color w:val="000000"/>
                <w:sz w:val="16"/>
                <w:szCs w:val="16"/>
              </w:rPr>
            </w:pPr>
            <w:r w:rsidRPr="006C2778">
              <w:rPr>
                <w:b/>
                <w:bCs/>
                <w:color w:val="000000"/>
                <w:sz w:val="16"/>
                <w:szCs w:val="16"/>
              </w:rPr>
              <w:t>Archetypes</w:t>
            </w:r>
          </w:p>
        </w:tc>
        <w:tc>
          <w:tcPr>
            <w:tcW w:w="6929" w:type="dxa"/>
            <w:gridSpan w:val="5"/>
            <w:tcBorders>
              <w:top w:val="single" w:sz="4" w:space="0" w:color="auto"/>
              <w:bottom w:val="single" w:sz="4" w:space="0" w:color="auto"/>
            </w:tcBorders>
          </w:tcPr>
          <w:p w14:paraId="3E1618F8"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6"/>
                <w:szCs w:val="16"/>
              </w:rPr>
              <w:t>Behaviors</w:t>
            </w:r>
          </w:p>
        </w:tc>
      </w:tr>
      <w:tr w:rsidR="00CC58F4" w:rsidRPr="006C2778" w14:paraId="5E47B662" w14:textId="77777777" w:rsidTr="00B13EF4">
        <w:trPr>
          <w:trHeight w:val="369"/>
          <w:jc w:val="center"/>
        </w:trPr>
        <w:tc>
          <w:tcPr>
            <w:tcW w:w="2064" w:type="dxa"/>
            <w:vMerge/>
            <w:tcBorders>
              <w:left w:val="nil"/>
              <w:bottom w:val="single" w:sz="4" w:space="0" w:color="auto"/>
              <w:right w:val="nil"/>
            </w:tcBorders>
          </w:tcPr>
          <w:p w14:paraId="61B31C6A" w14:textId="77777777" w:rsidR="00CC58F4" w:rsidRPr="006C2778" w:rsidRDefault="00CC58F4" w:rsidP="00172152">
            <w:pPr>
              <w:pBdr>
                <w:top w:val="nil"/>
                <w:left w:val="nil"/>
                <w:bottom w:val="nil"/>
                <w:right w:val="nil"/>
                <w:between w:val="nil"/>
              </w:pBdr>
              <w:spacing w:before="40" w:after="40"/>
              <w:rPr>
                <w:b/>
                <w:bCs/>
                <w:color w:val="000000"/>
                <w:sz w:val="16"/>
                <w:szCs w:val="16"/>
              </w:rPr>
            </w:pPr>
          </w:p>
        </w:tc>
        <w:tc>
          <w:tcPr>
            <w:tcW w:w="1031" w:type="dxa"/>
            <w:tcBorders>
              <w:top w:val="single" w:sz="4" w:space="0" w:color="auto"/>
              <w:bottom w:val="single" w:sz="4" w:space="0" w:color="auto"/>
            </w:tcBorders>
          </w:tcPr>
          <w:p w14:paraId="2F55FAC8"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6"/>
                <w:szCs w:val="16"/>
              </w:rPr>
              <w:t>Evacuation Decision</w:t>
            </w:r>
          </w:p>
        </w:tc>
        <w:tc>
          <w:tcPr>
            <w:tcW w:w="1158" w:type="dxa"/>
            <w:tcBorders>
              <w:top w:val="single" w:sz="4" w:space="0" w:color="auto"/>
              <w:left w:val="nil"/>
              <w:bottom w:val="single" w:sz="4" w:space="0" w:color="auto"/>
              <w:right w:val="nil"/>
            </w:tcBorders>
          </w:tcPr>
          <w:p w14:paraId="10829031"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6"/>
                <w:szCs w:val="16"/>
              </w:rPr>
              <w:t>Intermediate Action</w:t>
            </w:r>
          </w:p>
        </w:tc>
        <w:tc>
          <w:tcPr>
            <w:tcW w:w="1843" w:type="dxa"/>
            <w:tcBorders>
              <w:top w:val="single" w:sz="4" w:space="0" w:color="auto"/>
              <w:bottom w:val="single" w:sz="4" w:space="0" w:color="auto"/>
            </w:tcBorders>
          </w:tcPr>
          <w:p w14:paraId="7BE270DA"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6"/>
                <w:szCs w:val="16"/>
              </w:rPr>
              <w:t>Final Destination</w:t>
            </w:r>
          </w:p>
        </w:tc>
        <w:tc>
          <w:tcPr>
            <w:tcW w:w="2268" w:type="dxa"/>
            <w:tcBorders>
              <w:top w:val="single" w:sz="4" w:space="0" w:color="auto"/>
              <w:left w:val="nil"/>
              <w:bottom w:val="single" w:sz="4" w:space="0" w:color="auto"/>
              <w:right w:val="nil"/>
            </w:tcBorders>
          </w:tcPr>
          <w:p w14:paraId="39105F38"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6"/>
                <w:szCs w:val="16"/>
              </w:rPr>
              <w:t>Evacuates with Others</w:t>
            </w:r>
          </w:p>
        </w:tc>
        <w:tc>
          <w:tcPr>
            <w:tcW w:w="629" w:type="dxa"/>
            <w:tcBorders>
              <w:top w:val="single" w:sz="4" w:space="0" w:color="auto"/>
              <w:bottom w:val="single" w:sz="4" w:space="0" w:color="auto"/>
              <w:right w:val="nil"/>
            </w:tcBorders>
          </w:tcPr>
          <w:p w14:paraId="4421C322" w14:textId="77777777" w:rsidR="00CC58F4" w:rsidRPr="006C2778" w:rsidRDefault="00CC58F4" w:rsidP="00172152">
            <w:pPr>
              <w:pBdr>
                <w:top w:val="nil"/>
                <w:left w:val="nil"/>
                <w:bottom w:val="nil"/>
                <w:right w:val="nil"/>
                <w:between w:val="nil"/>
              </w:pBdr>
              <w:spacing w:before="40" w:after="40"/>
              <w:jc w:val="center"/>
              <w:rPr>
                <w:b/>
                <w:color w:val="000000"/>
                <w:sz w:val="16"/>
                <w:szCs w:val="16"/>
              </w:rPr>
            </w:pPr>
            <w:r w:rsidRPr="006C2778">
              <w:rPr>
                <w:b/>
                <w:color w:val="000000"/>
                <w:sz w:val="16"/>
                <w:szCs w:val="16"/>
              </w:rPr>
              <w:t>Delay (min)</w:t>
            </w:r>
          </w:p>
        </w:tc>
      </w:tr>
      <w:tr w:rsidR="00CC58F4" w:rsidRPr="006C2778" w14:paraId="0F4768A9" w14:textId="77777777" w:rsidTr="00B13EF4">
        <w:trPr>
          <w:trHeight w:val="369"/>
          <w:jc w:val="center"/>
        </w:trPr>
        <w:tc>
          <w:tcPr>
            <w:tcW w:w="2064" w:type="dxa"/>
            <w:tcBorders>
              <w:top w:val="single" w:sz="4" w:space="0" w:color="auto"/>
            </w:tcBorders>
          </w:tcPr>
          <w:p w14:paraId="002CAEF0" w14:textId="60A6E7FA" w:rsidR="00CC58F4" w:rsidRPr="006C2778" w:rsidRDefault="001813C6" w:rsidP="00172152">
            <w:pPr>
              <w:pBdr>
                <w:top w:val="nil"/>
                <w:left w:val="nil"/>
                <w:bottom w:val="nil"/>
                <w:right w:val="nil"/>
                <w:between w:val="nil"/>
              </w:pBdr>
              <w:spacing w:before="40" w:after="40"/>
              <w:jc w:val="left"/>
              <w:rPr>
                <w:color w:val="000000"/>
                <w:sz w:val="16"/>
                <w:szCs w:val="16"/>
              </w:rPr>
            </w:pPr>
            <w:r w:rsidRPr="001813C6">
              <w:rPr>
                <w:color w:val="000000"/>
                <w:sz w:val="16"/>
                <w:szCs w:val="16"/>
              </w:rPr>
              <w:t>Prepared Stay-at-Home</w:t>
            </w:r>
          </w:p>
        </w:tc>
        <w:tc>
          <w:tcPr>
            <w:tcW w:w="1031" w:type="dxa"/>
            <w:tcBorders>
              <w:top w:val="single" w:sz="4" w:space="0" w:color="auto"/>
            </w:tcBorders>
          </w:tcPr>
          <w:p w14:paraId="4D3FDECA"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158" w:type="dxa"/>
            <w:tcBorders>
              <w:top w:val="single" w:sz="4" w:space="0" w:color="auto"/>
            </w:tcBorders>
          </w:tcPr>
          <w:p w14:paraId="2652CEAB"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w:t>
            </w:r>
          </w:p>
        </w:tc>
        <w:tc>
          <w:tcPr>
            <w:tcW w:w="1843" w:type="dxa"/>
            <w:tcBorders>
              <w:top w:val="single" w:sz="4" w:space="0" w:color="auto"/>
            </w:tcBorders>
          </w:tcPr>
          <w:p w14:paraId="51CF2B78"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w:t>
            </w:r>
          </w:p>
        </w:tc>
        <w:tc>
          <w:tcPr>
            <w:tcW w:w="2268" w:type="dxa"/>
            <w:tcBorders>
              <w:top w:val="single" w:sz="4" w:space="0" w:color="auto"/>
            </w:tcBorders>
          </w:tcPr>
          <w:p w14:paraId="13C38106"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w:t>
            </w:r>
          </w:p>
        </w:tc>
        <w:tc>
          <w:tcPr>
            <w:tcW w:w="629" w:type="dxa"/>
            <w:tcBorders>
              <w:top w:val="single" w:sz="4" w:space="0" w:color="auto"/>
            </w:tcBorders>
          </w:tcPr>
          <w:p w14:paraId="4E398245"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w:t>
            </w:r>
          </w:p>
        </w:tc>
      </w:tr>
      <w:tr w:rsidR="00CC58F4" w:rsidRPr="006C2778" w14:paraId="74F346BE" w14:textId="77777777" w:rsidTr="00B13EF4">
        <w:trPr>
          <w:trHeight w:val="369"/>
          <w:jc w:val="center"/>
        </w:trPr>
        <w:tc>
          <w:tcPr>
            <w:tcW w:w="2064" w:type="dxa"/>
          </w:tcPr>
          <w:p w14:paraId="4186DBD5"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Reluctant Evacuator</w:t>
            </w:r>
          </w:p>
        </w:tc>
        <w:tc>
          <w:tcPr>
            <w:tcW w:w="1031" w:type="dxa"/>
          </w:tcPr>
          <w:p w14:paraId="6DAC5C4F"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58" w:type="dxa"/>
          </w:tcPr>
          <w:p w14:paraId="085E2C0D"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843" w:type="dxa"/>
          </w:tcPr>
          <w:p w14:paraId="1FCCB109"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Near Building</w:t>
            </w:r>
          </w:p>
        </w:tc>
        <w:tc>
          <w:tcPr>
            <w:tcW w:w="2268" w:type="dxa"/>
          </w:tcPr>
          <w:p w14:paraId="0AB07699"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 Evacuates with Everyone</w:t>
            </w:r>
          </w:p>
        </w:tc>
        <w:tc>
          <w:tcPr>
            <w:tcW w:w="629" w:type="dxa"/>
          </w:tcPr>
          <w:p w14:paraId="2EC27445"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 xml:space="preserve">1-5 </w:t>
            </w:r>
          </w:p>
        </w:tc>
      </w:tr>
      <w:tr w:rsidR="00CC58F4" w:rsidRPr="006C2778" w14:paraId="02ED54E2" w14:textId="77777777" w:rsidTr="00B13EF4">
        <w:trPr>
          <w:trHeight w:val="369"/>
          <w:jc w:val="center"/>
        </w:trPr>
        <w:tc>
          <w:tcPr>
            <w:tcW w:w="2064" w:type="dxa"/>
          </w:tcPr>
          <w:p w14:paraId="33EDD266"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Reluctant Evacuator</w:t>
            </w:r>
          </w:p>
        </w:tc>
        <w:tc>
          <w:tcPr>
            <w:tcW w:w="1031" w:type="dxa"/>
          </w:tcPr>
          <w:p w14:paraId="45AD51C5"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58" w:type="dxa"/>
          </w:tcPr>
          <w:p w14:paraId="2526CDAE"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843" w:type="dxa"/>
          </w:tcPr>
          <w:p w14:paraId="5CAD6141"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Near Building</w:t>
            </w:r>
          </w:p>
        </w:tc>
        <w:tc>
          <w:tcPr>
            <w:tcW w:w="2268" w:type="dxa"/>
          </w:tcPr>
          <w:p w14:paraId="0278DAAD"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 Evacuates Alone</w:t>
            </w:r>
          </w:p>
        </w:tc>
        <w:tc>
          <w:tcPr>
            <w:tcW w:w="629" w:type="dxa"/>
          </w:tcPr>
          <w:p w14:paraId="7169CD13"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1-5</w:t>
            </w:r>
          </w:p>
        </w:tc>
      </w:tr>
      <w:tr w:rsidR="00CC58F4" w:rsidRPr="006C2778" w14:paraId="1F323253" w14:textId="77777777" w:rsidTr="00B13EF4">
        <w:trPr>
          <w:trHeight w:val="369"/>
          <w:jc w:val="center"/>
        </w:trPr>
        <w:tc>
          <w:tcPr>
            <w:tcW w:w="2064" w:type="dxa"/>
          </w:tcPr>
          <w:p w14:paraId="65DE199F"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Protective Evacuator</w:t>
            </w:r>
          </w:p>
        </w:tc>
        <w:tc>
          <w:tcPr>
            <w:tcW w:w="1031" w:type="dxa"/>
          </w:tcPr>
          <w:p w14:paraId="1489D976"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58" w:type="dxa"/>
          </w:tcPr>
          <w:p w14:paraId="07682F2E"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843" w:type="dxa"/>
          </w:tcPr>
          <w:p w14:paraId="42E6AABD"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Undefined Open Space</w:t>
            </w:r>
          </w:p>
        </w:tc>
        <w:tc>
          <w:tcPr>
            <w:tcW w:w="2268" w:type="dxa"/>
          </w:tcPr>
          <w:p w14:paraId="2630E2E3"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 Evacuates with Everyone</w:t>
            </w:r>
          </w:p>
        </w:tc>
        <w:tc>
          <w:tcPr>
            <w:tcW w:w="629" w:type="dxa"/>
          </w:tcPr>
          <w:p w14:paraId="3C7CEA38"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1-5</w:t>
            </w:r>
          </w:p>
        </w:tc>
      </w:tr>
      <w:tr w:rsidR="00CC58F4" w:rsidRPr="006C2778" w14:paraId="4B09FB7D" w14:textId="77777777" w:rsidTr="00B13EF4">
        <w:trPr>
          <w:trHeight w:val="369"/>
          <w:jc w:val="center"/>
        </w:trPr>
        <w:tc>
          <w:tcPr>
            <w:tcW w:w="2064" w:type="dxa"/>
          </w:tcPr>
          <w:p w14:paraId="63C154AB"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Protective Evacuator</w:t>
            </w:r>
          </w:p>
        </w:tc>
        <w:tc>
          <w:tcPr>
            <w:tcW w:w="1031" w:type="dxa"/>
          </w:tcPr>
          <w:p w14:paraId="0ADA1F02"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58" w:type="dxa"/>
          </w:tcPr>
          <w:p w14:paraId="6CE43F01"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843" w:type="dxa"/>
          </w:tcPr>
          <w:p w14:paraId="0B51FACF"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Undefined Open Space</w:t>
            </w:r>
          </w:p>
        </w:tc>
        <w:tc>
          <w:tcPr>
            <w:tcW w:w="2268" w:type="dxa"/>
          </w:tcPr>
          <w:p w14:paraId="630F8AD3"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 Evacuates with Everyone</w:t>
            </w:r>
          </w:p>
        </w:tc>
        <w:tc>
          <w:tcPr>
            <w:tcW w:w="629" w:type="dxa"/>
          </w:tcPr>
          <w:p w14:paraId="664DA042"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6-15</w:t>
            </w:r>
          </w:p>
        </w:tc>
      </w:tr>
      <w:tr w:rsidR="00CC58F4" w:rsidRPr="006C2778" w14:paraId="0AF25C1A" w14:textId="77777777" w:rsidTr="00B13EF4">
        <w:trPr>
          <w:trHeight w:val="369"/>
          <w:jc w:val="center"/>
        </w:trPr>
        <w:tc>
          <w:tcPr>
            <w:tcW w:w="2064" w:type="dxa"/>
          </w:tcPr>
          <w:p w14:paraId="5901B962" w14:textId="77777777"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Proactive Evacuator</w:t>
            </w:r>
          </w:p>
        </w:tc>
        <w:tc>
          <w:tcPr>
            <w:tcW w:w="1031" w:type="dxa"/>
          </w:tcPr>
          <w:p w14:paraId="3231CFAD"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58" w:type="dxa"/>
          </w:tcPr>
          <w:p w14:paraId="3BF8E8FA"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No</w:t>
            </w:r>
          </w:p>
        </w:tc>
        <w:tc>
          <w:tcPr>
            <w:tcW w:w="1843" w:type="dxa"/>
          </w:tcPr>
          <w:p w14:paraId="570EA373"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Designated Open Space</w:t>
            </w:r>
          </w:p>
        </w:tc>
        <w:tc>
          <w:tcPr>
            <w:tcW w:w="2268" w:type="dxa"/>
          </w:tcPr>
          <w:p w14:paraId="67A14A71"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Yes, Evacuates with Someone</w:t>
            </w:r>
          </w:p>
        </w:tc>
        <w:tc>
          <w:tcPr>
            <w:tcW w:w="629" w:type="dxa"/>
          </w:tcPr>
          <w:p w14:paraId="31B1BED2"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6-15</w:t>
            </w:r>
          </w:p>
        </w:tc>
      </w:tr>
      <w:tr w:rsidR="00CC58F4" w:rsidRPr="006C2778" w14:paraId="6CC26409" w14:textId="77777777" w:rsidTr="00B13EF4">
        <w:trPr>
          <w:trHeight w:val="369"/>
          <w:jc w:val="center"/>
        </w:trPr>
        <w:tc>
          <w:tcPr>
            <w:tcW w:w="2064" w:type="dxa"/>
            <w:tcBorders>
              <w:bottom w:val="single" w:sz="4" w:space="0" w:color="auto"/>
            </w:tcBorders>
          </w:tcPr>
          <w:p w14:paraId="0EC414CF" w14:textId="07FB859F" w:rsidR="00CC58F4" w:rsidRPr="006C2778" w:rsidRDefault="00CC58F4" w:rsidP="00172152">
            <w:pPr>
              <w:pBdr>
                <w:top w:val="nil"/>
                <w:left w:val="nil"/>
                <w:bottom w:val="nil"/>
                <w:right w:val="nil"/>
                <w:between w:val="nil"/>
              </w:pBdr>
              <w:spacing w:before="40" w:after="40"/>
              <w:jc w:val="left"/>
              <w:rPr>
                <w:color w:val="000000"/>
                <w:sz w:val="16"/>
                <w:szCs w:val="16"/>
              </w:rPr>
            </w:pPr>
            <w:r w:rsidRPr="006C2778">
              <w:rPr>
                <w:color w:val="000000"/>
                <w:sz w:val="16"/>
                <w:szCs w:val="16"/>
              </w:rPr>
              <w:t>Social Proactive Evacuator</w:t>
            </w:r>
          </w:p>
        </w:tc>
        <w:tc>
          <w:tcPr>
            <w:tcW w:w="1031" w:type="dxa"/>
            <w:tcBorders>
              <w:bottom w:val="single" w:sz="4" w:space="0" w:color="auto"/>
            </w:tcBorders>
          </w:tcPr>
          <w:p w14:paraId="135F07FE"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158" w:type="dxa"/>
            <w:tcBorders>
              <w:bottom w:val="single" w:sz="4" w:space="0" w:color="auto"/>
            </w:tcBorders>
          </w:tcPr>
          <w:p w14:paraId="3FC256FE" w14:textId="77777777" w:rsidR="00CC58F4" w:rsidRPr="006C2778" w:rsidRDefault="00CC58F4" w:rsidP="00172152">
            <w:pPr>
              <w:pBdr>
                <w:top w:val="nil"/>
                <w:left w:val="nil"/>
                <w:bottom w:val="nil"/>
                <w:right w:val="nil"/>
                <w:between w:val="nil"/>
              </w:pBdr>
              <w:spacing w:before="40" w:after="40"/>
              <w:jc w:val="center"/>
              <w:rPr>
                <w:color w:val="000000"/>
                <w:sz w:val="16"/>
                <w:szCs w:val="16"/>
              </w:rPr>
            </w:pPr>
            <w:r w:rsidRPr="006C2778">
              <w:rPr>
                <w:color w:val="000000"/>
                <w:sz w:val="16"/>
                <w:szCs w:val="16"/>
              </w:rPr>
              <w:t>Yes</w:t>
            </w:r>
          </w:p>
        </w:tc>
        <w:tc>
          <w:tcPr>
            <w:tcW w:w="1843" w:type="dxa"/>
            <w:tcBorders>
              <w:bottom w:val="single" w:sz="4" w:space="0" w:color="auto"/>
            </w:tcBorders>
          </w:tcPr>
          <w:p w14:paraId="1D901F33"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Designated Open Space</w:t>
            </w:r>
          </w:p>
        </w:tc>
        <w:tc>
          <w:tcPr>
            <w:tcW w:w="2268" w:type="dxa"/>
            <w:tcBorders>
              <w:bottom w:val="single" w:sz="4" w:space="0" w:color="auto"/>
            </w:tcBorders>
          </w:tcPr>
          <w:p w14:paraId="3D09A199"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Mixed</w:t>
            </w:r>
          </w:p>
        </w:tc>
        <w:tc>
          <w:tcPr>
            <w:tcW w:w="629" w:type="dxa"/>
            <w:tcBorders>
              <w:bottom w:val="single" w:sz="4" w:space="0" w:color="auto"/>
            </w:tcBorders>
          </w:tcPr>
          <w:p w14:paraId="35893BA8" w14:textId="77777777" w:rsidR="00CC58F4" w:rsidRPr="006C2778" w:rsidRDefault="00CC58F4" w:rsidP="00172152">
            <w:pPr>
              <w:keepNext/>
              <w:pBdr>
                <w:top w:val="nil"/>
                <w:left w:val="nil"/>
                <w:bottom w:val="nil"/>
                <w:right w:val="nil"/>
                <w:between w:val="nil"/>
              </w:pBdr>
              <w:spacing w:before="40" w:after="40"/>
              <w:jc w:val="center"/>
              <w:rPr>
                <w:color w:val="000000"/>
                <w:sz w:val="16"/>
                <w:szCs w:val="16"/>
              </w:rPr>
            </w:pPr>
            <w:r w:rsidRPr="006C2778">
              <w:rPr>
                <w:color w:val="000000"/>
                <w:sz w:val="16"/>
                <w:szCs w:val="16"/>
              </w:rPr>
              <w:t>&lt;1</w:t>
            </w:r>
          </w:p>
        </w:tc>
      </w:tr>
    </w:tbl>
    <w:p w14:paraId="2596CD65" w14:textId="77777777" w:rsidR="00CC58F4" w:rsidRPr="006C2778" w:rsidRDefault="00CC58F4" w:rsidP="00172152">
      <w:pPr>
        <w:pBdr>
          <w:top w:val="nil"/>
          <w:left w:val="nil"/>
          <w:bottom w:val="nil"/>
          <w:right w:val="nil"/>
          <w:between w:val="nil"/>
        </w:pBdr>
        <w:rPr>
          <w:color w:val="000000"/>
        </w:rPr>
      </w:pPr>
    </w:p>
    <w:p w14:paraId="59FC188D" w14:textId="41FAC9E5" w:rsidR="00213A1F" w:rsidRDefault="00957CE1" w:rsidP="00312741">
      <w:pPr>
        <w:pBdr>
          <w:top w:val="nil"/>
          <w:left w:val="nil"/>
          <w:bottom w:val="nil"/>
          <w:right w:val="nil"/>
          <w:between w:val="nil"/>
        </w:pBdr>
        <w:rPr>
          <w:color w:val="000000"/>
        </w:rPr>
      </w:pPr>
      <w:r w:rsidRPr="00957CE1">
        <w:rPr>
          <w:color w:val="000000"/>
        </w:rPr>
        <w:t xml:space="preserve">For each </w:t>
      </w:r>
      <w:r w:rsidRPr="006C2778">
        <w:rPr>
          <w:color w:val="000000"/>
        </w:rPr>
        <w:t>archetype</w:t>
      </w:r>
      <w:r w:rsidRPr="00957CE1">
        <w:rPr>
          <w:color w:val="000000"/>
        </w:rPr>
        <w:t xml:space="preserve">, dominant categorical values and modal characteristics were identified to summarize its socio-demographic and behavioral profile. </w:t>
      </w:r>
      <w:r w:rsidRPr="006C2778">
        <w:rPr>
          <w:color w:val="000000"/>
        </w:rPr>
        <w:t>Table</w:t>
      </w:r>
      <w:r w:rsidR="00607224">
        <w:rPr>
          <w:color w:val="000000"/>
        </w:rPr>
        <w:t>s 5 and</w:t>
      </w:r>
      <w:r w:rsidRPr="006C2778">
        <w:rPr>
          <w:color w:val="000000"/>
        </w:rPr>
        <w:t xml:space="preserve"> </w:t>
      </w:r>
      <w:r>
        <w:rPr>
          <w:color w:val="000000"/>
        </w:rPr>
        <w:t>6</w:t>
      </w:r>
      <w:r w:rsidRPr="006C2778">
        <w:rPr>
          <w:color w:val="000000"/>
        </w:rPr>
        <w:t xml:space="preserve"> summarize the core behavioral </w:t>
      </w:r>
      <w:r>
        <w:rPr>
          <w:color w:val="000000"/>
        </w:rPr>
        <w:t>attributes</w:t>
      </w:r>
      <w:r w:rsidRPr="006C2778">
        <w:rPr>
          <w:color w:val="000000"/>
        </w:rPr>
        <w:t xml:space="preserve"> of each archetype across the main decision points. </w:t>
      </w:r>
      <w:r w:rsidR="0041381F" w:rsidRPr="006C2778">
        <w:rPr>
          <w:color w:val="000000"/>
        </w:rPr>
        <w:t xml:space="preserve">Prepared </w:t>
      </w:r>
      <w:r w:rsidR="000F2F66">
        <w:rPr>
          <w:color w:val="000000"/>
        </w:rPr>
        <w:t>Stay-at-Home</w:t>
      </w:r>
      <w:r w:rsidR="0041381F" w:rsidRPr="006C2778">
        <w:rPr>
          <w:color w:val="000000"/>
        </w:rPr>
        <w:t xml:space="preserve"> </w:t>
      </w:r>
      <w:r w:rsidR="009B3242">
        <w:rPr>
          <w:color w:val="000000"/>
        </w:rPr>
        <w:t xml:space="preserve">archetype </w:t>
      </w:r>
      <w:r w:rsidR="0041381F" w:rsidRPr="006C2778">
        <w:rPr>
          <w:color w:val="000000"/>
        </w:rPr>
        <w:t>represent</w:t>
      </w:r>
      <w:r w:rsidR="009B3242">
        <w:rPr>
          <w:color w:val="000000"/>
        </w:rPr>
        <w:t>s</w:t>
      </w:r>
      <w:r w:rsidR="0041381F" w:rsidRPr="006C2778">
        <w:rPr>
          <w:color w:val="000000"/>
        </w:rPr>
        <w:t xml:space="preserve"> individuals who generally trust the structural safety of their building, report relatively high levels of preparedness, and are inclined to stay indoors, especially in low-rise buildings. Reluctant Evacuators and Social Reluctant Evacuators both tend to evacuate only when strong cues or visible damage are present</w:t>
      </w:r>
      <w:r w:rsidR="005E75EE">
        <w:rPr>
          <w:color w:val="000000"/>
        </w:rPr>
        <w:t>. H</w:t>
      </w:r>
      <w:r w:rsidR="0041381F" w:rsidRPr="006C2778">
        <w:rPr>
          <w:color w:val="000000"/>
        </w:rPr>
        <w:t xml:space="preserve">owever, </w:t>
      </w:r>
      <w:r w:rsidR="009E597E" w:rsidRPr="006C2778">
        <w:rPr>
          <w:color w:val="000000"/>
        </w:rPr>
        <w:t xml:space="preserve">Social Reluctant Evacuators </w:t>
      </w:r>
      <w:r w:rsidR="0041381F" w:rsidRPr="006C2778">
        <w:rPr>
          <w:color w:val="000000"/>
        </w:rPr>
        <w:t xml:space="preserve">prioritize staying physically close to family and friends and are more likely to delay movement until their social circle moves. Protective Evacuators and Social Protective Evacuators systematically prioritize the safety of dependents (children, older adults, or people with limited mobility), often spending additional time confirming that household members </w:t>
      </w:r>
      <w:r w:rsidR="000F2F66">
        <w:rPr>
          <w:color w:val="000000"/>
        </w:rPr>
        <w:t xml:space="preserve">or relatives </w:t>
      </w:r>
      <w:r w:rsidR="0041381F" w:rsidRPr="006C2778">
        <w:rPr>
          <w:color w:val="000000"/>
        </w:rPr>
        <w:t>are safe before moving to an open area</w:t>
      </w:r>
      <w:r w:rsidR="00547ABB">
        <w:rPr>
          <w:color w:val="000000"/>
        </w:rPr>
        <w:t>.</w:t>
      </w:r>
      <w:r w:rsidR="0041381F" w:rsidRPr="006C2778">
        <w:rPr>
          <w:color w:val="000000"/>
        </w:rPr>
        <w:t xml:space="preserve"> </w:t>
      </w:r>
      <w:r w:rsidR="005E75EE">
        <w:rPr>
          <w:color w:val="000000"/>
        </w:rPr>
        <w:t>I</w:t>
      </w:r>
      <w:r w:rsidR="0041381F" w:rsidRPr="006C2778">
        <w:rPr>
          <w:color w:val="000000"/>
        </w:rPr>
        <w:t xml:space="preserve">n the social variant, this protective focus extends to </w:t>
      </w:r>
      <w:r w:rsidR="009E597E" w:rsidRPr="006C2778">
        <w:rPr>
          <w:color w:val="000000"/>
        </w:rPr>
        <w:t>neighbors</w:t>
      </w:r>
      <w:r w:rsidR="0041381F" w:rsidRPr="006C2778">
        <w:rPr>
          <w:color w:val="000000"/>
        </w:rPr>
        <w:t xml:space="preserve"> and close contacts. Finally, Proactive Evacuators and Social Proactive Evacuators are characterized by early, self-initiated evacuation, frequent use of predefined assembly points, and strong reliance on personal knowledge of evacuation procedures; again, the social variant places greater emphasis on coordinated departure with others and on mutual assistance during movement.</w:t>
      </w:r>
      <w:r w:rsidR="00607224">
        <w:rPr>
          <w:color w:val="000000"/>
        </w:rPr>
        <w:t xml:space="preserve"> </w:t>
      </w:r>
      <w:r w:rsidR="00CC58F4" w:rsidRPr="00CC58F4">
        <w:rPr>
          <w:color w:val="000000"/>
        </w:rPr>
        <w:t xml:space="preserve">These behavioral patterns are systematically linked to distinct socio-demographic and attitudinal profiles. </w:t>
      </w:r>
    </w:p>
    <w:p w14:paraId="6E50419E" w14:textId="64192EFF" w:rsidR="001813C6" w:rsidRDefault="001813C6" w:rsidP="00312741">
      <w:pPr>
        <w:pBdr>
          <w:top w:val="nil"/>
          <w:left w:val="nil"/>
          <w:bottom w:val="nil"/>
          <w:right w:val="nil"/>
          <w:between w:val="nil"/>
        </w:pBdr>
        <w:rPr>
          <w:color w:val="000000"/>
        </w:rPr>
      </w:pPr>
      <w:r w:rsidRPr="001813C6">
        <w:rPr>
          <w:color w:val="000000"/>
          <w:highlight w:val="yellow"/>
        </w:rPr>
        <w:t xml:space="preserve">To operationalize these archetypes within the census-based synthetic population, the dominant socio-demographic characteristics summarized in Table 4 were treated as signature profiles for each behavioral type. Using municipal </w:t>
      </w:r>
      <w:r w:rsidRPr="001813C6">
        <w:rPr>
          <w:color w:val="000000"/>
          <w:highlight w:val="yellow"/>
        </w:rPr>
        <w:lastRenderedPageBreak/>
        <w:t xml:space="preserve">and census datasets, we generated a synthetic population of approximately 5000 residents reflecting the local age distribution, gender composition, household structure, education levels, and available vulnerability indicators. Each synthetic individual was then assigned to an archetype using </w:t>
      </w:r>
      <w:r w:rsidRPr="001813C6">
        <w:rPr>
          <w:color w:val="000000"/>
          <w:highlight w:val="yellow"/>
        </w:rPr>
        <w:t xml:space="preserve">an </w:t>
      </w:r>
      <w:r w:rsidRPr="001813C6">
        <w:rPr>
          <w:color w:val="000000"/>
          <w:highlight w:val="yellow"/>
        </w:rPr>
        <w:t>attribute-matching procedure, where agreement across key attributes (e.g., age group, gender, household composition, caregiving status, disability, and other available variables) was used to identify the best-aligned archetype profile. The resulting archetype distribution in the synthetic population (Figure 4) therefore reflects the proportion of individuals whose census-based characteristics best match each archetype’s signature profile. In this way, survey data inform the definition and interpretation of behavioral types, while census and municipal data determine their prevalence within the modeled population.</w:t>
      </w:r>
    </w:p>
    <w:p w14:paraId="61270011" w14:textId="059EB1F3" w:rsidR="00957CE1" w:rsidRDefault="00957CE1" w:rsidP="00312741">
      <w:pPr>
        <w:pBdr>
          <w:top w:val="nil"/>
          <w:left w:val="nil"/>
          <w:bottom w:val="nil"/>
          <w:right w:val="nil"/>
          <w:between w:val="nil"/>
        </w:pBdr>
      </w:pPr>
      <w:r>
        <w:t xml:space="preserve">The plausibility and interpretability of the derived archetypes were assessed based on </w:t>
      </w:r>
      <w:r w:rsidRPr="003A7545">
        <w:rPr>
          <w:rStyle w:val="Emphasis"/>
          <w:i w:val="0"/>
          <w:iCs w:val="0"/>
        </w:rPr>
        <w:t>the</w:t>
      </w:r>
      <w:r>
        <w:rPr>
          <w:rStyle w:val="Emphasis"/>
        </w:rPr>
        <w:t xml:space="preserve"> calibrate behavioral parameters </w:t>
      </w:r>
      <w:r w:rsidRPr="003A7545">
        <w:rPr>
          <w:rStyle w:val="Emphasis"/>
          <w:i w:val="0"/>
          <w:iCs w:val="0"/>
        </w:rPr>
        <w:t>element</w:t>
      </w:r>
      <w:r>
        <w:t xml:space="preserve"> via a structured feedback session with local stakeholders, consistent with the expert-engagement loop defined in the framework (Figure 1). Municipal officials, civil protection representatives, and technical experts reviewed the archetype definitions and associated behavioral tables and evaluated their realism, coverage of observed response patterns, and relevance for evacuation planning (Figure 3). Overall, the feedback confirmed that the archetypes reflected recognizable behavioral types observed in past drills and earthquake events in Egaleo (i.e., </w:t>
      </w:r>
      <w:r w:rsidRPr="004C0AE1">
        <w:rPr>
          <w:i/>
          <w:iCs/>
        </w:rPr>
        <w:t>validate and interpret behavioral outcomes</w:t>
      </w:r>
      <w:r>
        <w:t>). Stakeholders emphasized the importance of Reluctant Evacuators as a key group for targeted risk communication, while Social Proactive Evacuators were identified as potential facilitators of collective action during preparedness and response. Based on this feedback, minor refinements to archetype labels and descriptions were introduced to ensure consistency with local terminology and practice.</w:t>
      </w:r>
    </w:p>
    <w:p w14:paraId="7600F686" w14:textId="5E077370" w:rsidR="00213A1F" w:rsidRPr="006C2778" w:rsidRDefault="00213A1F" w:rsidP="00213A1F">
      <w:pPr>
        <w:pBdr>
          <w:top w:val="nil"/>
          <w:left w:val="nil"/>
          <w:bottom w:val="nil"/>
          <w:right w:val="nil"/>
          <w:between w:val="nil"/>
        </w:pBdr>
        <w:rPr>
          <w:color w:val="000000"/>
        </w:rPr>
      </w:pPr>
      <w:r w:rsidRPr="006C2778">
        <w:rPr>
          <w:color w:val="000000"/>
        </w:rPr>
        <w:t xml:space="preserve">Through this process, the </w:t>
      </w:r>
      <w:r w:rsidRPr="00CC58F4">
        <w:rPr>
          <w:i/>
          <w:iCs/>
          <w:color w:val="000000"/>
        </w:rPr>
        <w:t>Behavioral Representation</w:t>
      </w:r>
      <w:r w:rsidRPr="006C2778">
        <w:rPr>
          <w:color w:val="000000"/>
        </w:rPr>
        <w:t xml:space="preserve"> stage in Egaleo delivered a multi-archetype earthquake HBM that is firmly anchored in </w:t>
      </w:r>
      <w:r w:rsidRPr="00CC58F4">
        <w:rPr>
          <w:i/>
          <w:iCs/>
          <w:color w:val="000000"/>
        </w:rPr>
        <w:t>Living Scenario Dataset</w:t>
      </w:r>
      <w:r w:rsidRPr="006C2778">
        <w:rPr>
          <w:color w:val="000000"/>
        </w:rPr>
        <w:t xml:space="preserve"> yet sufficiently compact and interpretable for practical use by stakeholders. The combination of data-driven clustering, socio-demographic characterization, and participatory validation ensures that the resulting behavioral types are both empirically grounded and locally meaningful. </w:t>
      </w:r>
      <w:r w:rsidRPr="00CC58F4">
        <w:rPr>
          <w:color w:val="000000"/>
        </w:rPr>
        <w:t>T</w:t>
      </w:r>
      <w:r w:rsidRPr="006C2778">
        <w:rPr>
          <w:color w:val="000000"/>
        </w:rPr>
        <w:t>he next section</w:t>
      </w:r>
      <w:r w:rsidRPr="00CC58F4">
        <w:rPr>
          <w:color w:val="000000"/>
        </w:rPr>
        <w:t xml:space="preserve"> ex</w:t>
      </w:r>
      <w:r w:rsidRPr="006C2778">
        <w:rPr>
          <w:color w:val="000000"/>
        </w:rPr>
        <w:t xml:space="preserve">plains how these archetypes </w:t>
      </w:r>
      <w:r w:rsidRPr="00CC58F4">
        <w:rPr>
          <w:color w:val="000000"/>
        </w:rPr>
        <w:t>were</w:t>
      </w:r>
      <w:r w:rsidRPr="006C2778">
        <w:rPr>
          <w:color w:val="000000"/>
        </w:rPr>
        <w:t xml:space="preserve"> integrated into </w:t>
      </w:r>
      <w:r>
        <w:rPr>
          <w:color w:val="000000"/>
        </w:rPr>
        <w:t>the ABM. The goal of the simulat</w:t>
      </w:r>
      <w:r w:rsidR="001813C6">
        <w:rPr>
          <w:color w:val="000000"/>
        </w:rPr>
        <w:t>i</w:t>
      </w:r>
      <w:r>
        <w:rPr>
          <w:color w:val="000000"/>
        </w:rPr>
        <w:t>o</w:t>
      </w:r>
      <w:r w:rsidR="001813C6">
        <w:rPr>
          <w:color w:val="000000"/>
        </w:rPr>
        <w:t>n</w:t>
      </w:r>
      <w:r>
        <w:rPr>
          <w:color w:val="000000"/>
        </w:rPr>
        <w:t xml:space="preserve"> was </w:t>
      </w:r>
      <w:r w:rsidRPr="006C2778">
        <w:rPr>
          <w:color w:val="000000"/>
        </w:rPr>
        <w:t>to explore how differences in decision timing, social coordination, and protective behavior translate into distinct patterns of evacuation dynamics and congestion across the urban network.</w:t>
      </w:r>
    </w:p>
    <w:p w14:paraId="4D2DED99" w14:textId="77777777" w:rsidR="00213A1F" w:rsidRPr="00957CE1" w:rsidRDefault="00213A1F" w:rsidP="00312741">
      <w:pPr>
        <w:pBdr>
          <w:top w:val="nil"/>
          <w:left w:val="nil"/>
          <w:bottom w:val="nil"/>
          <w:right w:val="nil"/>
          <w:between w:val="nil"/>
        </w:pBdr>
      </w:pPr>
    </w:p>
    <w:p w14:paraId="340A8DD6" w14:textId="77777777" w:rsidR="00CC58F4" w:rsidRPr="006C2778" w:rsidRDefault="00CC58F4" w:rsidP="00CC58F4">
      <w:pPr>
        <w:pBdr>
          <w:top w:val="nil"/>
          <w:left w:val="nil"/>
          <w:bottom w:val="nil"/>
          <w:right w:val="nil"/>
          <w:between w:val="nil"/>
        </w:pBdr>
        <w:jc w:val="center"/>
        <w:rPr>
          <w:color w:val="000000"/>
        </w:rPr>
      </w:pPr>
      <w:r w:rsidRPr="006C2778">
        <w:rPr>
          <w:noProof/>
          <w:color w:val="000000"/>
        </w:rPr>
        <w:drawing>
          <wp:inline distT="0" distB="0" distL="0" distR="0" wp14:anchorId="7CA191DA" wp14:editId="005E4533">
            <wp:extent cx="4172287" cy="3912041"/>
            <wp:effectExtent l="0" t="0" r="0" b="0"/>
            <wp:docPr id="1509892161" name="Picture 1" descr="A group of white and purple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92161" name="Picture 1" descr="A group of white and purple boxes with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0767" cy="4126269"/>
                    </a:xfrm>
                    <a:prstGeom prst="rect">
                      <a:avLst/>
                    </a:prstGeom>
                  </pic:spPr>
                </pic:pic>
              </a:graphicData>
            </a:graphic>
          </wp:inline>
        </w:drawing>
      </w:r>
    </w:p>
    <w:p w14:paraId="3BB1EE2A" w14:textId="7408BC5C" w:rsidR="00CC58F4" w:rsidRPr="00CC58F4" w:rsidRDefault="00CC58F4" w:rsidP="00CC58F4">
      <w:pPr>
        <w:pStyle w:val="Caption"/>
        <w:jc w:val="center"/>
        <w:rPr>
          <w:b/>
          <w:bCs/>
          <w:i w:val="0"/>
          <w:iCs w:val="0"/>
          <w:color w:val="000000" w:themeColor="text1"/>
          <w:sz w:val="20"/>
          <w:szCs w:val="20"/>
        </w:rPr>
      </w:pPr>
      <w:r w:rsidRPr="006C2778">
        <w:rPr>
          <w:b/>
          <w:bCs/>
          <w:i w:val="0"/>
          <w:iCs w:val="0"/>
          <w:color w:val="000000" w:themeColor="text1"/>
          <w:sz w:val="20"/>
          <w:szCs w:val="20"/>
        </w:rPr>
        <w:t>Figure 3. Experts’ feedback on the behavioral archetypes for earthquake response in Egaleo</w:t>
      </w:r>
    </w:p>
    <w:p w14:paraId="0F90B03B" w14:textId="6C58B9BA" w:rsidR="00BA3E2D" w:rsidRPr="006C2778" w:rsidRDefault="00BA3E2D" w:rsidP="00BA3E2D">
      <w:pPr>
        <w:pStyle w:val="Heading1"/>
      </w:pPr>
      <w:r w:rsidRPr="006C2778">
        <w:lastRenderedPageBreak/>
        <w:t>EARTHQUAKE EVACUATION SIMULATION WITH ARCHETYPE</w:t>
      </w:r>
      <w:r w:rsidR="00CC58F4">
        <w:t>-BASED HBM</w:t>
      </w:r>
    </w:p>
    <w:p w14:paraId="756430AA" w14:textId="29E48FD8" w:rsidR="00D74037" w:rsidRDefault="00D74037" w:rsidP="00BA3E2D">
      <w:pPr>
        <w:pBdr>
          <w:top w:val="nil"/>
          <w:left w:val="nil"/>
          <w:bottom w:val="nil"/>
          <w:right w:val="nil"/>
          <w:between w:val="nil"/>
        </w:pBdr>
        <w:rPr>
          <w:color w:val="000000"/>
        </w:rPr>
      </w:pPr>
      <w:r w:rsidRPr="00D74037">
        <w:rPr>
          <w:color w:val="000000"/>
          <w:highlight w:val="yellow"/>
        </w:rPr>
        <w:t>Building on the behavioral archetypes described in Section 3, we operationalized these patterns within the ABM platform to examine how socially differentiated decision-making shapes evacuation dynamics. The simulation was implemented in MATSim</w:t>
      </w:r>
      <w:r w:rsidRPr="00D74037">
        <w:rPr>
          <w:rStyle w:val="FootnoteReference"/>
          <w:color w:val="000000"/>
          <w:highlight w:val="yellow"/>
        </w:rPr>
        <w:footnoteReference w:id="4"/>
      </w:r>
      <w:r w:rsidRPr="00D74037">
        <w:rPr>
          <w:color w:val="000000"/>
          <w:highlight w:val="yellow"/>
        </w:rPr>
        <w:t xml:space="preserve"> </w:t>
      </w:r>
      <w:r w:rsidRPr="00D74037">
        <w:rPr>
          <w:color w:val="000000"/>
          <w:highlight w:val="yellow"/>
        </w:rPr>
        <w:fldChar w:fldCharType="begin"/>
      </w:r>
      <w:r w:rsidRPr="00D74037">
        <w:rPr>
          <w:color w:val="000000"/>
          <w:highlight w:val="yellow"/>
        </w:rPr>
        <w:instrText xml:space="preserve"> ADDIN ZOTERO_ITEM CSL_CITATION {"citationID":"hLwEkkU4","properties":{"formattedCitation":"(W. Axhausen et al., 2016)","plainCitation":"(W. Axhausen et al., 2016)","noteIndex":0},"citationItems":[{"id":"ueiO9W5d/9F9KNg31","uris":["http://zotero.org/users/local/fUjRzi5I/items/DVSPR78Z"],"itemData":{"id":47,"type":"book","abstract":"The MATSim (Multi-Agent Transport Simulation) software project was started around 2006 with the goal of generating traffic and congestion patterns by following individual synthetic travelers through their daily or weekly activity programme. It has since then evolved from a collection of stand-alone C++ programs to an integrated Java-based framework which is publicly hosted, open-source available, automatically regression tested. It is currently used by about 40 groups throughout the world. This book takes stock of the current status. The first part of the book gives an introduction to the most important concepts, with the intention of enabling a potential user to set up and run basic simulations.The second part of the book describes how the basic functionality can be extended, for example by adding schedule-based public transit, electric or autonomous cars, paratransit, or within-day replanning. For each extension, the text provides pointers to the additional documentation and to the code base. It is also discussed how people with appropriate Java programming skills can write their own extensions, and plug them into the MATSim core.\nThe project has started from the basic idea that traffic is a consequence of human behavior, and thus humans and their behavior should be the starting point of all modelling, and with the intuition that when simulations with 100 million particles are possible in computational physics, then behavior-oriented simulations with 10 million travelers should be possible in travel behavior research. The initial implementations thus combined concepts from computational physics and complex adaptive systems with concepts from travel behavior research. The third part of the book looks at theoretical concepts that are able to describe important aspects of the simulation system; for example, under certain conditions the code becomes a Monte Carlo engine sampling from a discrete choice model. Another important aspect is the interpretation of the MATSim score as utility in the microeconomic sense, opening up a connection to benefit cost analysis.\nFinally, the book collects use cases as they have been undertaken with MATSim. All current users of MATSim were invited to submit their work, and many followed with sometimes crisp and short and sometimes longer contributions, always with pointers to additional references.\nWe hope that the book will become an invitation to explore, to build and to extend agent-based modeling of travel behavior from the stable and well tested core of MATSim documented here.","language":"English","note":"Accepted: 2016-12-31 23:55:55\nDOI: 10.5334/baw","publisher":"Ubiquity Press","source":"library.oapen.org","title":"The Multi-Agent Transport Simulation MATSim","URL":"https://library.oapen.org/handle/20.500.12657/32162","editor":[{"family":"W. Axhausen","given":"Kay"},{"family":"Horni","given":"Andreas"},{"family":"Nagel","given":"Kai"}],"accessed":{"date-parts":[["2025",12,11]]},"issued":{"date-parts":[["2016"]]}}}],"schema":"https://github.com/citation-style-language/schema/raw/master/csl-citation.json"} </w:instrText>
      </w:r>
      <w:r w:rsidRPr="00D74037">
        <w:rPr>
          <w:color w:val="000000"/>
          <w:highlight w:val="yellow"/>
        </w:rPr>
        <w:fldChar w:fldCharType="separate"/>
      </w:r>
      <w:r w:rsidRPr="00D74037">
        <w:rPr>
          <w:noProof/>
          <w:color w:val="000000"/>
          <w:highlight w:val="yellow"/>
        </w:rPr>
        <w:t>(W. Axhausen et al., 2016)</w:t>
      </w:r>
      <w:r w:rsidRPr="00D74037">
        <w:rPr>
          <w:color w:val="000000"/>
          <w:highlight w:val="yellow"/>
        </w:rPr>
        <w:fldChar w:fldCharType="end"/>
      </w:r>
      <w:r w:rsidRPr="00D74037">
        <w:rPr>
          <w:color w:val="000000"/>
          <w:highlight w:val="yellow"/>
        </w:rPr>
        <w:t>, which provides the mobility and network execution engine. Seven archetypes represent the dominant behavioral logics within Egaleo’s population, and their prevalence within the simulated population (Figure 4) was determined as described in Section 3. We now describe how these archetypes were integrated into the simulation environment.</w:t>
      </w:r>
    </w:p>
    <w:p w14:paraId="3795ADD5" w14:textId="04E73523" w:rsidR="00FD0831" w:rsidRPr="00FD0831" w:rsidRDefault="00FD0831" w:rsidP="00BA3E2D">
      <w:pPr>
        <w:pBdr>
          <w:top w:val="nil"/>
          <w:left w:val="nil"/>
          <w:bottom w:val="nil"/>
          <w:right w:val="nil"/>
          <w:between w:val="nil"/>
        </w:pBdr>
        <w:rPr>
          <w:color w:val="000000"/>
          <w:highlight w:val="yellow"/>
        </w:rPr>
      </w:pPr>
      <w:r w:rsidRPr="00D74037">
        <w:rPr>
          <w:color w:val="000000"/>
          <w:highlight w:val="yellow"/>
        </w:rPr>
        <w:t xml:space="preserve">To operationalize the derived archetypes within the evacuation simulation, we adopted a Belief–Desire–Intention (BDI) architecture as the cognitive layer governing agent decision-making </w:t>
      </w:r>
      <w:r w:rsidRPr="00D74037">
        <w:rPr>
          <w:color w:val="000000"/>
          <w:highlight w:val="yellow"/>
        </w:rPr>
        <w:fldChar w:fldCharType="begin"/>
      </w:r>
      <w:r w:rsidRPr="00D74037">
        <w:rPr>
          <w:color w:val="000000"/>
          <w:highlight w:val="yellow"/>
        </w:rPr>
        <w:instrText xml:space="preserve"> ADDIN ZOTERO_ITEM CSL_CITATION {"citationID":"bgc6sDVT","properties":{"formattedCitation":"(Caillou et al., 2017)","plainCitation":"(Caillou et al., 2017)","noteIndex":0},"citationItems":[{"id":"ueiO9W5d/nSIyN842","uris":["http://zotero.org/users/local/fUjRzi5I/items/8JW56IZ4"],"itemData":{"id":46,"type":"paper-conference","abstract":"With the increase of computing power and the development of user-friendly multi-agent simulation frameworks, social simulations have become increasingly realistic. However, most agent architectures in these simulations use simple reactive models. Cognitive architectures face two main obstacles: their complexity for the field-expert modeler, and their computational cost. In this paper, we propose a new cognitive agent architecture based on the Belief-Desire-Intention paradigm integrated into the GAMA modeling platform. Based on the GAML modeling language, this architecture was designed to be simple-to-use for modelers, flexible enough to manage complex behaviors, and with low computational cost. This architecture is illustrated with a simulation of the evolution of land-use in the Mekong Delta.","container-title":"Advances in Social Simulation 2015","DOI":"10.1007/978-3-319-47253-9_2","event-place":"Cham","ISBN":"978-3-319-47253-9","language":"en","page":"15-28","publisher":"Springer International Publishing","publisher-place":"Cham","source":"Springer Link","title":"A Simple-to-Use BDI Architecture for Agent-Based Modeling and Simulation","author":[{"family":"Caillou","given":"Philippe"},{"family":"Gaudou","given":"Benoit"},{"family":"Grignard","given":"Arnaud"},{"family":"Truong","given":"Chi Quang"},{"family":"Taillandier","given":"Patrick"}],"editor":[{"family":"Jager","given":"Wander"},{"family":"Verbrugge","given":"Rineke"},{"family":"Flache","given":"Andreas"},{"family":"Roo","given":"Gert","non-dropping-particle":"de"},{"family":"Hoogduin","given":"Lex"},{"family":"Hemelrijk","given":"Charlotte"}],"issued":{"date-parts":[["2017"]]}}}],"schema":"https://github.com/citation-style-language/schema/raw/master/csl-citation.json"} </w:instrText>
      </w:r>
      <w:r w:rsidRPr="00D74037">
        <w:rPr>
          <w:color w:val="000000"/>
          <w:highlight w:val="yellow"/>
        </w:rPr>
        <w:fldChar w:fldCharType="separate"/>
      </w:r>
      <w:r w:rsidRPr="00D74037">
        <w:rPr>
          <w:noProof/>
          <w:color w:val="000000"/>
          <w:highlight w:val="yellow"/>
        </w:rPr>
        <w:t>(Caillou et al., 2017)</w:t>
      </w:r>
      <w:r w:rsidRPr="00D74037">
        <w:rPr>
          <w:color w:val="000000"/>
          <w:highlight w:val="yellow"/>
        </w:rPr>
        <w:fldChar w:fldCharType="end"/>
      </w:r>
      <w:r w:rsidRPr="00D74037">
        <w:rPr>
          <w:highlight w:val="yellow"/>
        </w:rPr>
        <w:t>.</w:t>
      </w:r>
      <w:r w:rsidRPr="00D74037">
        <w:rPr>
          <w:highlight w:val="yellow"/>
        </w:rPr>
        <w:t xml:space="preserve"> </w:t>
      </w:r>
      <w:r w:rsidRPr="00D74037">
        <w:rPr>
          <w:color w:val="000000"/>
          <w:highlight w:val="yellow"/>
        </w:rPr>
        <w:t>The BDI model structures behavior into three components: beliefs, representing an agent’s perception of its environment and internal state; desires, representing goals or priorities the agent seeks to achieve; and intentions, representing the concrete actions the agent commits to executing. In this study, each archetype corresponds to a distinct configuration of beliefs, goal priorities, delay parameters, and action rules. Archetypes</w:t>
      </w:r>
      <w:r w:rsidRPr="00D74037">
        <w:rPr>
          <w:color w:val="000000"/>
          <w:highlight w:val="yellow"/>
        </w:rPr>
        <w:t>,</w:t>
      </w:r>
      <w:r w:rsidRPr="00D74037">
        <w:rPr>
          <w:color w:val="000000"/>
          <w:highlight w:val="yellow"/>
        </w:rPr>
        <w:t xml:space="preserve"> therefore</w:t>
      </w:r>
      <w:r w:rsidRPr="00D74037">
        <w:rPr>
          <w:color w:val="000000"/>
          <w:highlight w:val="yellow"/>
        </w:rPr>
        <w:t>,</w:t>
      </w:r>
      <w:r w:rsidRPr="00D74037">
        <w:rPr>
          <w:color w:val="000000"/>
          <w:highlight w:val="yellow"/>
        </w:rPr>
        <w:t xml:space="preserve"> do not merely label agents; they define how agents interpret hazard conditions, prioritize objectives, and commit to actions during evacuation. For example, consider a </w:t>
      </w:r>
      <w:r w:rsidRPr="00D74037">
        <w:rPr>
          <w:i/>
          <w:iCs/>
          <w:color w:val="000000"/>
          <w:highlight w:val="yellow"/>
        </w:rPr>
        <w:t xml:space="preserve">Social </w:t>
      </w:r>
      <w:r w:rsidRPr="00D74037">
        <w:rPr>
          <w:i/>
          <w:iCs/>
          <w:color w:val="000000"/>
          <w:highlight w:val="yellow"/>
        </w:rPr>
        <w:t>Protective Evacuator</w:t>
      </w:r>
      <w:r w:rsidRPr="00D74037">
        <w:rPr>
          <w:color w:val="000000"/>
          <w:highlight w:val="yellow"/>
        </w:rPr>
        <w:t xml:space="preserve"> under strong shaking conditions. The agent’s beliefs include perceived building risk, awareness of dependent household members, and knowledge of nearby open spaces. The dominant desire for this archetype is to ensure the safety of dependents before self-evacuation. This generates an intention sequence: first</w:t>
      </w:r>
      <w:r w:rsidRPr="00D74037">
        <w:rPr>
          <w:color w:val="000000"/>
          <w:highlight w:val="yellow"/>
        </w:rPr>
        <w:t>,</w:t>
      </w:r>
      <w:r w:rsidRPr="00D74037">
        <w:rPr>
          <w:color w:val="000000"/>
          <w:highlight w:val="yellow"/>
        </w:rPr>
        <w:t xml:space="preserve"> confirm the status of children</w:t>
      </w:r>
      <w:r w:rsidR="000F2F66">
        <w:rPr>
          <w:color w:val="000000"/>
          <w:highlight w:val="yellow"/>
        </w:rPr>
        <w:t xml:space="preserve">, </w:t>
      </w:r>
      <w:r w:rsidRPr="00D74037">
        <w:rPr>
          <w:color w:val="000000"/>
          <w:highlight w:val="yellow"/>
        </w:rPr>
        <w:t xml:space="preserve"> vulnerable household members</w:t>
      </w:r>
      <w:r w:rsidR="000F2F66">
        <w:rPr>
          <w:color w:val="000000"/>
          <w:highlight w:val="yellow"/>
        </w:rPr>
        <w:t>, or relatives</w:t>
      </w:r>
      <w:r w:rsidRPr="00D74037">
        <w:rPr>
          <w:color w:val="000000"/>
          <w:highlight w:val="yellow"/>
        </w:rPr>
        <w:t xml:space="preserve"> (intermediate action), then evacuate toward an open space after a moderate delay</w:t>
      </w:r>
      <w:r w:rsidR="000F2F66" w:rsidRPr="00BA4E6C">
        <w:rPr>
          <w:color w:val="000000"/>
          <w:highlight w:val="yellow"/>
        </w:rPr>
        <w:t xml:space="preserve"> </w:t>
      </w:r>
      <w:r w:rsidR="00BA4E6C" w:rsidRPr="00BA4E6C">
        <w:rPr>
          <w:color w:val="000000"/>
          <w:highlight w:val="yellow"/>
        </w:rPr>
        <w:t>or after visiting them</w:t>
      </w:r>
      <w:r w:rsidRPr="00BA4E6C">
        <w:rPr>
          <w:color w:val="000000"/>
          <w:highlight w:val="yellow"/>
        </w:rPr>
        <w:t xml:space="preserve">. </w:t>
      </w:r>
      <w:r w:rsidRPr="00D74037">
        <w:rPr>
          <w:color w:val="000000"/>
          <w:highlight w:val="yellow"/>
        </w:rPr>
        <w:t xml:space="preserve">By contrast, a </w:t>
      </w:r>
      <w:r w:rsidRPr="00D74037">
        <w:rPr>
          <w:i/>
          <w:iCs/>
          <w:color w:val="000000"/>
          <w:highlight w:val="yellow"/>
        </w:rPr>
        <w:t>Proactive Evacuator</w:t>
      </w:r>
      <w:r w:rsidRPr="00D74037">
        <w:rPr>
          <w:color w:val="000000"/>
          <w:highlight w:val="yellow"/>
        </w:rPr>
        <w:t xml:space="preserve"> forms the belief that evacuation is immediately necessary, prioritizes reaching a designated </w:t>
      </w:r>
      <w:r w:rsidRPr="00FD0831">
        <w:rPr>
          <w:color w:val="000000"/>
          <w:highlight w:val="yellow"/>
        </w:rPr>
        <w:t xml:space="preserve">assembly point, and commits to rapid departure with minimal delay. A </w:t>
      </w:r>
      <w:r w:rsidRPr="00FD0831">
        <w:rPr>
          <w:i/>
          <w:iCs/>
          <w:color w:val="000000"/>
          <w:highlight w:val="yellow"/>
        </w:rPr>
        <w:t xml:space="preserve">Prepared </w:t>
      </w:r>
      <w:r w:rsidRPr="00FD0831">
        <w:rPr>
          <w:i/>
          <w:iCs/>
          <w:color w:val="000000"/>
          <w:highlight w:val="yellow"/>
        </w:rPr>
        <w:t>Stay-at-Home</w:t>
      </w:r>
      <w:r w:rsidRPr="00FD0831">
        <w:rPr>
          <w:color w:val="000000"/>
          <w:highlight w:val="yellow"/>
        </w:rPr>
        <w:t xml:space="preserve">, under similar perceived shaking, maintains a belief in structural safety and forms the intention to remain indoors unless perceived risk exceeds a defined threshold. In this way, the survey-derived behavioral differences are translated into differentiated cognitive rules governing departure timing, intermediate actions, and destination choice. </w:t>
      </w:r>
    </w:p>
    <w:p w14:paraId="2BBC0D52" w14:textId="4A85EA6D" w:rsidR="00FD0831" w:rsidRDefault="00FD0831" w:rsidP="00BA3E2D">
      <w:pPr>
        <w:pBdr>
          <w:top w:val="nil"/>
          <w:left w:val="nil"/>
          <w:bottom w:val="nil"/>
          <w:right w:val="nil"/>
          <w:between w:val="nil"/>
        </w:pBdr>
        <w:rPr>
          <w:color w:val="000000"/>
        </w:rPr>
      </w:pPr>
      <w:r w:rsidRPr="00FD0831">
        <w:rPr>
          <w:color w:val="000000"/>
          <w:highlight w:val="yellow"/>
        </w:rPr>
        <w:t>Figure 5 illustrates the layered integration between the BDI cognitive architecture and the MATSim platform. At the application layer, archetype-specific hazard perception–response logic is implemented within the BDI application module, while MATSim’s application layer executes physical mobility actions such as trip initiation, routing, and movement along the transport network. These components are connected through the system layer, where the BDI system communicates intentions to the MATSim system via defined interfaces. Intentions (e.g., evacuate to an official assembly point, remain indoors, or search for household members) are transmitted as executable actions, which MATSim processes using its traffic simulation engine, accounting for link capacities, network structure, and congestion effects. At the generic layer, MATSim continuously returns system states</w:t>
      </w:r>
      <w:r w:rsidRPr="00FD0831">
        <w:rPr>
          <w:color w:val="000000"/>
          <w:highlight w:val="yellow"/>
        </w:rPr>
        <w:t xml:space="preserve">, </w:t>
      </w:r>
      <w:r w:rsidRPr="00FD0831">
        <w:rPr>
          <w:color w:val="000000"/>
          <w:highlight w:val="yellow"/>
        </w:rPr>
        <w:t>such as road accessibility and congestion levels</w:t>
      </w:r>
      <w:r w:rsidRPr="00FD0831">
        <w:rPr>
          <w:color w:val="000000"/>
          <w:highlight w:val="yellow"/>
        </w:rPr>
        <w:t xml:space="preserve">, </w:t>
      </w:r>
      <w:r w:rsidRPr="00FD0831">
        <w:rPr>
          <w:color w:val="000000"/>
          <w:highlight w:val="yellow"/>
        </w:rPr>
        <w:t>to the BDI layer as perceptual updates. These percepts modify agent beliefs and may trigger revised intentions, enabling adaptive behavior as conditions evolve. This layered coupling ensures that archetype-specific cognitive processes directly shape mobility dynamics while remaining modular from the transport simulation engine, allowing evacuation outcomes to emerge from heterogeneous decision-making rather than uniform behavioral assumptions.</w:t>
      </w:r>
    </w:p>
    <w:p w14:paraId="33A90F1B" w14:textId="77777777" w:rsidR="00140CAD" w:rsidRPr="006C2778" w:rsidRDefault="00140CAD" w:rsidP="00140CAD">
      <w:pPr>
        <w:pBdr>
          <w:top w:val="nil"/>
          <w:left w:val="nil"/>
          <w:bottom w:val="nil"/>
          <w:right w:val="nil"/>
          <w:between w:val="nil"/>
        </w:pBdr>
        <w:jc w:val="center"/>
        <w:rPr>
          <w:color w:val="000000"/>
        </w:rPr>
      </w:pPr>
      <w:r w:rsidRPr="006C2778">
        <w:rPr>
          <w:noProof/>
          <w:color w:val="000000"/>
        </w:rPr>
        <w:drawing>
          <wp:inline distT="0" distB="0" distL="0" distR="0" wp14:anchorId="01BAD9A1" wp14:editId="3B866C4C">
            <wp:extent cx="3983603" cy="2342232"/>
            <wp:effectExtent l="0" t="0" r="4445" b="0"/>
            <wp:docPr id="16712830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83079" name="Picture 1"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6258" cy="2520184"/>
                    </a:xfrm>
                    <a:prstGeom prst="rect">
                      <a:avLst/>
                    </a:prstGeom>
                  </pic:spPr>
                </pic:pic>
              </a:graphicData>
            </a:graphic>
          </wp:inline>
        </w:drawing>
      </w:r>
    </w:p>
    <w:p w14:paraId="77B54F94" w14:textId="77777777" w:rsidR="00140CAD" w:rsidRPr="00CC58F4" w:rsidRDefault="00140CAD" w:rsidP="00140CAD">
      <w:pPr>
        <w:pStyle w:val="Caption"/>
        <w:jc w:val="center"/>
        <w:rPr>
          <w:b/>
          <w:bCs/>
          <w:i w:val="0"/>
          <w:iCs w:val="0"/>
          <w:color w:val="000000" w:themeColor="text1"/>
          <w:sz w:val="20"/>
          <w:szCs w:val="20"/>
        </w:rPr>
      </w:pPr>
      <w:r w:rsidRPr="006C2778">
        <w:rPr>
          <w:b/>
          <w:bCs/>
          <w:i w:val="0"/>
          <w:iCs w:val="0"/>
          <w:color w:val="000000" w:themeColor="text1"/>
          <w:sz w:val="20"/>
          <w:szCs w:val="20"/>
        </w:rPr>
        <w:t xml:space="preserve">Figure 4. Distribution of archetypes identified in the </w:t>
      </w:r>
      <w:r w:rsidRPr="00CC58F4">
        <w:rPr>
          <w:b/>
          <w:bCs/>
          <w:i w:val="0"/>
          <w:iCs w:val="0"/>
          <w:color w:val="000000" w:themeColor="text1"/>
          <w:sz w:val="20"/>
          <w:szCs w:val="20"/>
        </w:rPr>
        <w:t>E</w:t>
      </w:r>
      <w:r w:rsidRPr="006C2778">
        <w:rPr>
          <w:b/>
          <w:bCs/>
          <w:i w:val="0"/>
          <w:iCs w:val="0"/>
          <w:color w:val="000000" w:themeColor="text1"/>
          <w:sz w:val="20"/>
          <w:szCs w:val="20"/>
        </w:rPr>
        <w:t>galeo study area.</w:t>
      </w:r>
    </w:p>
    <w:p w14:paraId="6B08C1FA" w14:textId="7766F2FF" w:rsidR="0099632C" w:rsidRPr="006C2778" w:rsidRDefault="0099632C" w:rsidP="0099632C">
      <w:pPr>
        <w:pBdr>
          <w:top w:val="nil"/>
          <w:left w:val="nil"/>
          <w:bottom w:val="nil"/>
          <w:right w:val="nil"/>
          <w:between w:val="nil"/>
        </w:pBdr>
        <w:jc w:val="center"/>
        <w:rPr>
          <w:color w:val="000000"/>
        </w:rPr>
      </w:pPr>
      <w:r w:rsidRPr="006C2778">
        <w:rPr>
          <w:noProof/>
          <w:color w:val="000000"/>
        </w:rPr>
        <w:lastRenderedPageBreak/>
        <w:drawing>
          <wp:inline distT="0" distB="0" distL="0" distR="0" wp14:anchorId="43852928" wp14:editId="0E7F2DEB">
            <wp:extent cx="1991802" cy="2140537"/>
            <wp:effectExtent l="0" t="0" r="6350" b="635"/>
            <wp:docPr id="1509672635"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2635" name="Picture 2" descr="A diagram of a software syste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91802" cy="2140537"/>
                    </a:xfrm>
                    <a:prstGeom prst="rect">
                      <a:avLst/>
                    </a:prstGeom>
                  </pic:spPr>
                </pic:pic>
              </a:graphicData>
            </a:graphic>
          </wp:inline>
        </w:drawing>
      </w:r>
    </w:p>
    <w:p w14:paraId="79341AD2" w14:textId="4689841A" w:rsidR="0042112F" w:rsidRPr="00CC58F4" w:rsidRDefault="00C922F7" w:rsidP="00CC58F4">
      <w:pPr>
        <w:pStyle w:val="Caption"/>
        <w:jc w:val="center"/>
        <w:rPr>
          <w:b/>
          <w:bCs/>
          <w:i w:val="0"/>
          <w:iCs w:val="0"/>
          <w:color w:val="000000" w:themeColor="text1"/>
          <w:sz w:val="20"/>
          <w:szCs w:val="20"/>
        </w:rPr>
      </w:pPr>
      <w:r w:rsidRPr="006C2778">
        <w:rPr>
          <w:b/>
          <w:bCs/>
          <w:i w:val="0"/>
          <w:iCs w:val="0"/>
          <w:color w:val="000000" w:themeColor="text1"/>
          <w:sz w:val="20"/>
          <w:szCs w:val="20"/>
        </w:rPr>
        <w:t>Figure 5. The architecture of ABM-BDI integration used to execute simulations.</w:t>
      </w:r>
    </w:p>
    <w:p w14:paraId="184CF605" w14:textId="601AF6EE" w:rsidR="0042112F" w:rsidRPr="006C2778" w:rsidRDefault="0042112F" w:rsidP="00FC4CCC">
      <w:pPr>
        <w:pBdr>
          <w:top w:val="nil"/>
          <w:left w:val="nil"/>
          <w:bottom w:val="nil"/>
          <w:right w:val="nil"/>
          <w:between w:val="nil"/>
        </w:pBdr>
      </w:pPr>
      <w:r w:rsidRPr="006C2778">
        <w:t>To execute the simulations, we first generated a routable street network and a spatially synthetic population for Egaleo (Figure 6). The synthetic population reflects household distributions, residential densities, and demographic characteristics derived from municipal data and the Living Scenario Dataset. The routable network was constructed from OpenStreetMap and enhanced to reflect realistic pedestrian evacuation conditions, removing non-walkable segments, linking disconnected components, and embedding validated safe open spaces (O1–O15</w:t>
      </w:r>
      <w:r w:rsidR="002E2698" w:rsidRPr="006C2778">
        <w:t xml:space="preserve"> in </w:t>
      </w:r>
      <w:r w:rsidR="00AE5130">
        <w:t>F</w:t>
      </w:r>
      <w:r w:rsidR="002E2698" w:rsidRPr="006C2778">
        <w:t>igure 6</w:t>
      </w:r>
      <w:r w:rsidRPr="006C2778">
        <w:t xml:space="preserve">) as evacuation destinations. The combination of a behaviorally calibrated synthetic population, detailed street topology, and archetype-specific decision logic ensures that emergent evacuation patterns result from both individual reasoning and the physical constraints of the city. </w:t>
      </w:r>
    </w:p>
    <w:p w14:paraId="3984A139" w14:textId="60BBD671" w:rsidR="00FC4CCC" w:rsidRDefault="009E597E" w:rsidP="0099632C">
      <w:pPr>
        <w:pBdr>
          <w:top w:val="nil"/>
          <w:left w:val="nil"/>
          <w:bottom w:val="nil"/>
          <w:right w:val="nil"/>
          <w:between w:val="nil"/>
        </w:pBdr>
        <w:rPr>
          <w:color w:val="000000"/>
        </w:rPr>
      </w:pPr>
      <w:r w:rsidRPr="009E597E">
        <w:rPr>
          <w:color w:val="000000"/>
        </w:rPr>
        <w:t xml:space="preserve">We conducted comparative simulations under two behavioral assumptions: (1) a uniform evacuation model in which all residents immediately walk to the nearest open space along shortest-path routes; and (2) </w:t>
      </w:r>
      <w:r w:rsidR="004C0AE1" w:rsidRPr="004C0AE1">
        <w:rPr>
          <w:color w:val="000000"/>
        </w:rPr>
        <w:t>an HBM-informed scenario in which each agent was stochastically assigned an archetype by sampling from the empirical archetype distribution, and decision execution followed probabilistic rules governing archetype-specific delays, intermediate actions (e.g., searching for household members), and destination choice</w:t>
      </w:r>
      <w:r w:rsidR="004C0AE1">
        <w:rPr>
          <w:color w:val="000000"/>
        </w:rPr>
        <w:t xml:space="preserve">. </w:t>
      </w:r>
      <w:r w:rsidRPr="009E597E">
        <w:rPr>
          <w:color w:val="000000"/>
        </w:rPr>
        <w:t xml:space="preserve">As illustrated in Figure 7(a), the uniform model generates highly synchronized departures and concentrates flows on a small set of main corridors toward central destinations. In Figure 7(b), the HBM-informed simulation produces temporally staggered movement and route diversity because agents differ in departure timing and intermediate actions: reluctant archetypes delay evacuation, socially oriented archetypes first move to locate family or neighbors, and proactive archetypes depart early toward designated assembly points. This behavioral heterogeneity shifts demand from only the shortest paths to a broader set of alternative routes across the street network, leading to a more dispersed utilization pattern and reducing extreme concentration on a few links relative to the uniform baseline. </w:t>
      </w:r>
      <w:r>
        <w:rPr>
          <w:color w:val="000000"/>
        </w:rPr>
        <w:t>T</w:t>
      </w:r>
      <w:r w:rsidRPr="009E597E">
        <w:rPr>
          <w:color w:val="000000"/>
        </w:rPr>
        <w:t>hese differences demonstrate how the elicited behavioral structure changes the timing and spatial distribution of evacuation flows compared with a single-rule assumption.</w:t>
      </w:r>
    </w:p>
    <w:p w14:paraId="51E69795" w14:textId="77777777" w:rsidR="001813C6" w:rsidRPr="006C2778" w:rsidRDefault="001813C6" w:rsidP="0099632C">
      <w:pPr>
        <w:pBdr>
          <w:top w:val="nil"/>
          <w:left w:val="nil"/>
          <w:bottom w:val="nil"/>
          <w:right w:val="nil"/>
          <w:between w:val="nil"/>
        </w:pBdr>
        <w:rPr>
          <w:color w:val="000000"/>
        </w:rPr>
      </w:pPr>
    </w:p>
    <w:p w14:paraId="1373566D" w14:textId="5AC7AC85" w:rsidR="0099632C" w:rsidRPr="006C2778" w:rsidRDefault="0099632C" w:rsidP="0099632C">
      <w:pPr>
        <w:pBdr>
          <w:top w:val="nil"/>
          <w:left w:val="nil"/>
          <w:bottom w:val="nil"/>
          <w:right w:val="nil"/>
          <w:between w:val="nil"/>
        </w:pBdr>
        <w:jc w:val="center"/>
        <w:rPr>
          <w:color w:val="000000"/>
        </w:rPr>
      </w:pPr>
      <w:r w:rsidRPr="006C2778">
        <w:rPr>
          <w:noProof/>
          <w:color w:val="000000"/>
        </w:rPr>
        <w:drawing>
          <wp:inline distT="0" distB="0" distL="0" distR="0" wp14:anchorId="39325624" wp14:editId="7483AF77">
            <wp:extent cx="1778201" cy="2272146"/>
            <wp:effectExtent l="0" t="0" r="0" b="1270"/>
            <wp:docPr id="1424139341" name="Picture 3"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39341" name="Picture 3" descr="A map of a cit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9890" cy="2363749"/>
                    </a:xfrm>
                    <a:prstGeom prst="rect">
                      <a:avLst/>
                    </a:prstGeom>
                  </pic:spPr>
                </pic:pic>
              </a:graphicData>
            </a:graphic>
          </wp:inline>
        </w:drawing>
      </w:r>
    </w:p>
    <w:p w14:paraId="3C853DD4" w14:textId="6096BCD7" w:rsidR="00C922F7" w:rsidRPr="008660FD" w:rsidRDefault="00C922F7" w:rsidP="008660FD">
      <w:pPr>
        <w:pStyle w:val="Caption"/>
        <w:jc w:val="center"/>
        <w:rPr>
          <w:b/>
          <w:bCs/>
          <w:i w:val="0"/>
          <w:iCs w:val="0"/>
          <w:color w:val="000000" w:themeColor="text1"/>
          <w:sz w:val="20"/>
          <w:szCs w:val="20"/>
        </w:rPr>
      </w:pPr>
      <w:r w:rsidRPr="006C2778">
        <w:rPr>
          <w:b/>
          <w:bCs/>
          <w:i w:val="0"/>
          <w:iCs w:val="0"/>
          <w:color w:val="000000" w:themeColor="text1"/>
          <w:sz w:val="20"/>
          <w:szCs w:val="20"/>
        </w:rPr>
        <w:t>Figure 6. Generated routable network (black lines) and synthetic population (blue dots) for Egaleo.</w:t>
      </w:r>
    </w:p>
    <w:p w14:paraId="16F60CC5" w14:textId="77777777" w:rsidR="00C922F7" w:rsidRPr="006C2778" w:rsidRDefault="00C922F7" w:rsidP="0099632C">
      <w:pPr>
        <w:pBdr>
          <w:top w:val="nil"/>
          <w:left w:val="nil"/>
          <w:bottom w:val="nil"/>
          <w:right w:val="nil"/>
          <w:between w:val="nil"/>
        </w:pBdr>
        <w:jc w:val="cente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922F7" w:rsidRPr="006C2778" w14:paraId="56775F96" w14:textId="77777777" w:rsidTr="00C922F7">
        <w:tc>
          <w:tcPr>
            <w:tcW w:w="4508" w:type="dxa"/>
          </w:tcPr>
          <w:p w14:paraId="1DA2EC97" w14:textId="753345E1" w:rsidR="00C922F7" w:rsidRPr="006C2778" w:rsidRDefault="00C922F7" w:rsidP="0099632C">
            <w:pPr>
              <w:jc w:val="center"/>
              <w:rPr>
                <w:color w:val="000000"/>
              </w:rPr>
            </w:pPr>
            <w:r w:rsidRPr="006C2778">
              <w:rPr>
                <w:noProof/>
                <w:color w:val="000000"/>
              </w:rPr>
              <w:lastRenderedPageBreak/>
              <w:drawing>
                <wp:inline distT="0" distB="0" distL="0" distR="0" wp14:anchorId="4B0CB0D0" wp14:editId="08745904">
                  <wp:extent cx="1880069" cy="1967346"/>
                  <wp:effectExtent l="0" t="0" r="0" b="1270"/>
                  <wp:docPr id="2056755734" name="Picture 4" descr="A map with a red and yellow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5734" name="Picture 4" descr="A map with a red and yellow gri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8583" cy="2059969"/>
                          </a:xfrm>
                          <a:prstGeom prst="rect">
                            <a:avLst/>
                          </a:prstGeom>
                        </pic:spPr>
                      </pic:pic>
                    </a:graphicData>
                  </a:graphic>
                </wp:inline>
              </w:drawing>
            </w:r>
          </w:p>
        </w:tc>
        <w:tc>
          <w:tcPr>
            <w:tcW w:w="4508" w:type="dxa"/>
          </w:tcPr>
          <w:p w14:paraId="0E5B0FBC" w14:textId="66C65E13" w:rsidR="00C922F7" w:rsidRPr="006C2778" w:rsidRDefault="00C922F7" w:rsidP="0099632C">
            <w:pPr>
              <w:jc w:val="center"/>
              <w:rPr>
                <w:color w:val="000000"/>
              </w:rPr>
            </w:pPr>
            <w:r w:rsidRPr="006C2778">
              <w:rPr>
                <w:noProof/>
                <w:color w:val="000000"/>
              </w:rPr>
              <w:drawing>
                <wp:inline distT="0" distB="0" distL="0" distR="0" wp14:anchorId="6313F3A4" wp14:editId="101A1051">
                  <wp:extent cx="1971381" cy="1967230"/>
                  <wp:effectExtent l="0" t="0" r="0" b="1270"/>
                  <wp:docPr id="1440848642" name="Picture 5" descr="A map with a red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8642" name="Picture 5" descr="A map with a red and yellow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5100" cy="2110646"/>
                          </a:xfrm>
                          <a:prstGeom prst="rect">
                            <a:avLst/>
                          </a:prstGeom>
                        </pic:spPr>
                      </pic:pic>
                    </a:graphicData>
                  </a:graphic>
                </wp:inline>
              </w:drawing>
            </w:r>
          </w:p>
        </w:tc>
      </w:tr>
      <w:tr w:rsidR="00C922F7" w:rsidRPr="006C2778" w14:paraId="4626CBB9" w14:textId="77777777" w:rsidTr="00C922F7">
        <w:tc>
          <w:tcPr>
            <w:tcW w:w="4508" w:type="dxa"/>
          </w:tcPr>
          <w:p w14:paraId="75A02990" w14:textId="70D3E668" w:rsidR="00C922F7" w:rsidRPr="006C2778" w:rsidRDefault="00C922F7" w:rsidP="0099632C">
            <w:pPr>
              <w:jc w:val="center"/>
              <w:rPr>
                <w:noProof/>
                <w:color w:val="000000"/>
              </w:rPr>
            </w:pPr>
            <w:r w:rsidRPr="006C2778">
              <w:rPr>
                <w:noProof/>
                <w:color w:val="000000"/>
                <w:sz w:val="16"/>
                <w:szCs w:val="16"/>
              </w:rPr>
              <w:t xml:space="preserve">(a) </w:t>
            </w:r>
            <w:r w:rsidR="00794373" w:rsidRPr="006C2778">
              <w:rPr>
                <w:noProof/>
                <w:color w:val="000000"/>
                <w:sz w:val="16"/>
                <w:szCs w:val="16"/>
              </w:rPr>
              <w:t>Simplistic HBM where everyone seek</w:t>
            </w:r>
            <w:r w:rsidR="002E2698" w:rsidRPr="006C2778">
              <w:rPr>
                <w:noProof/>
                <w:color w:val="000000"/>
                <w:sz w:val="16"/>
                <w:szCs w:val="16"/>
              </w:rPr>
              <w:t>s</w:t>
            </w:r>
            <w:r w:rsidR="00794373" w:rsidRPr="006C2778">
              <w:rPr>
                <w:noProof/>
                <w:color w:val="000000"/>
                <w:sz w:val="16"/>
                <w:szCs w:val="16"/>
              </w:rPr>
              <w:t xml:space="preserve"> a near safe place</w:t>
            </w:r>
          </w:p>
        </w:tc>
        <w:tc>
          <w:tcPr>
            <w:tcW w:w="4508" w:type="dxa"/>
          </w:tcPr>
          <w:p w14:paraId="1C6768A9" w14:textId="2EFB583C" w:rsidR="00C922F7" w:rsidRPr="006C2778" w:rsidRDefault="00794373" w:rsidP="0099632C">
            <w:pPr>
              <w:jc w:val="center"/>
              <w:rPr>
                <w:noProof/>
                <w:color w:val="000000"/>
              </w:rPr>
            </w:pPr>
            <w:r w:rsidRPr="006C2778">
              <w:rPr>
                <w:noProof/>
                <w:color w:val="000000"/>
                <w:sz w:val="16"/>
                <w:szCs w:val="16"/>
              </w:rPr>
              <w:t xml:space="preserve">(b) </w:t>
            </w:r>
            <w:r w:rsidR="002E2698" w:rsidRPr="006C2778">
              <w:rPr>
                <w:noProof/>
                <w:color w:val="000000"/>
                <w:sz w:val="16"/>
                <w:szCs w:val="16"/>
              </w:rPr>
              <w:t>Road l</w:t>
            </w:r>
            <w:r w:rsidRPr="006C2778">
              <w:rPr>
                <w:noProof/>
                <w:color w:val="000000"/>
                <w:sz w:val="16"/>
                <w:szCs w:val="16"/>
              </w:rPr>
              <w:t>ink u</w:t>
            </w:r>
            <w:r w:rsidR="002E2698" w:rsidRPr="006C2778">
              <w:rPr>
                <w:noProof/>
                <w:color w:val="000000"/>
                <w:sz w:val="16"/>
                <w:szCs w:val="16"/>
              </w:rPr>
              <w:t>se</w:t>
            </w:r>
            <w:r w:rsidRPr="006C2778">
              <w:rPr>
                <w:noProof/>
                <w:color w:val="000000"/>
                <w:sz w:val="16"/>
                <w:szCs w:val="16"/>
              </w:rPr>
              <w:t xml:space="preserve"> </w:t>
            </w:r>
            <w:r w:rsidR="002E2698" w:rsidRPr="006C2778">
              <w:rPr>
                <w:noProof/>
                <w:color w:val="000000"/>
                <w:sz w:val="16"/>
                <w:szCs w:val="16"/>
              </w:rPr>
              <w:t xml:space="preserve">with the </w:t>
            </w:r>
            <w:r w:rsidRPr="006C2778">
              <w:rPr>
                <w:noProof/>
                <w:color w:val="000000"/>
                <w:sz w:val="16"/>
                <w:szCs w:val="16"/>
              </w:rPr>
              <w:t>el</w:t>
            </w:r>
            <w:r w:rsidR="007D15EB" w:rsidRPr="006C2778">
              <w:rPr>
                <w:noProof/>
                <w:color w:val="000000"/>
                <w:sz w:val="16"/>
                <w:szCs w:val="16"/>
              </w:rPr>
              <w:t>i</w:t>
            </w:r>
            <w:r w:rsidRPr="006C2778">
              <w:rPr>
                <w:noProof/>
                <w:color w:val="000000"/>
                <w:sz w:val="16"/>
                <w:szCs w:val="16"/>
              </w:rPr>
              <w:t xml:space="preserve">cited HBM </w:t>
            </w:r>
          </w:p>
        </w:tc>
      </w:tr>
    </w:tbl>
    <w:p w14:paraId="4324B59C" w14:textId="77777777" w:rsidR="0099632C" w:rsidRPr="006C2778" w:rsidRDefault="0099632C" w:rsidP="00794373">
      <w:pPr>
        <w:pBdr>
          <w:top w:val="nil"/>
          <w:left w:val="nil"/>
          <w:bottom w:val="nil"/>
          <w:right w:val="nil"/>
          <w:between w:val="nil"/>
        </w:pBdr>
        <w:rPr>
          <w:color w:val="000000"/>
        </w:rPr>
      </w:pPr>
    </w:p>
    <w:p w14:paraId="3153650D" w14:textId="74512852" w:rsidR="0099632C" w:rsidRPr="009E597E" w:rsidRDefault="00C922F7" w:rsidP="009E597E">
      <w:pPr>
        <w:pStyle w:val="Caption"/>
        <w:jc w:val="center"/>
        <w:rPr>
          <w:b/>
          <w:bCs/>
          <w:i w:val="0"/>
          <w:iCs w:val="0"/>
          <w:color w:val="000000" w:themeColor="text1"/>
          <w:sz w:val="20"/>
          <w:szCs w:val="20"/>
        </w:rPr>
      </w:pPr>
      <w:r w:rsidRPr="006C2778">
        <w:rPr>
          <w:b/>
          <w:bCs/>
          <w:i w:val="0"/>
          <w:iCs w:val="0"/>
          <w:color w:val="000000" w:themeColor="text1"/>
          <w:sz w:val="20"/>
          <w:szCs w:val="20"/>
        </w:rPr>
        <w:t xml:space="preserve">Figure </w:t>
      </w:r>
      <w:r w:rsidR="00794373" w:rsidRPr="006C2778">
        <w:rPr>
          <w:b/>
          <w:bCs/>
          <w:i w:val="0"/>
          <w:iCs w:val="0"/>
          <w:color w:val="000000" w:themeColor="text1"/>
          <w:sz w:val="20"/>
          <w:szCs w:val="20"/>
        </w:rPr>
        <w:t>7</w:t>
      </w:r>
      <w:r w:rsidRPr="006C2778">
        <w:rPr>
          <w:b/>
          <w:bCs/>
          <w:i w:val="0"/>
          <w:iCs w:val="0"/>
          <w:color w:val="000000" w:themeColor="text1"/>
          <w:sz w:val="20"/>
          <w:szCs w:val="20"/>
        </w:rPr>
        <w:t xml:space="preserve">. </w:t>
      </w:r>
      <w:r w:rsidR="00794373" w:rsidRPr="006C2778">
        <w:rPr>
          <w:b/>
          <w:bCs/>
          <w:i w:val="0"/>
          <w:iCs w:val="0"/>
          <w:color w:val="000000" w:themeColor="text1"/>
          <w:sz w:val="20"/>
          <w:szCs w:val="20"/>
        </w:rPr>
        <w:t>Comparing the utilization of roads as a fraction of total carrying capacity.</w:t>
      </w:r>
    </w:p>
    <w:p w14:paraId="7BBA777A" w14:textId="77777777" w:rsidR="00BA4E6C" w:rsidRDefault="00BA4E6C" w:rsidP="00236477">
      <w:pPr>
        <w:pBdr>
          <w:top w:val="nil"/>
          <w:left w:val="nil"/>
          <w:bottom w:val="nil"/>
          <w:right w:val="nil"/>
          <w:between w:val="nil"/>
        </w:pBdr>
        <w:rPr>
          <w:color w:val="000000"/>
        </w:rPr>
      </w:pPr>
    </w:p>
    <w:p w14:paraId="03F049E5" w14:textId="320F710D" w:rsidR="00B32E97" w:rsidRPr="000F3426" w:rsidRDefault="00B32E97" w:rsidP="00B32E97">
      <w:pPr>
        <w:pBdr>
          <w:top w:val="nil"/>
          <w:left w:val="nil"/>
          <w:bottom w:val="nil"/>
          <w:right w:val="nil"/>
          <w:between w:val="nil"/>
        </w:pBdr>
        <w:jc w:val="center"/>
        <w:rPr>
          <w:color w:val="000000"/>
          <w:highlight w:val="yellow"/>
        </w:rPr>
      </w:pPr>
      <w:r w:rsidRPr="000F3426">
        <w:rPr>
          <w:noProof/>
          <w:color w:val="000000"/>
          <w:highlight w:val="yellow"/>
        </w:rPr>
        <w:drawing>
          <wp:inline distT="0" distB="0" distL="0" distR="0" wp14:anchorId="1570CCFA" wp14:editId="7D68DC2F">
            <wp:extent cx="2206487" cy="1309077"/>
            <wp:effectExtent l="0" t="0" r="3810" b="0"/>
            <wp:docPr id="162376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60738" name="Picture 16237607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09614" cy="1370261"/>
                    </a:xfrm>
                    <a:prstGeom prst="rect">
                      <a:avLst/>
                    </a:prstGeom>
                  </pic:spPr>
                </pic:pic>
              </a:graphicData>
            </a:graphic>
          </wp:inline>
        </w:drawing>
      </w:r>
    </w:p>
    <w:p w14:paraId="09D92FA0" w14:textId="3C56149C" w:rsidR="00B32E97" w:rsidRPr="00A9584B" w:rsidRDefault="00B32E97" w:rsidP="00A9584B">
      <w:pPr>
        <w:pStyle w:val="Caption"/>
        <w:jc w:val="center"/>
        <w:rPr>
          <w:b/>
          <w:bCs/>
          <w:i w:val="0"/>
          <w:iCs w:val="0"/>
          <w:color w:val="000000" w:themeColor="text1"/>
          <w:sz w:val="20"/>
          <w:szCs w:val="20"/>
        </w:rPr>
      </w:pPr>
      <w:r w:rsidRPr="00A9584B">
        <w:rPr>
          <w:b/>
          <w:bCs/>
          <w:i w:val="0"/>
          <w:iCs w:val="0"/>
          <w:color w:val="000000" w:themeColor="text1"/>
          <w:sz w:val="20"/>
          <w:szCs w:val="20"/>
          <w:highlight w:val="yellow"/>
        </w:rPr>
        <w:t xml:space="preserve">Figure </w:t>
      </w:r>
      <w:r w:rsidRPr="00A9584B">
        <w:rPr>
          <w:b/>
          <w:bCs/>
          <w:i w:val="0"/>
          <w:iCs w:val="0"/>
          <w:color w:val="000000" w:themeColor="text1"/>
          <w:sz w:val="20"/>
          <w:szCs w:val="20"/>
          <w:highlight w:val="yellow"/>
        </w:rPr>
        <w:t>8</w:t>
      </w:r>
      <w:r w:rsidRPr="00A9584B">
        <w:rPr>
          <w:b/>
          <w:bCs/>
          <w:i w:val="0"/>
          <w:iCs w:val="0"/>
          <w:color w:val="000000" w:themeColor="text1"/>
          <w:sz w:val="20"/>
          <w:szCs w:val="20"/>
          <w:highlight w:val="yellow"/>
        </w:rPr>
        <w:t xml:space="preserve">. </w:t>
      </w:r>
      <w:r w:rsidR="00A9584B" w:rsidRPr="00A9584B">
        <w:rPr>
          <w:b/>
          <w:bCs/>
          <w:i w:val="0"/>
          <w:iCs w:val="0"/>
          <w:color w:val="000000" w:themeColor="text1"/>
          <w:sz w:val="20"/>
          <w:szCs w:val="20"/>
          <w:highlight w:val="yellow"/>
        </w:rPr>
        <w:t>Mean and standard deviation of time spent on the street network under two simulation scenarios: Scenario 1 (simplistic HBM) and Scenario 2 (elicited HBM).</w:t>
      </w:r>
    </w:p>
    <w:p w14:paraId="5216D2AD" w14:textId="569D5654" w:rsidR="00A901B7" w:rsidRDefault="00A901B7" w:rsidP="00236477">
      <w:pPr>
        <w:pBdr>
          <w:top w:val="nil"/>
          <w:left w:val="nil"/>
          <w:bottom w:val="nil"/>
          <w:right w:val="nil"/>
          <w:between w:val="nil"/>
        </w:pBdr>
        <w:rPr>
          <w:color w:val="000000"/>
        </w:rPr>
      </w:pPr>
      <w:r w:rsidRPr="00A901B7">
        <w:rPr>
          <w:color w:val="000000"/>
          <w:highlight w:val="yellow"/>
        </w:rPr>
        <w:t>To further quantify these differences, we computed aggregate indicators of the time agents spend on the street network (Figure 8). The results show that incorporating archetype-driven decision-making substantially alters evacuation dynamics. Under the HBM-informed simulation, the mean time spent on the street increases by approximately 60% compared with the uniform baseline scenario. This increase reflects the combined effects of heterogeneous departure delays, intermediate social and protective actions (such as locating family members), and more diverse destination choices across archetypes. In addition, the standard deviation of street time is higher in the behavior-informed scenario, indicating greater temporal dispersion of movement. This confirms that behavioral heterogeneity not only changes how road links are utilized (Figure 7), but also affects how long individuals remain exposed in the street network before reaching safety.</w:t>
      </w:r>
    </w:p>
    <w:p w14:paraId="67AB2691" w14:textId="2EE3C71C" w:rsidR="0099632C" w:rsidRPr="006C2778" w:rsidRDefault="00236477" w:rsidP="00236477">
      <w:pPr>
        <w:pBdr>
          <w:top w:val="nil"/>
          <w:left w:val="nil"/>
          <w:bottom w:val="nil"/>
          <w:right w:val="nil"/>
          <w:between w:val="nil"/>
        </w:pBdr>
        <w:rPr>
          <w:color w:val="000000"/>
        </w:rPr>
      </w:pPr>
      <w:r w:rsidRPr="006C2778">
        <w:rPr>
          <w:color w:val="000000"/>
        </w:rPr>
        <w:t>The implications of these differences extend beyond model fidelity. Local stakeholders emphasized that the archetype-driven patterns aligned with their operational experience during past crises, particularly regarding delayed evacuation among reluctant groups and the strong role of family-seeking behavior. The HBM-based simulations brought these dynamics into sharp focus, revealing operational blind spots (such as vulnerable populations who may not evacuate promptly or congestion emerging from lateral movement toward social contacts) that homogeneous models systematically overlook. This enhanced behavioral realism supports more effective preparedness planning, targeted communication strategies, and crisis response decision-making, demonstrating the value of integrating co-created HBMs into simulation-based risk management tools.</w:t>
      </w:r>
    </w:p>
    <w:p w14:paraId="2509BD14" w14:textId="2B59B008" w:rsidR="00BA3E2D" w:rsidRPr="006C2778" w:rsidRDefault="00BA3E2D" w:rsidP="00BA3E2D">
      <w:pPr>
        <w:pStyle w:val="Heading1"/>
      </w:pPr>
      <w:r w:rsidRPr="006C2778">
        <w:t>CONCLUSION</w:t>
      </w:r>
    </w:p>
    <w:p w14:paraId="13197578" w14:textId="1A9D1FDD" w:rsidR="009E597E" w:rsidRPr="006C2778" w:rsidRDefault="009E597E" w:rsidP="00236477">
      <w:pPr>
        <w:pBdr>
          <w:top w:val="nil"/>
          <w:left w:val="nil"/>
          <w:bottom w:val="nil"/>
          <w:right w:val="nil"/>
          <w:between w:val="nil"/>
        </w:pBdr>
        <w:rPr>
          <w:color w:val="000000"/>
        </w:rPr>
      </w:pPr>
      <w:r w:rsidRPr="009E597E">
        <w:rPr>
          <w:color w:val="000000"/>
        </w:rPr>
        <w:t xml:space="preserve">This paper advances crisis risk management research by introducing a generalizable, iterative co-creation framework for eliciting HBMs that are empirically grounded, stakeholder-informed, and simulation-ready. The core contribution is methodological: we formalize a reproducible pipeline that (i) defines crisis scenarios through participatory specification of environmental and system conditions, population and social diversity, and the behavioral and decision environment; (ii) operationalizes these dimensions within a Living Scenario Dataset using architecture-aligned survey instruments and a modular, updatable data structure; and (iii) translates the resulting evidence into validated behavioral representations. The application in Egaleo, Greece demonstrates this logic in practice: the earthquake case implements the full framework, from co-defined scenarios and survey deployment </w:t>
      </w:r>
      <w:r w:rsidRPr="009E597E">
        <w:rPr>
          <w:color w:val="000000"/>
        </w:rPr>
        <w:lastRenderedPageBreak/>
        <w:t>to archetype derivation and validation, while the heatwave case shows how the same architecture transfers across hazards and establishes a consistent empirical basis for future HBM construction.</w:t>
      </w:r>
    </w:p>
    <w:p w14:paraId="6FD13B66" w14:textId="1FECE29F" w:rsidR="009E597E" w:rsidRPr="006C2778" w:rsidRDefault="009E597E" w:rsidP="00236477">
      <w:pPr>
        <w:pBdr>
          <w:top w:val="nil"/>
          <w:left w:val="nil"/>
          <w:bottom w:val="nil"/>
          <w:right w:val="nil"/>
          <w:between w:val="nil"/>
        </w:pBdr>
        <w:rPr>
          <w:color w:val="000000"/>
        </w:rPr>
      </w:pPr>
      <w:r w:rsidRPr="009E597E">
        <w:rPr>
          <w:color w:val="000000"/>
        </w:rPr>
        <w:t>Beyond methodological rigor, the paper demonstrates why behaviorally realistic models matter for preparedness planning and response operations. By integrating elicited earthquake archetypes into a BDI cognitive layer coupled with a MATSim agent-based evacuation model, we show that crisis dynamics change substantially when heterogeneous decision-making, social coordination, and delayed responses are explicitly represented. Compared to a simplified assumption in which all individuals immediately evacuate to the nearest safe location, the HBM-informed simulation produces more diverse route choices, staggered departure times, and differentiated destination selection. These behaviors redistribute pedestrian flows across a broader portion of the street network, including lower-capacity and less frequently used streets, and expose congestion patterns that homogeneous models either exaggerate or fail to detect. Importantly, local stakeholders assessed the resulting archetype-driven patterns as plausible based on their operational experience, indicating that the co-created HBM supports people-centered risk management by improving the realism of evacuation assessments and informing targeted communication, routing, and support measures for distinct behavioral groups.</w:t>
      </w:r>
    </w:p>
    <w:p w14:paraId="3B31EC19" w14:textId="06FD585C" w:rsidR="00D8646D" w:rsidRPr="006C2778" w:rsidRDefault="00D8646D" w:rsidP="00D8646D">
      <w:pPr>
        <w:pBdr>
          <w:top w:val="nil"/>
          <w:left w:val="nil"/>
          <w:bottom w:val="nil"/>
          <w:right w:val="nil"/>
          <w:between w:val="nil"/>
        </w:pBdr>
        <w:rPr>
          <w:color w:val="000000"/>
        </w:rPr>
      </w:pPr>
      <w:r w:rsidRPr="006C2778">
        <w:rPr>
          <w:color w:val="000000"/>
        </w:rPr>
        <w:t xml:space="preserve">Future work will extend the framework in three complementary directions. First, applying the same co-creation pipeline to additional hazards (e.g., floods, wildfires, cascading events) and additional governance contexts will strengthen transferability claims and support a comparative multi-hazard library of behavioral mechanisms. Second, the Living Scenario Dataset can be expanded with longitudinal and near-real-time inputs (e.g., repeated surveys, operational data, sensing, or learning-based updates), enabling HBMs to evolve with changing risk perception, infrastructure conditions, and institutional practices, </w:t>
      </w:r>
      <w:r w:rsidR="009E597E">
        <w:rPr>
          <w:color w:val="000000"/>
        </w:rPr>
        <w:t>which</w:t>
      </w:r>
      <w:r w:rsidRPr="006C2778">
        <w:rPr>
          <w:color w:val="000000"/>
        </w:rPr>
        <w:t xml:space="preserve"> is an essential step toward integration within digital-twin workflows for crisis preparedness and response. Third, future implementations can deepen participatory validation through structured exercises and interactive simulation sessions, allowing stakeholders to test interventions iteratively, challenge assumptions, and refine behavioral representations as part of routine planning cycles. Through these extensions, the proposed framework provides a pathway toward more adaptive, transparent, and socially grounded simulation-based decision support for crisis risk management.</w:t>
      </w:r>
    </w:p>
    <w:p w14:paraId="4EA37A17" w14:textId="65CB16AE" w:rsidR="0048566D" w:rsidRPr="006C2778" w:rsidRDefault="0048566D" w:rsidP="0048566D">
      <w:pPr>
        <w:pStyle w:val="Heading1"/>
      </w:pPr>
      <w:r w:rsidRPr="006C2778">
        <w:t>ACKNOWLEDGEMENTS</w:t>
      </w:r>
    </w:p>
    <w:p w14:paraId="53B9F62B" w14:textId="7F067189" w:rsidR="00124D7E" w:rsidRPr="006C2778" w:rsidRDefault="00124D7E" w:rsidP="00444FA5">
      <w:pPr>
        <w:pBdr>
          <w:top w:val="nil"/>
          <w:left w:val="nil"/>
          <w:bottom w:val="nil"/>
          <w:right w:val="nil"/>
          <w:between w:val="nil"/>
        </w:pBdr>
        <w:rPr>
          <w:color w:val="000000"/>
        </w:rPr>
      </w:pPr>
      <w:r w:rsidRPr="00124D7E">
        <w:rPr>
          <w:color w:val="000000"/>
        </w:rPr>
        <w:t>This work was supported by the C2IMPRESS and JUSTSAFE projects under the European Union’s Horizon Europe Framework Programme (HORIZON) (grant agreements No. 101074004 and No. 101215174, respectively), and by ATLAS, funded by MICIU/AEI/10.13039/501100011033 and co-funded by the European Union.</w:t>
      </w:r>
    </w:p>
    <w:p w14:paraId="683EABAF" w14:textId="4B4BD611" w:rsidR="00C80C42" w:rsidRPr="006C2778" w:rsidRDefault="00CE3822" w:rsidP="00444FA5">
      <w:pPr>
        <w:pStyle w:val="Heading1"/>
      </w:pPr>
      <w:r w:rsidRPr="006C2778">
        <w:t>REFERENCES</w:t>
      </w:r>
    </w:p>
    <w:p w14:paraId="0A840ABC" w14:textId="77777777" w:rsidR="009F6726" w:rsidRPr="009F6726" w:rsidRDefault="0075736F" w:rsidP="00E92C1F">
      <w:pPr>
        <w:pStyle w:val="Bibliography"/>
        <w:spacing w:line="240" w:lineRule="auto"/>
      </w:pPr>
      <w:r w:rsidRPr="006C2778">
        <w:fldChar w:fldCharType="begin"/>
      </w:r>
      <w:r w:rsidR="009F6726">
        <w:instrText xml:space="preserve"> ADDIN ZOTERO_BIBL {"uncited":[],"omitted":[],"custom":[]} CSL_BIBLIOGRAPHY </w:instrText>
      </w:r>
      <w:r w:rsidRPr="006C2778">
        <w:fldChar w:fldCharType="separate"/>
      </w:r>
      <w:r w:rsidR="009F6726" w:rsidRPr="009F6726">
        <w:t xml:space="preserve">Abdel-Latif, A., Saad–Eldien, A., &amp; Marzouk, M. (2023). System dynamics applications in crisis management: A literature review. </w:t>
      </w:r>
      <w:r w:rsidR="009F6726" w:rsidRPr="009F6726">
        <w:rPr>
          <w:i/>
          <w:iCs/>
        </w:rPr>
        <w:t>Journal of Simulation</w:t>
      </w:r>
      <w:r w:rsidR="009F6726" w:rsidRPr="009F6726">
        <w:t xml:space="preserve">, </w:t>
      </w:r>
      <w:r w:rsidR="009F6726" w:rsidRPr="009F6726">
        <w:rPr>
          <w:i/>
          <w:iCs/>
        </w:rPr>
        <w:t>17</w:t>
      </w:r>
      <w:r w:rsidR="009F6726" w:rsidRPr="009F6726">
        <w:t>(6), 800–817. https://doi.org/10.1080/17477778.2022.2088306</w:t>
      </w:r>
    </w:p>
    <w:p w14:paraId="069C8992" w14:textId="77777777" w:rsidR="009F6726" w:rsidRPr="009F6726" w:rsidRDefault="009F6726" w:rsidP="00E92C1F">
      <w:pPr>
        <w:pStyle w:val="Bibliography"/>
        <w:spacing w:line="240" w:lineRule="auto"/>
      </w:pPr>
      <w:r w:rsidRPr="009F6726">
        <w:t xml:space="preserve">An, L. (2012). Modeling human decisions in coupled human and natural systems: Review of agent-based models. </w:t>
      </w:r>
      <w:r w:rsidRPr="009F6726">
        <w:rPr>
          <w:i/>
          <w:iCs/>
        </w:rPr>
        <w:t>Ecological Modelling, Modeling Human Decisions</w:t>
      </w:r>
      <w:r w:rsidRPr="009F6726">
        <w:t xml:space="preserve">, </w:t>
      </w:r>
      <w:r w:rsidRPr="009F6726">
        <w:rPr>
          <w:i/>
          <w:iCs/>
        </w:rPr>
        <w:t>229</w:t>
      </w:r>
      <w:r w:rsidRPr="009F6726">
        <w:t>, 25–36. https://doi.org/10.1016/j.ecolmodel.2011.07.010</w:t>
      </w:r>
    </w:p>
    <w:p w14:paraId="3E564D27" w14:textId="77777777" w:rsidR="009F6726" w:rsidRPr="009F6726" w:rsidRDefault="009F6726" w:rsidP="00E92C1F">
      <w:pPr>
        <w:pStyle w:val="Bibliography"/>
        <w:spacing w:line="240" w:lineRule="auto"/>
      </w:pPr>
      <w:r w:rsidRPr="009F6726">
        <w:t xml:space="preserve">Barnes, B., Dunn, S., Pearson, C., &amp; Wilkinson, S. (2021). Improving human behaviour in macroscale city evacuation agent-based simulation. </w:t>
      </w:r>
      <w:r w:rsidRPr="009F6726">
        <w:rPr>
          <w:i/>
          <w:iCs/>
        </w:rPr>
        <w:t>International Journal of Disaster Risk Reduction</w:t>
      </w:r>
      <w:r w:rsidRPr="009F6726">
        <w:t xml:space="preserve">, </w:t>
      </w:r>
      <w:r w:rsidRPr="009F6726">
        <w:rPr>
          <w:i/>
          <w:iCs/>
        </w:rPr>
        <w:t>60</w:t>
      </w:r>
      <w:r w:rsidRPr="009F6726">
        <w:t>, 102289. https://doi.org/10.1016/j.ijdrr.2021.102289</w:t>
      </w:r>
    </w:p>
    <w:p w14:paraId="0FDAA3F8" w14:textId="77777777" w:rsidR="009F6726" w:rsidRPr="009F6726" w:rsidRDefault="009F6726" w:rsidP="00E92C1F">
      <w:pPr>
        <w:pStyle w:val="Bibliography"/>
        <w:spacing w:line="240" w:lineRule="auto"/>
      </w:pPr>
      <w:r w:rsidRPr="009F6726">
        <w:t xml:space="preserve">Brown, P. A., &amp; Anderson, R. A. (2023). A methodology for preprocessing structured big data in the behavioral sciences. </w:t>
      </w:r>
      <w:r w:rsidRPr="009F6726">
        <w:rPr>
          <w:i/>
          <w:iCs/>
        </w:rPr>
        <w:t>Behavior Research Methods</w:t>
      </w:r>
      <w:r w:rsidRPr="009F6726">
        <w:t xml:space="preserve">, </w:t>
      </w:r>
      <w:r w:rsidRPr="009F6726">
        <w:rPr>
          <w:i/>
          <w:iCs/>
        </w:rPr>
        <w:t>55</w:t>
      </w:r>
      <w:r w:rsidRPr="009F6726">
        <w:t>(4), 1818–1838. https://doi.org/10.3758/s13428-022-01895-4</w:t>
      </w:r>
    </w:p>
    <w:p w14:paraId="51D1098E" w14:textId="77777777" w:rsidR="009F6726" w:rsidRPr="009F6726" w:rsidRDefault="009F6726" w:rsidP="00E92C1F">
      <w:pPr>
        <w:pStyle w:val="Bibliography"/>
        <w:spacing w:line="240" w:lineRule="auto"/>
      </w:pPr>
      <w:r w:rsidRPr="009F6726">
        <w:t xml:space="preserve">Caillou, P., Gaudou, B., Grignard, A., Truong, C. Q., &amp; Taillandier, P. (2017). A Simple-to-Use BDI Architecture for Agent-Based Modeling and Simulation. In W. Jager, R. Verbrugge, A. Flache, G. de Roo, L. Hoogduin, &amp; C. Hemelrijk (Eds.), </w:t>
      </w:r>
      <w:r w:rsidRPr="009F6726">
        <w:rPr>
          <w:i/>
          <w:iCs/>
        </w:rPr>
        <w:t>Advances in Social Simulation 2015</w:t>
      </w:r>
      <w:r w:rsidRPr="009F6726">
        <w:t xml:space="preserve"> (pp. 15–28). Springer International Publishing. https://doi.org/10.1007/978-3-319-47253-9_2</w:t>
      </w:r>
    </w:p>
    <w:p w14:paraId="5B6869B8" w14:textId="77777777" w:rsidR="009F6726" w:rsidRPr="009F6726" w:rsidRDefault="009F6726" w:rsidP="00E92C1F">
      <w:pPr>
        <w:pStyle w:val="Bibliography"/>
        <w:spacing w:line="240" w:lineRule="auto"/>
        <w:rPr>
          <w:lang w:val="fr-FR"/>
        </w:rPr>
      </w:pPr>
      <w:r w:rsidRPr="009F6726">
        <w:t xml:space="preserve">Chen, F., Yue, X., Yang, X., &amp; Ge, T. (2014). Study on classification of personality-based brand archetype from the perspective of internet. </w:t>
      </w:r>
      <w:r w:rsidRPr="009F6726">
        <w:rPr>
          <w:i/>
          <w:iCs/>
          <w:lang w:val="fr-FR"/>
        </w:rPr>
        <w:t>China Communications</w:t>
      </w:r>
      <w:r w:rsidRPr="009F6726">
        <w:rPr>
          <w:lang w:val="fr-FR"/>
        </w:rPr>
        <w:t xml:space="preserve">, </w:t>
      </w:r>
      <w:r w:rsidRPr="009F6726">
        <w:rPr>
          <w:i/>
          <w:iCs/>
          <w:lang w:val="fr-FR"/>
        </w:rPr>
        <w:t>11</w:t>
      </w:r>
      <w:r w:rsidRPr="009F6726">
        <w:rPr>
          <w:lang w:val="fr-FR"/>
        </w:rPr>
        <w:t>(7), 153–160. https://doi.org/10.1109/CC.2014.6895394</w:t>
      </w:r>
    </w:p>
    <w:p w14:paraId="4FACAF94" w14:textId="77777777" w:rsidR="009F6726" w:rsidRPr="009F6726" w:rsidRDefault="009F6726" w:rsidP="00E92C1F">
      <w:pPr>
        <w:pStyle w:val="Bibliography"/>
        <w:spacing w:line="240" w:lineRule="auto"/>
      </w:pPr>
      <w:r w:rsidRPr="009F6726">
        <w:rPr>
          <w:lang w:val="fr-FR"/>
        </w:rPr>
        <w:t xml:space="preserve">Chen, X., Treiber, M., Kanagaraj, V., &amp; Li, H. (2018). </w:t>
      </w:r>
      <w:r w:rsidRPr="009F6726">
        <w:t xml:space="preserve">Social force models for pedestrian traffic – state of the art. </w:t>
      </w:r>
      <w:r w:rsidRPr="009F6726">
        <w:rPr>
          <w:i/>
          <w:iCs/>
        </w:rPr>
        <w:t>Transport Reviews</w:t>
      </w:r>
      <w:r w:rsidRPr="009F6726">
        <w:t xml:space="preserve">, </w:t>
      </w:r>
      <w:r w:rsidRPr="009F6726">
        <w:rPr>
          <w:i/>
          <w:iCs/>
        </w:rPr>
        <w:t>38</w:t>
      </w:r>
      <w:r w:rsidRPr="009F6726">
        <w:t>(5), 625–653. https://doi.org/10.1080/01441647.2017.1396265</w:t>
      </w:r>
    </w:p>
    <w:p w14:paraId="2ED8A4A5" w14:textId="77777777" w:rsidR="009F6726" w:rsidRPr="009F6726" w:rsidRDefault="009F6726" w:rsidP="00E92C1F">
      <w:pPr>
        <w:pStyle w:val="Bibliography"/>
        <w:spacing w:line="240" w:lineRule="auto"/>
      </w:pPr>
      <w:r w:rsidRPr="009F6726">
        <w:t xml:space="preserve">Davahli, M. R., Karwowski, W., Gutierrez, E., Fiok, K., Wróbel, G., Taiar, R., &amp; Ahram, T. (2020). Identification and Prediction of Human Behavior through Mining of Unstructured Textual Data. </w:t>
      </w:r>
      <w:r w:rsidRPr="009F6726">
        <w:rPr>
          <w:i/>
          <w:iCs/>
        </w:rPr>
        <w:t>Symmetry</w:t>
      </w:r>
      <w:r w:rsidRPr="009F6726">
        <w:t xml:space="preserve">, </w:t>
      </w:r>
      <w:r w:rsidRPr="009F6726">
        <w:rPr>
          <w:i/>
          <w:iCs/>
        </w:rPr>
        <w:t>12</w:t>
      </w:r>
      <w:r w:rsidRPr="009F6726">
        <w:t>(11). https://doi.org/10.3390/sym12111902</w:t>
      </w:r>
    </w:p>
    <w:p w14:paraId="48312CA7" w14:textId="77777777" w:rsidR="009F6726" w:rsidRPr="009F6726" w:rsidRDefault="009F6726" w:rsidP="00E92C1F">
      <w:pPr>
        <w:pStyle w:val="Bibliography"/>
        <w:spacing w:line="240" w:lineRule="auto"/>
      </w:pPr>
      <w:r w:rsidRPr="009F6726">
        <w:t xml:space="preserve">Ding, X., Gan, Q., &amp; Bahrami, S. (2022). A systematic survey of data mining and big data in human behavior </w:t>
      </w:r>
      <w:r w:rsidRPr="009F6726">
        <w:lastRenderedPageBreak/>
        <w:t xml:space="preserve">analysis: Current datasets and models. </w:t>
      </w:r>
      <w:r w:rsidRPr="009F6726">
        <w:rPr>
          <w:i/>
          <w:iCs/>
        </w:rPr>
        <w:t>Transactions on Emerging Telecommunications Technologies</w:t>
      </w:r>
      <w:r w:rsidRPr="009F6726">
        <w:t xml:space="preserve">, </w:t>
      </w:r>
      <w:r w:rsidRPr="009F6726">
        <w:rPr>
          <w:i/>
          <w:iCs/>
        </w:rPr>
        <w:t>33</w:t>
      </w:r>
      <w:r w:rsidRPr="009F6726">
        <w:t>(9), e4574. https://doi.org/10.1002/ett.4574</w:t>
      </w:r>
    </w:p>
    <w:p w14:paraId="218ACCED" w14:textId="77777777" w:rsidR="009F6726" w:rsidRPr="009F6726" w:rsidRDefault="009F6726" w:rsidP="00E92C1F">
      <w:pPr>
        <w:pStyle w:val="Bibliography"/>
        <w:spacing w:line="240" w:lineRule="auto"/>
      </w:pPr>
      <w:r w:rsidRPr="009F6726">
        <w:t xml:space="preserve">Greasley, A., &amp; Owen, C. (2016). Behavior in Models: A Framework for Representing Human Behavior. In M. Kunc, J. Malpass, &amp; L. White (Eds.), </w:t>
      </w:r>
      <w:r w:rsidRPr="009F6726">
        <w:rPr>
          <w:i/>
          <w:iCs/>
        </w:rPr>
        <w:t>Behavioral Operational Research: Theory, Methodology and Practice</w:t>
      </w:r>
      <w:r w:rsidRPr="009F6726">
        <w:t xml:space="preserve"> (pp. 47–63). Palgrave Macmillan UK. https://doi.org/10.1057/978-1-137-53551-1_3</w:t>
      </w:r>
    </w:p>
    <w:p w14:paraId="64E453CC" w14:textId="77777777" w:rsidR="009F6726" w:rsidRPr="009F6726" w:rsidRDefault="009F6726" w:rsidP="00E92C1F">
      <w:pPr>
        <w:pStyle w:val="Bibliography"/>
        <w:spacing w:line="240" w:lineRule="auto"/>
      </w:pPr>
      <w:r w:rsidRPr="009F6726">
        <w:t xml:space="preserve">Guo, Y., Gasparrini, A., Armstrong, B. G., Tawatsupa, B., Tobias, A., Lavigne, E., Coelho, M. de S. Z. S., Pan, X., Kim, H., Hashizume, M., Honda, Y., Guo, Y.-L. L., Wu, C.-F., Zanobetti, A., Schwartz, J. D., Bell, M. L., Scortichini, M., Michelozzi, P., Punnasiri, K., … Tong, S. (2017). Heat Wave and Mortality: A Multicountry, Multicommunity Study. </w:t>
      </w:r>
      <w:r w:rsidRPr="009F6726">
        <w:rPr>
          <w:i/>
          <w:iCs/>
        </w:rPr>
        <w:t>Environmental Health Perspectives</w:t>
      </w:r>
      <w:r w:rsidRPr="009F6726">
        <w:t xml:space="preserve">, </w:t>
      </w:r>
      <w:r w:rsidRPr="009F6726">
        <w:rPr>
          <w:i/>
          <w:iCs/>
        </w:rPr>
        <w:t>125</w:t>
      </w:r>
      <w:r w:rsidRPr="009F6726">
        <w:t>(8), 087006. https://doi.org/10.1289/EHP1026</w:t>
      </w:r>
    </w:p>
    <w:p w14:paraId="266F9FB0" w14:textId="77777777" w:rsidR="009F6726" w:rsidRPr="009F6726" w:rsidRDefault="009F6726" w:rsidP="00E92C1F">
      <w:pPr>
        <w:pStyle w:val="Bibliography"/>
        <w:spacing w:line="240" w:lineRule="auto"/>
      </w:pPr>
      <w:r w:rsidRPr="009F6726">
        <w:t xml:space="preserve">Haer, T., Botzen, W. J. W., de Moel, H., &amp; Aerts, J. C. J. H. (2017). Integrating Household Risk Mitigation Behavior in Flood Risk Analysis: An Agent-Based Model Approach. </w:t>
      </w:r>
      <w:r w:rsidRPr="009F6726">
        <w:rPr>
          <w:i/>
          <w:iCs/>
        </w:rPr>
        <w:t>Risk Analysis</w:t>
      </w:r>
      <w:r w:rsidRPr="009F6726">
        <w:t xml:space="preserve">, </w:t>
      </w:r>
      <w:r w:rsidRPr="009F6726">
        <w:rPr>
          <w:i/>
          <w:iCs/>
        </w:rPr>
        <w:t>37</w:t>
      </w:r>
      <w:r w:rsidRPr="009F6726">
        <w:t>(10), 1977–1992. https://doi.org/10.1111/risa.12740</w:t>
      </w:r>
    </w:p>
    <w:p w14:paraId="234DEFF7" w14:textId="77777777" w:rsidR="009F6726" w:rsidRPr="009F6726" w:rsidRDefault="009F6726" w:rsidP="00E92C1F">
      <w:pPr>
        <w:pStyle w:val="Bibliography"/>
        <w:spacing w:line="240" w:lineRule="auto"/>
      </w:pPr>
      <w:r w:rsidRPr="009F6726">
        <w:t xml:space="preserve">Helbing, D., &amp; Molnár, P. (1995). Social force model for pedestrian dynamics. </w:t>
      </w:r>
      <w:r w:rsidRPr="009F6726">
        <w:rPr>
          <w:i/>
          <w:iCs/>
        </w:rPr>
        <w:t>Physical Review E</w:t>
      </w:r>
      <w:r w:rsidRPr="009F6726">
        <w:t xml:space="preserve">, </w:t>
      </w:r>
      <w:r w:rsidRPr="009F6726">
        <w:rPr>
          <w:i/>
          <w:iCs/>
        </w:rPr>
        <w:t>51</w:t>
      </w:r>
      <w:r w:rsidRPr="009F6726">
        <w:t>(5), 4282–4286. https://doi.org/10.1103/PhysRevE.51.4282</w:t>
      </w:r>
    </w:p>
    <w:p w14:paraId="7FFBA613" w14:textId="77777777" w:rsidR="009F6726" w:rsidRPr="009F6726" w:rsidRDefault="009F6726" w:rsidP="00E92C1F">
      <w:pPr>
        <w:pStyle w:val="Bibliography"/>
        <w:spacing w:line="240" w:lineRule="auto"/>
      </w:pPr>
      <w:r w:rsidRPr="009F6726">
        <w:t xml:space="preserve">Heppenstall, A., Malleson, N., &amp; Crooks, A. (2016). “Space, the Final Frontier”: How Good are Agent-Based Models at Simulating Individuals and Space in Cities? </w:t>
      </w:r>
      <w:r w:rsidRPr="009F6726">
        <w:rPr>
          <w:i/>
          <w:iCs/>
        </w:rPr>
        <w:t>Systems</w:t>
      </w:r>
      <w:r w:rsidRPr="009F6726">
        <w:t xml:space="preserve">, </w:t>
      </w:r>
      <w:r w:rsidRPr="009F6726">
        <w:rPr>
          <w:i/>
          <w:iCs/>
        </w:rPr>
        <w:t>4</w:t>
      </w:r>
      <w:r w:rsidRPr="009F6726">
        <w:t>(1), 9. https://doi.org/10.3390/systems4010009</w:t>
      </w:r>
    </w:p>
    <w:p w14:paraId="741F34D0" w14:textId="77777777" w:rsidR="009F6726" w:rsidRPr="009F6726" w:rsidRDefault="009F6726" w:rsidP="00E92C1F">
      <w:pPr>
        <w:pStyle w:val="Bibliography"/>
        <w:spacing w:line="240" w:lineRule="auto"/>
      </w:pPr>
      <w:r w:rsidRPr="009F6726">
        <w:t xml:space="preserve">Iskandar, R., Al Tfaily, B., Cornou, C., Bard, P.-Y., Guillier, B., Harb, J., Lacroix, P., Adjizian-Gérard, J., Beck, E., Dugdale, J., Salameh, C., Saliba, N., &amp; Zaarour, R. (2023). Estimating urban seismic damages and debris from building-level simulations: Application to the city of Beirut, Lebanon. </w:t>
      </w:r>
      <w:r w:rsidRPr="009F6726">
        <w:rPr>
          <w:i/>
          <w:iCs/>
        </w:rPr>
        <w:t>Bulletin of Earthquake Engineering</w:t>
      </w:r>
      <w:r w:rsidRPr="009F6726">
        <w:t xml:space="preserve">, </w:t>
      </w:r>
      <w:r w:rsidRPr="009F6726">
        <w:rPr>
          <w:i/>
          <w:iCs/>
        </w:rPr>
        <w:t>21</w:t>
      </w:r>
      <w:r w:rsidRPr="009F6726">
        <w:t>(13), 5949–5990. https://doi.org/10.1007/s10518-023-01768-x</w:t>
      </w:r>
    </w:p>
    <w:p w14:paraId="6C3A10D0" w14:textId="77777777" w:rsidR="009F6726" w:rsidRPr="009F6726" w:rsidRDefault="009F6726" w:rsidP="00E92C1F">
      <w:pPr>
        <w:pStyle w:val="Bibliography"/>
        <w:spacing w:line="240" w:lineRule="auto"/>
      </w:pPr>
      <w:r w:rsidRPr="009F6726">
        <w:t xml:space="preserve">Kennedy, W. G. (2012). Modelling Human Behaviour in Agent-Based Models. In A. J. Heppenstall, A. T. Crooks, L. M. See, &amp; M. Batty (Eds.), </w:t>
      </w:r>
      <w:r w:rsidRPr="009F6726">
        <w:rPr>
          <w:i/>
          <w:iCs/>
        </w:rPr>
        <w:t>Agent-Based Models of Geographical Systems</w:t>
      </w:r>
      <w:r w:rsidRPr="009F6726">
        <w:t xml:space="preserve"> (pp. 167–179). Springer Netherlands. https://doi.org/10.1007/978-90-481-8927-4_9</w:t>
      </w:r>
    </w:p>
    <w:p w14:paraId="0AA3E225" w14:textId="77777777" w:rsidR="009F6726" w:rsidRPr="009F6726" w:rsidRDefault="009F6726" w:rsidP="00E92C1F">
      <w:pPr>
        <w:pStyle w:val="Bibliography"/>
        <w:spacing w:line="240" w:lineRule="auto"/>
      </w:pPr>
      <w:r w:rsidRPr="009F6726">
        <w:t xml:space="preserve">Lekkas, E. (2001). The Athens earthquake (7 September 1999): Intensity distribution and controlling factors. </w:t>
      </w:r>
      <w:r w:rsidRPr="009F6726">
        <w:rPr>
          <w:i/>
          <w:iCs/>
        </w:rPr>
        <w:t>Engineering Geology</w:t>
      </w:r>
      <w:r w:rsidRPr="009F6726">
        <w:t xml:space="preserve">, </w:t>
      </w:r>
      <w:r w:rsidRPr="009F6726">
        <w:rPr>
          <w:i/>
          <w:iCs/>
        </w:rPr>
        <w:t>59</w:t>
      </w:r>
      <w:r w:rsidRPr="009F6726">
        <w:t>(3), 297–311. https://doi.org/10.1016/S0013-7952(00)00119-8</w:t>
      </w:r>
    </w:p>
    <w:p w14:paraId="4C274C2E" w14:textId="77777777" w:rsidR="009F6726" w:rsidRPr="009F6726" w:rsidRDefault="009F6726" w:rsidP="00E92C1F">
      <w:pPr>
        <w:pStyle w:val="Bibliography"/>
        <w:spacing w:line="240" w:lineRule="auto"/>
      </w:pPr>
      <w:r w:rsidRPr="009F6726">
        <w:t xml:space="preserve">Lempert, R. J., Busch, L., Brown, R., Patton, A., Turner, S., Schmidt, J., &amp; Young, T. (2023). Community-Level, Participatory Co-Design for Landslide Warning with Implications for Climate Services. </w:t>
      </w:r>
      <w:r w:rsidRPr="009F6726">
        <w:rPr>
          <w:i/>
          <w:iCs/>
        </w:rPr>
        <w:t>Sustainability</w:t>
      </w:r>
      <w:r w:rsidRPr="009F6726">
        <w:t xml:space="preserve">, </w:t>
      </w:r>
      <w:r w:rsidRPr="009F6726">
        <w:rPr>
          <w:i/>
          <w:iCs/>
        </w:rPr>
        <w:t>15</w:t>
      </w:r>
      <w:r w:rsidRPr="009F6726">
        <w:t>(5). https://doi.org/10.3390/su15054294</w:t>
      </w:r>
    </w:p>
    <w:p w14:paraId="1AA25708" w14:textId="77777777" w:rsidR="009F6726" w:rsidRPr="009F6726" w:rsidRDefault="009F6726" w:rsidP="00E92C1F">
      <w:pPr>
        <w:pStyle w:val="Bibliography"/>
        <w:spacing w:line="240" w:lineRule="auto"/>
      </w:pPr>
      <w:r w:rsidRPr="009F6726">
        <w:t xml:space="preserve">Melles, G. (2021). Participatory Co-design for Sustainable Development. In </w:t>
      </w:r>
      <w:r w:rsidRPr="009F6726">
        <w:rPr>
          <w:i/>
          <w:iCs/>
        </w:rPr>
        <w:t>Partnerships for the Goals</w:t>
      </w:r>
      <w:r w:rsidRPr="009F6726">
        <w:t xml:space="preserve"> (pp. 839–849). Springer, Cham. https://doi.org/10.1007/978-3-319-95963-4_47</w:t>
      </w:r>
    </w:p>
    <w:p w14:paraId="60F18AF9" w14:textId="77777777" w:rsidR="009F6726" w:rsidRPr="009F6726" w:rsidRDefault="009F6726" w:rsidP="00E92C1F">
      <w:pPr>
        <w:pStyle w:val="Bibliography"/>
        <w:spacing w:line="240" w:lineRule="auto"/>
      </w:pPr>
      <w:r w:rsidRPr="009F6726">
        <w:t xml:space="preserve">Moradi, H., Iskandar, R., Rodriguez, S., Singh, D., Dugdale, J., Tzempelikos, D., &amp; Sfetsos, A. (2025). A Framework for Constructing Agent-based Models for Evaluating Emergency Evacuation Procedures; A Case Study Applied to Egaleo, Greece. </w:t>
      </w:r>
      <w:r w:rsidRPr="009F6726">
        <w:rPr>
          <w:i/>
          <w:iCs/>
        </w:rPr>
        <w:t>58th Hawaii International Conference on System Sciences</w:t>
      </w:r>
      <w:r w:rsidRPr="009F6726">
        <w:t xml:space="preserve">, </w:t>
      </w:r>
      <w:r w:rsidRPr="009F6726">
        <w:rPr>
          <w:i/>
          <w:iCs/>
        </w:rPr>
        <w:t>Proceedings of the 58th Hawaii International Conference on System Sciences</w:t>
      </w:r>
      <w:r w:rsidRPr="009F6726">
        <w:t>. https://hal.science/hal-04906043</w:t>
      </w:r>
    </w:p>
    <w:p w14:paraId="2D6D4DB9" w14:textId="77777777" w:rsidR="009F6726" w:rsidRPr="009F6726" w:rsidRDefault="009F6726" w:rsidP="00E92C1F">
      <w:pPr>
        <w:pStyle w:val="Bibliography"/>
        <w:spacing w:line="240" w:lineRule="auto"/>
      </w:pPr>
      <w:r w:rsidRPr="009F6726">
        <w:t xml:space="preserve">Moradi, H., Iskandar, R., Rodriguez, S., Singh, D., Dugdale, J., Tzempelikos, D., Sfetsos, A., Bakogianni, E., Pavlidi, E., Díaz, J., Ribas, M., Moragues, A., &amp; Estrany, J. (2025a). Enhancing Disaster Evacuation Planning with Cognitive Agent-Based Models and Co-Creation. </w:t>
      </w:r>
      <w:r w:rsidRPr="009F6726">
        <w:rPr>
          <w:i/>
          <w:iCs/>
        </w:rPr>
        <w:t>European Journal of Sustainable Development</w:t>
      </w:r>
      <w:r w:rsidRPr="009F6726">
        <w:t xml:space="preserve">, </w:t>
      </w:r>
      <w:r w:rsidRPr="009F6726">
        <w:rPr>
          <w:i/>
          <w:iCs/>
        </w:rPr>
        <w:t>14</w:t>
      </w:r>
      <w:r w:rsidRPr="009F6726">
        <w:t>(3), 1–11. https://doi.org/10.14207/ejsd.2025.v14n3p1</w:t>
      </w:r>
    </w:p>
    <w:p w14:paraId="554B6ED3" w14:textId="77777777" w:rsidR="009F6726" w:rsidRPr="009F6726" w:rsidRDefault="009F6726" w:rsidP="00E92C1F">
      <w:pPr>
        <w:pStyle w:val="Bibliography"/>
        <w:spacing w:line="240" w:lineRule="auto"/>
      </w:pPr>
      <w:r w:rsidRPr="009F6726">
        <w:t xml:space="preserve">Moradi, H., Iskandar, R., Rodriguez, S., Singh, D., Dugdale, J., Tzempelikos, D., Sfetsos, A., Bakogianni, E., Pavlidi, E., Díaz, J., Ribas, M., Moragues, A., &amp; Estrany, J. (2025b). Improving evacuation policies through agent-based modeling and stakeholder engagement in hazard-prone areas. </w:t>
      </w:r>
      <w:r w:rsidRPr="009F6726">
        <w:rPr>
          <w:i/>
          <w:iCs/>
        </w:rPr>
        <w:t>International Journal of Disaster Risk Reduction</w:t>
      </w:r>
      <w:r w:rsidRPr="009F6726">
        <w:t xml:space="preserve">, </w:t>
      </w:r>
      <w:r w:rsidRPr="009F6726">
        <w:rPr>
          <w:i/>
          <w:iCs/>
        </w:rPr>
        <w:t>119</w:t>
      </w:r>
      <w:r w:rsidRPr="009F6726">
        <w:t>, 105280. https://doi.org/10.1016/j.ijdrr.2025.105280</w:t>
      </w:r>
    </w:p>
    <w:p w14:paraId="49E76C78" w14:textId="77777777" w:rsidR="009F6726" w:rsidRPr="009F6726" w:rsidRDefault="009F6726" w:rsidP="00E92C1F">
      <w:pPr>
        <w:pStyle w:val="Bibliography"/>
        <w:spacing w:line="240" w:lineRule="auto"/>
      </w:pPr>
      <w:r w:rsidRPr="009F6726">
        <w:t xml:space="preserve">Ng, M., Herbert, N., Ram, N., &amp; Wong-Parodi, G. (2025). Examining individuals’ protective behavioral decision-making dynamics over repeated risks of heat waves in the American West. </w:t>
      </w:r>
      <w:r w:rsidRPr="009F6726">
        <w:rPr>
          <w:i/>
          <w:iCs/>
        </w:rPr>
        <w:t>Journal of Risk Research</w:t>
      </w:r>
      <w:r w:rsidRPr="009F6726">
        <w:t xml:space="preserve">, </w:t>
      </w:r>
      <w:r w:rsidRPr="009F6726">
        <w:rPr>
          <w:i/>
          <w:iCs/>
        </w:rPr>
        <w:t>28</w:t>
      </w:r>
      <w:r w:rsidRPr="009F6726">
        <w:t>(12), 1420–1443. https://doi.org/10.1080/13669877.2025.2603989</w:t>
      </w:r>
    </w:p>
    <w:p w14:paraId="4E390CF0" w14:textId="77777777" w:rsidR="009F6726" w:rsidRPr="009F6726" w:rsidRDefault="009F6726" w:rsidP="00E92C1F">
      <w:pPr>
        <w:pStyle w:val="Bibliography"/>
        <w:spacing w:line="240" w:lineRule="auto"/>
        <w:rPr>
          <w:lang w:val="fr-FR"/>
        </w:rPr>
      </w:pPr>
      <w:r w:rsidRPr="009F6726">
        <w:t xml:space="preserve">Osman, M. (2010). Controlling uncertainty: A review of human behavior in complex dynamic environments. </w:t>
      </w:r>
      <w:r w:rsidRPr="009F6726">
        <w:rPr>
          <w:i/>
          <w:iCs/>
          <w:lang w:val="fr-FR"/>
        </w:rPr>
        <w:t>Psychological Bulletin</w:t>
      </w:r>
      <w:r w:rsidRPr="009F6726">
        <w:rPr>
          <w:lang w:val="fr-FR"/>
        </w:rPr>
        <w:t xml:space="preserve">, </w:t>
      </w:r>
      <w:r w:rsidRPr="009F6726">
        <w:rPr>
          <w:i/>
          <w:iCs/>
          <w:lang w:val="fr-FR"/>
        </w:rPr>
        <w:t>136</w:t>
      </w:r>
      <w:r w:rsidRPr="009F6726">
        <w:rPr>
          <w:lang w:val="fr-FR"/>
        </w:rPr>
        <w:t>(1), 65–86. https://doi.org/10.1037/a0017815</w:t>
      </w:r>
    </w:p>
    <w:p w14:paraId="7DB228C1" w14:textId="77777777" w:rsidR="009F6726" w:rsidRPr="009F6726" w:rsidRDefault="009F6726" w:rsidP="00E92C1F">
      <w:pPr>
        <w:pStyle w:val="Bibliography"/>
        <w:spacing w:line="240" w:lineRule="auto"/>
      </w:pPr>
      <w:r w:rsidRPr="009F6726">
        <w:rPr>
          <w:lang w:val="fr-FR"/>
        </w:rPr>
        <w:t xml:space="preserve">Papagiannaki, K., Diakakis, M., Kotroni, V., Lagouvardos, K., &amp; Andreadakis, E. (2019). </w:t>
      </w:r>
      <w:r w:rsidRPr="009F6726">
        <w:t xml:space="preserve">Hydrogeological and Climatological Risks Perception in a Multi-Hazard Environment: The Case of Greece. </w:t>
      </w:r>
      <w:r w:rsidRPr="009F6726">
        <w:rPr>
          <w:i/>
          <w:iCs/>
        </w:rPr>
        <w:t>Water</w:t>
      </w:r>
      <w:r w:rsidRPr="009F6726">
        <w:t xml:space="preserve">, </w:t>
      </w:r>
      <w:r w:rsidRPr="009F6726">
        <w:rPr>
          <w:i/>
          <w:iCs/>
        </w:rPr>
        <w:t>11</w:t>
      </w:r>
      <w:r w:rsidRPr="009F6726">
        <w:t>(9), 1770. https://doi.org/10.3390/w11091770</w:t>
      </w:r>
    </w:p>
    <w:p w14:paraId="36D25E96" w14:textId="77777777" w:rsidR="009F6726" w:rsidRPr="009F6726" w:rsidRDefault="009F6726" w:rsidP="00E92C1F">
      <w:pPr>
        <w:pStyle w:val="Bibliography"/>
        <w:spacing w:line="240" w:lineRule="auto"/>
      </w:pPr>
      <w:r w:rsidRPr="009F6726">
        <w:t xml:space="preserve">Pew, R. W. (2008). More Than 50 Years of History and Accomplishments in Human Performance Model Development. </w:t>
      </w:r>
      <w:r w:rsidRPr="009F6726">
        <w:rPr>
          <w:i/>
          <w:iCs/>
        </w:rPr>
        <w:t>Human Factors</w:t>
      </w:r>
      <w:r w:rsidRPr="009F6726">
        <w:t xml:space="preserve">, </w:t>
      </w:r>
      <w:r w:rsidRPr="009F6726">
        <w:rPr>
          <w:i/>
          <w:iCs/>
        </w:rPr>
        <w:t>50</w:t>
      </w:r>
      <w:r w:rsidRPr="009F6726">
        <w:t>(3), 489–496. https://doi.org/10.1518/001872008X288493</w:t>
      </w:r>
    </w:p>
    <w:p w14:paraId="3F837EAD" w14:textId="77777777" w:rsidR="009F6726" w:rsidRPr="009F6726" w:rsidRDefault="009F6726" w:rsidP="00E92C1F">
      <w:pPr>
        <w:pStyle w:val="Bibliography"/>
        <w:spacing w:line="240" w:lineRule="auto"/>
      </w:pPr>
      <w:r w:rsidRPr="009F6726">
        <w:t xml:space="preserve">Ren, Y., Cedeno-Mieles, V., Hu, Z., Deng, X., Adiga, A., Barrett, C., Ekanayake, S., Goode, B. J., Korkmaz, G., Kuhlman, C. J., Machi, D., Marathe, M. V., Ramakrishnan, N., Ravi, S. S., Sarat, P., Selt, N., Contractor, N., Epstein, J., &amp; Macy, M. W. (2018). Generative Modeling of Human Behavior and Social Interactions Using Abductive Analysis. </w:t>
      </w:r>
      <w:r w:rsidRPr="009F6726">
        <w:rPr>
          <w:i/>
          <w:iCs/>
        </w:rPr>
        <w:t>2018 IEEE/ACM International Conference on Advances in Social Networks Analysis and Mining (ASONAM)</w:t>
      </w:r>
      <w:r w:rsidRPr="009F6726">
        <w:t>, 413–420. https://doi.org/10.1109/ASONAM.2018.8508282</w:t>
      </w:r>
    </w:p>
    <w:p w14:paraId="329F990D" w14:textId="77777777" w:rsidR="009F6726" w:rsidRPr="009F6726" w:rsidRDefault="009F6726" w:rsidP="00E92C1F">
      <w:pPr>
        <w:pStyle w:val="Bibliography"/>
        <w:spacing w:line="240" w:lineRule="auto"/>
      </w:pPr>
      <w:r w:rsidRPr="009F6726">
        <w:lastRenderedPageBreak/>
        <w:t xml:space="preserve">Romero, D., &amp; Escudero, P. (2023). Adaptive Learning in Agent-Based Models: An Approach for Analyzing Human Behavior in Pandemic Crowding. </w:t>
      </w:r>
      <w:r w:rsidRPr="009F6726">
        <w:rPr>
          <w:i/>
          <w:iCs/>
        </w:rPr>
        <w:t>Applied System Innovation</w:t>
      </w:r>
      <w:r w:rsidRPr="009F6726">
        <w:t xml:space="preserve">, </w:t>
      </w:r>
      <w:r w:rsidRPr="009F6726">
        <w:rPr>
          <w:i/>
          <w:iCs/>
        </w:rPr>
        <w:t>6</w:t>
      </w:r>
      <w:r w:rsidRPr="009F6726">
        <w:t>(6), 113. https://doi.org/10.3390/asi6060113</w:t>
      </w:r>
    </w:p>
    <w:p w14:paraId="2FBF5846" w14:textId="77777777" w:rsidR="009F6726" w:rsidRPr="009F6726" w:rsidRDefault="009F6726" w:rsidP="00E92C1F">
      <w:pPr>
        <w:pStyle w:val="Bibliography"/>
        <w:spacing w:line="240" w:lineRule="auto"/>
      </w:pPr>
      <w:r w:rsidRPr="009F6726">
        <w:t xml:space="preserve">Rufat, S., Comby, E., Lhomme, S., &amp; Santoni, V. (2024). Context matters when evacuating large cities: Shifting the focus from individual characteristics to location and social vulnerability. </w:t>
      </w:r>
      <w:r w:rsidRPr="009F6726">
        <w:rPr>
          <w:i/>
          <w:iCs/>
        </w:rPr>
        <w:t>Environmental Science &amp; Policy</w:t>
      </w:r>
      <w:r w:rsidRPr="009F6726">
        <w:t xml:space="preserve">, </w:t>
      </w:r>
      <w:r w:rsidRPr="009F6726">
        <w:rPr>
          <w:i/>
          <w:iCs/>
        </w:rPr>
        <w:t>162</w:t>
      </w:r>
      <w:r w:rsidRPr="009F6726">
        <w:t>, 103925. https://doi.org/10.1016/j.envsci.2024.103925</w:t>
      </w:r>
    </w:p>
    <w:p w14:paraId="5AAA3305" w14:textId="77777777" w:rsidR="009F6726" w:rsidRPr="009F6726" w:rsidRDefault="009F6726" w:rsidP="00E92C1F">
      <w:pPr>
        <w:pStyle w:val="Bibliography"/>
        <w:spacing w:line="240" w:lineRule="auto"/>
      </w:pPr>
      <w:r w:rsidRPr="009F6726">
        <w:t xml:space="preserve">Slinger, J. H., Cunningham, S. C., &amp; Kothuis, B. L. M. (2023). A co-design method for including stakeholder perspectives in nature-based flood risk management. </w:t>
      </w:r>
      <w:r w:rsidRPr="009F6726">
        <w:rPr>
          <w:i/>
          <w:iCs/>
        </w:rPr>
        <w:t>Natural Hazards</w:t>
      </w:r>
      <w:r w:rsidRPr="009F6726">
        <w:t xml:space="preserve">, </w:t>
      </w:r>
      <w:r w:rsidRPr="009F6726">
        <w:rPr>
          <w:i/>
          <w:iCs/>
        </w:rPr>
        <w:t>119</w:t>
      </w:r>
      <w:r w:rsidRPr="009F6726">
        <w:t>(3), 1171–1191. https://doi.org/10.1007/s11069-023-06139-y</w:t>
      </w:r>
    </w:p>
    <w:p w14:paraId="4E742C7E" w14:textId="77777777" w:rsidR="009F6726" w:rsidRPr="009F6726" w:rsidRDefault="009F6726" w:rsidP="00E92C1F">
      <w:pPr>
        <w:pStyle w:val="Bibliography"/>
        <w:spacing w:line="240" w:lineRule="auto"/>
      </w:pPr>
      <w:r w:rsidRPr="009F6726">
        <w:t xml:space="preserve">Tasantab, J. C., Gajendran, T., Owi, T., &amp; Raju, E. (2021). Simulation-based learning in tertiary-level disaster risk management education: A class-room experiment. </w:t>
      </w:r>
      <w:r w:rsidRPr="009F6726">
        <w:rPr>
          <w:i/>
          <w:iCs/>
        </w:rPr>
        <w:t>International Journal of Disaster Resilience in the Built Environment</w:t>
      </w:r>
      <w:r w:rsidRPr="009F6726">
        <w:t xml:space="preserve">, </w:t>
      </w:r>
      <w:r w:rsidRPr="009F6726">
        <w:rPr>
          <w:i/>
          <w:iCs/>
        </w:rPr>
        <w:t>14</w:t>
      </w:r>
      <w:r w:rsidRPr="009F6726">
        <w:t>(1), 21–39. https://doi.org/10.1108/IJDRBE-04-2021-0045</w:t>
      </w:r>
    </w:p>
    <w:p w14:paraId="59DBCA45" w14:textId="77777777" w:rsidR="009F6726" w:rsidRPr="009F6726" w:rsidRDefault="009F6726" w:rsidP="00E92C1F">
      <w:pPr>
        <w:pStyle w:val="Bibliography"/>
        <w:spacing w:line="240" w:lineRule="auto"/>
      </w:pPr>
      <w:r w:rsidRPr="009F6726">
        <w:t xml:space="preserve">Tocchi, G., Pittore, M., &amp; Polese, M. (2025). Identifying urban and rural settlement archetypes: Clustering for enhanced risk-oriented exposure and vulnerability analysis. </w:t>
      </w:r>
      <w:r w:rsidRPr="009F6726">
        <w:rPr>
          <w:i/>
          <w:iCs/>
        </w:rPr>
        <w:t>Natural Hazards and Earth System Sciences</w:t>
      </w:r>
      <w:r w:rsidRPr="009F6726">
        <w:t xml:space="preserve">, </w:t>
      </w:r>
      <w:r w:rsidRPr="009F6726">
        <w:rPr>
          <w:i/>
          <w:iCs/>
        </w:rPr>
        <w:t>25</w:t>
      </w:r>
      <w:r w:rsidRPr="009F6726">
        <w:t>(9), 3665–3692. https://doi.org/10.5194/nhess-25-3665-2025</w:t>
      </w:r>
    </w:p>
    <w:p w14:paraId="5FEB9381" w14:textId="77777777" w:rsidR="009F6726" w:rsidRPr="009F6726" w:rsidRDefault="009F6726" w:rsidP="00E92C1F">
      <w:pPr>
        <w:pStyle w:val="Bibliography"/>
        <w:spacing w:line="240" w:lineRule="auto"/>
      </w:pPr>
      <w:r w:rsidRPr="009F6726">
        <w:t xml:space="preserve">W. Axhausen, K., Horni, A., &amp; Nagel, K. (Eds.). (2016). </w:t>
      </w:r>
      <w:r w:rsidRPr="009F6726">
        <w:rPr>
          <w:i/>
          <w:iCs/>
        </w:rPr>
        <w:t>The Multi-Agent Transport Simulation MATSim</w:t>
      </w:r>
      <w:r w:rsidRPr="009F6726">
        <w:t>. Ubiquity Press. https://doi.org/10.5334/baw</w:t>
      </w:r>
    </w:p>
    <w:p w14:paraId="6B869EEB" w14:textId="77777777" w:rsidR="009F6726" w:rsidRPr="009F6726" w:rsidRDefault="009F6726" w:rsidP="00E92C1F">
      <w:pPr>
        <w:pStyle w:val="Bibliography"/>
        <w:spacing w:line="240" w:lineRule="auto"/>
      </w:pPr>
      <w:r w:rsidRPr="009F6726">
        <w:rPr>
          <w:lang w:val="fr-FR"/>
        </w:rPr>
        <w:t xml:space="preserve">Wu, W., Chen, M., Li, J., Liu, B., &amp; Zheng, X. (2022). </w:t>
      </w:r>
      <w:r w:rsidRPr="009F6726">
        <w:t xml:space="preserve">An Extended Social Force Model via Pedestrian Heterogeneity Affecting the Self-Driven Force. </w:t>
      </w:r>
      <w:r w:rsidRPr="009F6726">
        <w:rPr>
          <w:i/>
          <w:iCs/>
        </w:rPr>
        <w:t>IEEE Transactions on Intelligent Transportation Systems</w:t>
      </w:r>
      <w:r w:rsidRPr="009F6726">
        <w:t xml:space="preserve">, </w:t>
      </w:r>
      <w:r w:rsidRPr="009F6726">
        <w:rPr>
          <w:i/>
          <w:iCs/>
        </w:rPr>
        <w:t>23</w:t>
      </w:r>
      <w:r w:rsidRPr="009F6726">
        <w:t>(7), 7974–7986. https://doi.org/10.1109/TITS.2021.3074914</w:t>
      </w:r>
    </w:p>
    <w:p w14:paraId="268B7C28" w14:textId="77777777" w:rsidR="009F6726" w:rsidRPr="009F6726" w:rsidRDefault="009F6726" w:rsidP="00E92C1F">
      <w:pPr>
        <w:pStyle w:val="Bibliography"/>
        <w:spacing w:line="240" w:lineRule="auto"/>
      </w:pPr>
      <w:r w:rsidRPr="009F6726">
        <w:t xml:space="preserve">Zainuddin, Z., &amp; Shuaib, M. (2010). Modification of the Decision-Making Capability in the Social Force Model for the Evacuation Process. </w:t>
      </w:r>
      <w:r w:rsidRPr="009F6726">
        <w:rPr>
          <w:i/>
          <w:iCs/>
        </w:rPr>
        <w:t>Transport Theory and Statistical Physics</w:t>
      </w:r>
      <w:r w:rsidRPr="009F6726">
        <w:t xml:space="preserve">, </w:t>
      </w:r>
      <w:r w:rsidRPr="009F6726">
        <w:rPr>
          <w:i/>
          <w:iCs/>
        </w:rPr>
        <w:t>39</w:t>
      </w:r>
      <w:r w:rsidRPr="009F6726">
        <w:t>(1), 47–70. https://doi.org/10.1080/00411450.2010.529979</w:t>
      </w:r>
    </w:p>
    <w:p w14:paraId="137CD0C1" w14:textId="5026DBD4" w:rsidR="0075736F" w:rsidRPr="006C2778" w:rsidRDefault="0075736F" w:rsidP="00E92C1F">
      <w:pPr>
        <w:pStyle w:val="Bibliography"/>
        <w:spacing w:line="240" w:lineRule="auto"/>
        <w:rPr>
          <w:sz w:val="21"/>
          <w:szCs w:val="21"/>
        </w:rPr>
      </w:pPr>
      <w:r w:rsidRPr="006C2778">
        <w:fldChar w:fldCharType="end"/>
      </w:r>
    </w:p>
    <w:sectPr w:rsidR="0075736F" w:rsidRPr="006C2778">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E482" w14:textId="77777777" w:rsidR="002917F0" w:rsidRDefault="002917F0">
      <w:pPr>
        <w:spacing w:after="0"/>
      </w:pPr>
      <w:r>
        <w:separator/>
      </w:r>
    </w:p>
  </w:endnote>
  <w:endnote w:type="continuationSeparator" w:id="0">
    <w:p w14:paraId="47EEC475" w14:textId="77777777" w:rsidR="002917F0" w:rsidRDefault="002917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EE03" w14:textId="77777777" w:rsidR="00C80C42" w:rsidRDefault="00C80C42">
    <w:pPr>
      <w:pBdr>
        <w:top w:val="nil"/>
        <w:left w:val="nil"/>
        <w:bottom w:val="nil"/>
        <w:right w:val="nil"/>
        <w:between w:val="nil"/>
      </w:pBdr>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918C" w14:textId="470D1581" w:rsidR="00C80C42" w:rsidRDefault="00CE3822" w:rsidP="002867B3">
    <w:pPr>
      <w:pBdr>
        <w:top w:val="nil"/>
        <w:left w:val="nil"/>
        <w:bottom w:val="nil"/>
        <w:right w:val="nil"/>
        <w:between w:val="nil"/>
      </w:pBdr>
      <w:tabs>
        <w:tab w:val="center" w:pos="5040"/>
        <w:tab w:val="right" w:pos="9000"/>
      </w:tabs>
      <w:spacing w:after="0"/>
      <w:jc w:val="center"/>
      <w:rPr>
        <w:color w:val="000000"/>
        <w:sz w:val="18"/>
        <w:szCs w:val="18"/>
      </w:rPr>
    </w:pPr>
    <w:r>
      <w:rPr>
        <w:i/>
        <w:color w:val="000000"/>
        <w:sz w:val="18"/>
        <w:szCs w:val="18"/>
      </w:rPr>
      <w:t>WiP/CoRe Paper – Track Name</w:t>
    </w:r>
  </w:p>
  <w:p w14:paraId="016DD034" w14:textId="77777777" w:rsidR="00946EFF" w:rsidRDefault="00CE3822" w:rsidP="002867B3">
    <w:pPr>
      <w:pBdr>
        <w:top w:val="nil"/>
        <w:left w:val="nil"/>
        <w:bottom w:val="nil"/>
        <w:right w:val="nil"/>
        <w:between w:val="nil"/>
      </w:pBdr>
      <w:tabs>
        <w:tab w:val="center" w:pos="5040"/>
        <w:tab w:val="right" w:pos="9000"/>
      </w:tabs>
      <w:spacing w:after="0"/>
      <w:jc w:val="center"/>
      <w:rPr>
        <w:i/>
        <w:color w:val="000000"/>
        <w:sz w:val="18"/>
        <w:szCs w:val="18"/>
      </w:rPr>
    </w:pPr>
    <w:r>
      <w:rPr>
        <w:i/>
        <w:color w:val="000000"/>
        <w:sz w:val="18"/>
        <w:szCs w:val="18"/>
      </w:rPr>
      <w:t>Proceedings of the 2</w:t>
    </w:r>
    <w:r w:rsidR="00946EFF">
      <w:rPr>
        <w:i/>
        <w:color w:val="000000"/>
        <w:sz w:val="18"/>
        <w:szCs w:val="18"/>
      </w:rPr>
      <w:t>3</w:t>
    </w:r>
    <w:r w:rsidR="00760F69">
      <w:rPr>
        <w:i/>
        <w:color w:val="000000"/>
        <w:sz w:val="18"/>
        <w:szCs w:val="18"/>
      </w:rPr>
      <w:t>st</w:t>
    </w:r>
    <w:r>
      <w:rPr>
        <w:i/>
        <w:color w:val="000000"/>
        <w:sz w:val="18"/>
        <w:szCs w:val="18"/>
      </w:rPr>
      <w:t xml:space="preserve"> ISCRAM Conference – </w:t>
    </w:r>
    <w:r w:rsidR="00946EFF">
      <w:rPr>
        <w:rStyle w:val="Strong"/>
        <w:b w:val="0"/>
        <w:bCs w:val="0"/>
        <w:i/>
        <w:iCs/>
        <w:sz w:val="18"/>
        <w:szCs w:val="18"/>
        <w:shd w:val="clear" w:color="auto" w:fill="FFFFFF"/>
      </w:rPr>
      <w:t>The Hague</w:t>
    </w:r>
    <w:r>
      <w:rPr>
        <w:i/>
        <w:color w:val="000000"/>
        <w:sz w:val="18"/>
        <w:szCs w:val="18"/>
      </w:rPr>
      <w:t xml:space="preserve">, </w:t>
    </w:r>
    <w:r w:rsidR="00946EFF">
      <w:rPr>
        <w:i/>
        <w:color w:val="000000"/>
        <w:sz w:val="18"/>
        <w:szCs w:val="18"/>
      </w:rPr>
      <w:t>the Netherlands</w:t>
    </w:r>
    <w:r>
      <w:rPr>
        <w:i/>
        <w:color w:val="000000"/>
        <w:sz w:val="18"/>
        <w:szCs w:val="18"/>
      </w:rPr>
      <w:t xml:space="preserve"> </w:t>
    </w:r>
    <w:r w:rsidR="00946EFF">
      <w:rPr>
        <w:i/>
        <w:color w:val="000000"/>
        <w:sz w:val="18"/>
        <w:szCs w:val="18"/>
      </w:rPr>
      <w:t>June</w:t>
    </w:r>
    <w:r>
      <w:rPr>
        <w:i/>
        <w:color w:val="000000"/>
        <w:sz w:val="18"/>
        <w:szCs w:val="18"/>
      </w:rPr>
      <w:t xml:space="preserve"> 202</w:t>
    </w:r>
    <w:r w:rsidR="00946EFF">
      <w:rPr>
        <w:i/>
        <w:color w:val="000000"/>
        <w:sz w:val="18"/>
        <w:szCs w:val="18"/>
      </w:rPr>
      <w:t xml:space="preserve">5 </w:t>
    </w:r>
  </w:p>
  <w:p w14:paraId="5DB28F56" w14:textId="6D7B80A5" w:rsidR="00C80C42" w:rsidRPr="002867B3" w:rsidRDefault="00946EFF" w:rsidP="002867B3">
    <w:pPr>
      <w:pBdr>
        <w:top w:val="nil"/>
        <w:left w:val="nil"/>
        <w:bottom w:val="nil"/>
        <w:right w:val="nil"/>
        <w:between w:val="nil"/>
      </w:pBdr>
      <w:tabs>
        <w:tab w:val="center" w:pos="5040"/>
        <w:tab w:val="right" w:pos="9000"/>
      </w:tabs>
      <w:spacing w:after="0"/>
      <w:jc w:val="center"/>
      <w:rPr>
        <w:i/>
        <w:color w:val="000000"/>
        <w:sz w:val="18"/>
        <w:szCs w:val="18"/>
      </w:rPr>
    </w:pPr>
    <w:r>
      <w:rPr>
        <w:i/>
        <w:color w:val="000000"/>
        <w:sz w:val="18"/>
        <w:szCs w:val="18"/>
      </w:rPr>
      <w:t xml:space="preserve">Caroline Rizza, </w:t>
    </w:r>
    <w:r w:rsidRPr="00946EFF">
      <w:rPr>
        <w:i/>
        <w:color w:val="000000"/>
        <w:sz w:val="18"/>
        <w:szCs w:val="18"/>
      </w:rPr>
      <w:t>Apoorva Chauhan</w:t>
    </w:r>
    <w:r w:rsidR="002867B3">
      <w:rPr>
        <w:i/>
        <w:iCs/>
        <w:sz w:val="18"/>
        <w:szCs w:val="18"/>
      </w:rPr>
      <w:t>,</w:t>
    </w:r>
    <w:r>
      <w:rPr>
        <w:i/>
        <w:iCs/>
        <w:sz w:val="18"/>
        <w:szCs w:val="18"/>
      </w:rPr>
      <w:t xml:space="preserve"> Amy Matser, Joyce Kox, Willem Treurniet </w:t>
    </w:r>
    <w:r w:rsidR="003211DF">
      <w:rPr>
        <w:i/>
        <w:iCs/>
        <w:sz w:val="18"/>
        <w:szCs w:val="18"/>
      </w:rPr>
      <w:t xml:space="preserve">&amp; </w:t>
    </w:r>
    <w:r>
      <w:rPr>
        <w:i/>
        <w:iCs/>
        <w:sz w:val="18"/>
        <w:szCs w:val="18"/>
      </w:rPr>
      <w:t>Jeroen Wolbers</w:t>
    </w:r>
    <w:r w:rsidR="002867B3">
      <w:rPr>
        <w:i/>
        <w:iCs/>
        <w:sz w:val="18"/>
        <w:szCs w:val="18"/>
      </w:rPr>
      <w:t xml:space="preserve"> eds.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4099" w14:textId="77777777" w:rsidR="00C80C42" w:rsidRDefault="00C80C42">
    <w:pPr>
      <w:pBdr>
        <w:top w:val="nil"/>
        <w:left w:val="nil"/>
        <w:bottom w:val="nil"/>
        <w:right w:val="nil"/>
        <w:between w:val="nil"/>
      </w:pBdr>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E43A" w14:textId="77777777" w:rsidR="002917F0" w:rsidRDefault="002917F0">
      <w:pPr>
        <w:spacing w:after="0"/>
      </w:pPr>
      <w:r>
        <w:separator/>
      </w:r>
    </w:p>
  </w:footnote>
  <w:footnote w:type="continuationSeparator" w:id="0">
    <w:p w14:paraId="7A3445B1" w14:textId="77777777" w:rsidR="002917F0" w:rsidRDefault="002917F0">
      <w:pPr>
        <w:spacing w:after="0"/>
      </w:pPr>
      <w:r>
        <w:continuationSeparator/>
      </w:r>
    </w:p>
  </w:footnote>
  <w:footnote w:id="1">
    <w:p w14:paraId="663F1DC7" w14:textId="77777777" w:rsidR="00DF3335" w:rsidRPr="00F079C1" w:rsidRDefault="00DF3335" w:rsidP="00DF3335">
      <w:pPr>
        <w:pStyle w:val="FootnoteText"/>
      </w:pPr>
      <w:r>
        <w:rPr>
          <w:rStyle w:val="FootnoteReference"/>
        </w:rPr>
        <w:footnoteRef/>
      </w:r>
      <w:r>
        <w:t xml:space="preserve"> T</w:t>
      </w:r>
      <w:r w:rsidRPr="00444FA5">
        <w:t xml:space="preserve">he </w:t>
      </w:r>
      <w:r>
        <w:t>heatwave</w:t>
      </w:r>
      <w:r w:rsidRPr="00F079C1">
        <w:rPr>
          <w:lang w:val="en-GB"/>
        </w:rPr>
        <w:t xml:space="preserve"> questionnaire </w:t>
      </w:r>
      <w:r>
        <w:rPr>
          <w:lang w:val="en-GB"/>
        </w:rPr>
        <w:t xml:space="preserve">is available </w:t>
      </w:r>
      <w:r w:rsidRPr="00F079C1">
        <w:rPr>
          <w:lang w:val="en-GB"/>
        </w:rPr>
        <w:t xml:space="preserve">here: </w:t>
      </w:r>
      <w:hyperlink r:id="rId1" w:history="1">
        <w:r w:rsidRPr="00F079C1">
          <w:rPr>
            <w:rStyle w:val="Hyperlink"/>
            <w:lang w:val="en-GB"/>
          </w:rPr>
          <w:t>https://github.com/HossseinMoradi/HeatwaveQuestionnaire</w:t>
        </w:r>
      </w:hyperlink>
    </w:p>
  </w:footnote>
  <w:footnote w:id="2">
    <w:p w14:paraId="699DBAA0" w14:textId="77777777" w:rsidR="00881E1C" w:rsidRPr="00F079C1" w:rsidRDefault="00881E1C" w:rsidP="00881E1C">
      <w:pPr>
        <w:pStyle w:val="FootnoteText"/>
      </w:pPr>
      <w:r>
        <w:rPr>
          <w:rStyle w:val="FootnoteReference"/>
        </w:rPr>
        <w:footnoteRef/>
      </w:r>
      <w:r>
        <w:t xml:space="preserve"> T</w:t>
      </w:r>
      <w:r w:rsidRPr="00671434">
        <w:t xml:space="preserve">he earthquake questionnaire </w:t>
      </w:r>
      <w:r>
        <w:t xml:space="preserve">is available </w:t>
      </w:r>
      <w:r w:rsidRPr="00671434">
        <w:t>here</w:t>
      </w:r>
      <w:r>
        <w:t xml:space="preserve">: </w:t>
      </w:r>
      <w:hyperlink r:id="rId2" w:history="1">
        <w:r w:rsidRPr="00F079C1">
          <w:rPr>
            <w:rStyle w:val="Hyperlink"/>
          </w:rPr>
          <w:t>https://github.com/HossseinMoradi/EQQuestionnaire</w:t>
        </w:r>
      </w:hyperlink>
    </w:p>
  </w:footnote>
  <w:footnote w:id="3">
    <w:p w14:paraId="5ADE08EA" w14:textId="77777777" w:rsidR="00A92989" w:rsidRPr="0048566D" w:rsidRDefault="00A92989" w:rsidP="00A92989">
      <w:pPr>
        <w:pStyle w:val="FootnoteText"/>
        <w:rPr>
          <w:lang w:val="en-GB"/>
        </w:rPr>
      </w:pPr>
      <w:r>
        <w:rPr>
          <w:rStyle w:val="FootnoteReference"/>
        </w:rPr>
        <w:footnoteRef/>
      </w:r>
      <w:r>
        <w:t xml:space="preserve"> </w:t>
      </w:r>
      <w:hyperlink r:id="rId3" w:history="1">
        <w:r w:rsidRPr="005F555E">
          <w:rPr>
            <w:rStyle w:val="Hyperlink"/>
          </w:rPr>
          <w:t>https://www.treensight.com/</w:t>
        </w:r>
      </w:hyperlink>
    </w:p>
  </w:footnote>
  <w:footnote w:id="4">
    <w:p w14:paraId="4125AA7C" w14:textId="77777777" w:rsidR="00D74037" w:rsidRPr="006C2778" w:rsidRDefault="00D74037" w:rsidP="00D74037">
      <w:pPr>
        <w:pStyle w:val="FootnoteText"/>
      </w:pPr>
      <w:r>
        <w:rPr>
          <w:rStyle w:val="FootnoteReference"/>
        </w:rPr>
        <w:footnoteRef/>
      </w:r>
      <w:r>
        <w:t xml:space="preserve"> </w:t>
      </w:r>
      <w:r w:rsidRPr="006C2778">
        <w:t xml:space="preserve"> </w:t>
      </w:r>
      <w:hyperlink r:id="rId4" w:history="1">
        <w:r w:rsidRPr="006C2778">
          <w:rPr>
            <w:rStyle w:val="Hyperlink"/>
          </w:rPr>
          <w:t>https://matsim.org/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7589" w14:textId="77777777" w:rsidR="00C80C42" w:rsidRDefault="00C80C42">
    <w:pPr>
      <w:pBdr>
        <w:top w:val="nil"/>
        <w:left w:val="nil"/>
        <w:bottom w:val="nil"/>
        <w:right w:val="nil"/>
        <w:between w:val="nil"/>
      </w:pBdr>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673F" w14:textId="77777777" w:rsidR="00C80C42" w:rsidRDefault="00C80C42">
    <w:pPr>
      <w:pBdr>
        <w:top w:val="nil"/>
        <w:left w:val="nil"/>
        <w:bottom w:val="nil"/>
        <w:right w:val="nil"/>
        <w:between w:val="nil"/>
      </w:pBdr>
      <w:spacing w:after="0" w:line="276" w:lineRule="auto"/>
      <w:jc w:val="left"/>
      <w:rPr>
        <w:color w:val="000000"/>
      </w:rPr>
    </w:pPr>
  </w:p>
  <w:tbl>
    <w:tblPr>
      <w:tblStyle w:val="a2"/>
      <w:tblW w:w="9243" w:type="dxa"/>
      <w:tblLayout w:type="fixed"/>
      <w:tblLook w:val="0000" w:firstRow="0" w:lastRow="0" w:firstColumn="0" w:lastColumn="0" w:noHBand="0" w:noVBand="0"/>
    </w:tblPr>
    <w:tblGrid>
      <w:gridCol w:w="4625"/>
      <w:gridCol w:w="4618"/>
    </w:tblGrid>
    <w:tr w:rsidR="00C80C42" w14:paraId="70D0EB16" w14:textId="77777777">
      <w:tc>
        <w:tcPr>
          <w:tcW w:w="4625" w:type="dxa"/>
          <w:tcMar>
            <w:left w:w="108" w:type="dxa"/>
            <w:right w:w="108" w:type="dxa"/>
          </w:tcMar>
        </w:tcPr>
        <w:p w14:paraId="1AF29C41" w14:textId="0D9AD470" w:rsidR="00C80C42" w:rsidRDefault="00C80C42">
          <w:pPr>
            <w:pBdr>
              <w:top w:val="nil"/>
              <w:left w:val="nil"/>
              <w:bottom w:val="nil"/>
              <w:right w:val="nil"/>
              <w:between w:val="nil"/>
            </w:pBdr>
            <w:tabs>
              <w:tab w:val="center" w:pos="5040"/>
              <w:tab w:val="right" w:pos="10080"/>
            </w:tabs>
            <w:spacing w:after="0"/>
            <w:jc w:val="left"/>
            <w:rPr>
              <w:color w:val="000000"/>
            </w:rPr>
          </w:pPr>
        </w:p>
      </w:tc>
      <w:tc>
        <w:tcPr>
          <w:tcW w:w="4618" w:type="dxa"/>
          <w:tcMar>
            <w:left w:w="108" w:type="dxa"/>
            <w:right w:w="108" w:type="dxa"/>
          </w:tcMar>
        </w:tcPr>
        <w:p w14:paraId="68611E36" w14:textId="7EF443B3" w:rsidR="00C80C42" w:rsidRDefault="00B60BE8">
          <w:pPr>
            <w:pBdr>
              <w:top w:val="nil"/>
              <w:left w:val="nil"/>
              <w:bottom w:val="nil"/>
              <w:right w:val="nil"/>
              <w:between w:val="nil"/>
            </w:pBdr>
            <w:tabs>
              <w:tab w:val="center" w:pos="5040"/>
              <w:tab w:val="right" w:pos="10080"/>
            </w:tabs>
            <w:spacing w:after="0"/>
            <w:jc w:val="right"/>
            <w:rPr>
              <w:color w:val="000000"/>
            </w:rPr>
          </w:pPr>
          <w:r w:rsidRPr="00B60BE8">
            <w:rPr>
              <w:i/>
              <w:color w:val="000000"/>
              <w:sz w:val="18"/>
              <w:szCs w:val="18"/>
            </w:rPr>
            <w:t>Co-Creation Framework for Crisis Behavior Modeling</w:t>
          </w:r>
        </w:p>
      </w:tc>
    </w:tr>
  </w:tbl>
  <w:p w14:paraId="19D7934C" w14:textId="77777777" w:rsidR="00C80C42" w:rsidRDefault="00C80C42">
    <w:pPr>
      <w:pBdr>
        <w:top w:val="nil"/>
        <w:left w:val="nil"/>
        <w:bottom w:val="nil"/>
        <w:right w:val="nil"/>
        <w:between w:val="nil"/>
      </w:pBdr>
      <w:tabs>
        <w:tab w:val="center" w:pos="5040"/>
        <w:tab w:val="right" w:pos="10080"/>
      </w:tabs>
      <w:spacing w:after="0"/>
      <w:jc w:val="left"/>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3510" w14:textId="77777777" w:rsidR="00C80C42" w:rsidRDefault="00C80C42">
    <w:pPr>
      <w:pBdr>
        <w:top w:val="nil"/>
        <w:left w:val="nil"/>
        <w:bottom w:val="nil"/>
        <w:right w:val="nil"/>
        <w:between w:val="nil"/>
      </w:pBdr>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56E"/>
    <w:multiLevelType w:val="multilevel"/>
    <w:tmpl w:val="9D7C329A"/>
    <w:lvl w:ilvl="0">
      <w:start w:val="1"/>
      <w:numFmt w:val="bullet"/>
      <w:lvlText w:val="●"/>
      <w:lvlJc w:val="left"/>
      <w:pPr>
        <w:ind w:left="1257" w:firstLine="360"/>
      </w:pPr>
      <w:rPr>
        <w:rFonts w:ascii="Arial" w:eastAsia="Arial" w:hAnsi="Arial" w:cs="Arial"/>
        <w:vertAlign w:val="baseline"/>
      </w:rPr>
    </w:lvl>
    <w:lvl w:ilvl="1">
      <w:start w:val="1"/>
      <w:numFmt w:val="bullet"/>
      <w:lvlText w:val="o"/>
      <w:lvlJc w:val="left"/>
      <w:pPr>
        <w:ind w:left="1977" w:firstLine="1080"/>
      </w:pPr>
      <w:rPr>
        <w:rFonts w:ascii="Arial" w:eastAsia="Arial" w:hAnsi="Arial" w:cs="Arial"/>
        <w:vertAlign w:val="baseline"/>
      </w:rPr>
    </w:lvl>
    <w:lvl w:ilvl="2">
      <w:start w:val="1"/>
      <w:numFmt w:val="bullet"/>
      <w:lvlText w:val="▪"/>
      <w:lvlJc w:val="left"/>
      <w:pPr>
        <w:ind w:left="2697" w:firstLine="1800"/>
      </w:pPr>
      <w:rPr>
        <w:rFonts w:ascii="Arial" w:eastAsia="Arial" w:hAnsi="Arial" w:cs="Arial"/>
        <w:vertAlign w:val="baseline"/>
      </w:rPr>
    </w:lvl>
    <w:lvl w:ilvl="3">
      <w:start w:val="1"/>
      <w:numFmt w:val="bullet"/>
      <w:lvlText w:val="●"/>
      <w:lvlJc w:val="left"/>
      <w:pPr>
        <w:ind w:left="3417" w:firstLine="2520"/>
      </w:pPr>
      <w:rPr>
        <w:rFonts w:ascii="Arial" w:eastAsia="Arial" w:hAnsi="Arial" w:cs="Arial"/>
        <w:vertAlign w:val="baseline"/>
      </w:rPr>
    </w:lvl>
    <w:lvl w:ilvl="4">
      <w:start w:val="1"/>
      <w:numFmt w:val="bullet"/>
      <w:lvlText w:val="o"/>
      <w:lvlJc w:val="left"/>
      <w:pPr>
        <w:ind w:left="4137" w:firstLine="3240"/>
      </w:pPr>
      <w:rPr>
        <w:rFonts w:ascii="Arial" w:eastAsia="Arial" w:hAnsi="Arial" w:cs="Arial"/>
        <w:vertAlign w:val="baseline"/>
      </w:rPr>
    </w:lvl>
    <w:lvl w:ilvl="5">
      <w:start w:val="1"/>
      <w:numFmt w:val="bullet"/>
      <w:lvlText w:val="▪"/>
      <w:lvlJc w:val="left"/>
      <w:pPr>
        <w:ind w:left="4857" w:firstLine="3960"/>
      </w:pPr>
      <w:rPr>
        <w:rFonts w:ascii="Arial" w:eastAsia="Arial" w:hAnsi="Arial" w:cs="Arial"/>
        <w:vertAlign w:val="baseline"/>
      </w:rPr>
    </w:lvl>
    <w:lvl w:ilvl="6">
      <w:start w:val="1"/>
      <w:numFmt w:val="bullet"/>
      <w:lvlText w:val="●"/>
      <w:lvlJc w:val="left"/>
      <w:pPr>
        <w:ind w:left="5577" w:firstLine="4680"/>
      </w:pPr>
      <w:rPr>
        <w:rFonts w:ascii="Arial" w:eastAsia="Arial" w:hAnsi="Arial" w:cs="Arial"/>
        <w:vertAlign w:val="baseline"/>
      </w:rPr>
    </w:lvl>
    <w:lvl w:ilvl="7">
      <w:start w:val="1"/>
      <w:numFmt w:val="bullet"/>
      <w:lvlText w:val="o"/>
      <w:lvlJc w:val="left"/>
      <w:pPr>
        <w:ind w:left="6297" w:firstLine="5400"/>
      </w:pPr>
      <w:rPr>
        <w:rFonts w:ascii="Arial" w:eastAsia="Arial" w:hAnsi="Arial" w:cs="Arial"/>
        <w:vertAlign w:val="baseline"/>
      </w:rPr>
    </w:lvl>
    <w:lvl w:ilvl="8">
      <w:start w:val="1"/>
      <w:numFmt w:val="bullet"/>
      <w:lvlText w:val="▪"/>
      <w:lvlJc w:val="left"/>
      <w:pPr>
        <w:ind w:left="7017" w:firstLine="6120"/>
      </w:pPr>
      <w:rPr>
        <w:rFonts w:ascii="Arial" w:eastAsia="Arial" w:hAnsi="Arial" w:cs="Arial"/>
        <w:vertAlign w:val="baseline"/>
      </w:rPr>
    </w:lvl>
  </w:abstractNum>
  <w:abstractNum w:abstractNumId="1" w15:restartNumberingAfterBreak="0">
    <w:nsid w:val="1B110B15"/>
    <w:multiLevelType w:val="hybridMultilevel"/>
    <w:tmpl w:val="9536B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F94C15"/>
    <w:multiLevelType w:val="hybridMultilevel"/>
    <w:tmpl w:val="24703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F36059"/>
    <w:multiLevelType w:val="hybridMultilevel"/>
    <w:tmpl w:val="11402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A63961"/>
    <w:multiLevelType w:val="hybridMultilevel"/>
    <w:tmpl w:val="ED22D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2B48D5"/>
    <w:multiLevelType w:val="hybridMultilevel"/>
    <w:tmpl w:val="C54ED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820F5C"/>
    <w:multiLevelType w:val="hybridMultilevel"/>
    <w:tmpl w:val="C4D24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1185919">
    <w:abstractNumId w:val="0"/>
  </w:num>
  <w:num w:numId="2" w16cid:durableId="850145388">
    <w:abstractNumId w:val="5"/>
  </w:num>
  <w:num w:numId="3" w16cid:durableId="43218348">
    <w:abstractNumId w:val="1"/>
  </w:num>
  <w:num w:numId="4" w16cid:durableId="729115032">
    <w:abstractNumId w:val="4"/>
  </w:num>
  <w:num w:numId="5" w16cid:durableId="123281414">
    <w:abstractNumId w:val="3"/>
  </w:num>
  <w:num w:numId="6" w16cid:durableId="530652005">
    <w:abstractNumId w:val="2"/>
  </w:num>
  <w:num w:numId="7" w16cid:durableId="802231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C42"/>
    <w:rsid w:val="00023235"/>
    <w:rsid w:val="00030C61"/>
    <w:rsid w:val="00037A3C"/>
    <w:rsid w:val="00042BEF"/>
    <w:rsid w:val="00045762"/>
    <w:rsid w:val="00066597"/>
    <w:rsid w:val="00066A9B"/>
    <w:rsid w:val="0008112F"/>
    <w:rsid w:val="00083D98"/>
    <w:rsid w:val="000A0B71"/>
    <w:rsid w:val="000A19D5"/>
    <w:rsid w:val="000A27D7"/>
    <w:rsid w:val="000B52BB"/>
    <w:rsid w:val="000C0DF2"/>
    <w:rsid w:val="000C4018"/>
    <w:rsid w:val="000E0653"/>
    <w:rsid w:val="000F2F66"/>
    <w:rsid w:val="000F3426"/>
    <w:rsid w:val="0011479A"/>
    <w:rsid w:val="001214DD"/>
    <w:rsid w:val="0012453B"/>
    <w:rsid w:val="00124D7E"/>
    <w:rsid w:val="00130026"/>
    <w:rsid w:val="00135779"/>
    <w:rsid w:val="00140CAD"/>
    <w:rsid w:val="00155B3F"/>
    <w:rsid w:val="001649E3"/>
    <w:rsid w:val="00165759"/>
    <w:rsid w:val="00170A30"/>
    <w:rsid w:val="00171F12"/>
    <w:rsid w:val="00172152"/>
    <w:rsid w:val="001813C6"/>
    <w:rsid w:val="00184105"/>
    <w:rsid w:val="001A6D90"/>
    <w:rsid w:val="001B2C00"/>
    <w:rsid w:val="001C3179"/>
    <w:rsid w:val="001D6525"/>
    <w:rsid w:val="001E5045"/>
    <w:rsid w:val="00213A1F"/>
    <w:rsid w:val="00224967"/>
    <w:rsid w:val="00226946"/>
    <w:rsid w:val="00236477"/>
    <w:rsid w:val="002368C8"/>
    <w:rsid w:val="00250BE2"/>
    <w:rsid w:val="00252782"/>
    <w:rsid w:val="00254D25"/>
    <w:rsid w:val="00260FA4"/>
    <w:rsid w:val="00262482"/>
    <w:rsid w:val="002730A7"/>
    <w:rsid w:val="00276051"/>
    <w:rsid w:val="002867B3"/>
    <w:rsid w:val="002917F0"/>
    <w:rsid w:val="002A5566"/>
    <w:rsid w:val="002B63EC"/>
    <w:rsid w:val="002C3FA9"/>
    <w:rsid w:val="002D5FFA"/>
    <w:rsid w:val="002E2698"/>
    <w:rsid w:val="002E629F"/>
    <w:rsid w:val="002F0E86"/>
    <w:rsid w:val="00312741"/>
    <w:rsid w:val="003211DF"/>
    <w:rsid w:val="00323315"/>
    <w:rsid w:val="00330D5E"/>
    <w:rsid w:val="0035702D"/>
    <w:rsid w:val="00357079"/>
    <w:rsid w:val="003A13B8"/>
    <w:rsid w:val="003A7545"/>
    <w:rsid w:val="003B03BB"/>
    <w:rsid w:val="003B5FBB"/>
    <w:rsid w:val="003B711E"/>
    <w:rsid w:val="003E4969"/>
    <w:rsid w:val="003E5A92"/>
    <w:rsid w:val="003E6681"/>
    <w:rsid w:val="003F2105"/>
    <w:rsid w:val="0041381F"/>
    <w:rsid w:val="0042042C"/>
    <w:rsid w:val="0042112F"/>
    <w:rsid w:val="00422F82"/>
    <w:rsid w:val="00444FA5"/>
    <w:rsid w:val="004459CD"/>
    <w:rsid w:val="00454182"/>
    <w:rsid w:val="00460F05"/>
    <w:rsid w:val="00462114"/>
    <w:rsid w:val="00463315"/>
    <w:rsid w:val="00474317"/>
    <w:rsid w:val="00480858"/>
    <w:rsid w:val="00483793"/>
    <w:rsid w:val="00484A6F"/>
    <w:rsid w:val="0048566D"/>
    <w:rsid w:val="00486D87"/>
    <w:rsid w:val="00491103"/>
    <w:rsid w:val="004935F7"/>
    <w:rsid w:val="0049671F"/>
    <w:rsid w:val="004A2960"/>
    <w:rsid w:val="004A3BAB"/>
    <w:rsid w:val="004A56D0"/>
    <w:rsid w:val="004B5244"/>
    <w:rsid w:val="004B5817"/>
    <w:rsid w:val="004C0AE1"/>
    <w:rsid w:val="004C67BC"/>
    <w:rsid w:val="004D42FA"/>
    <w:rsid w:val="004E0D2D"/>
    <w:rsid w:val="004E47EC"/>
    <w:rsid w:val="004E6131"/>
    <w:rsid w:val="004F0664"/>
    <w:rsid w:val="004F35A9"/>
    <w:rsid w:val="00506A29"/>
    <w:rsid w:val="005210FE"/>
    <w:rsid w:val="00530418"/>
    <w:rsid w:val="00532706"/>
    <w:rsid w:val="00547ABB"/>
    <w:rsid w:val="0055282B"/>
    <w:rsid w:val="0055776D"/>
    <w:rsid w:val="0058658F"/>
    <w:rsid w:val="00587B50"/>
    <w:rsid w:val="005A0F47"/>
    <w:rsid w:val="005A431A"/>
    <w:rsid w:val="005A48B8"/>
    <w:rsid w:val="005A68A4"/>
    <w:rsid w:val="005B18AF"/>
    <w:rsid w:val="005D3CF2"/>
    <w:rsid w:val="005E75EE"/>
    <w:rsid w:val="005E7C5C"/>
    <w:rsid w:val="005F555E"/>
    <w:rsid w:val="005F55CD"/>
    <w:rsid w:val="00607224"/>
    <w:rsid w:val="0061182B"/>
    <w:rsid w:val="00620F4A"/>
    <w:rsid w:val="006300D6"/>
    <w:rsid w:val="00642D4E"/>
    <w:rsid w:val="006574D0"/>
    <w:rsid w:val="00671434"/>
    <w:rsid w:val="00687A51"/>
    <w:rsid w:val="00694BC0"/>
    <w:rsid w:val="006A7BB7"/>
    <w:rsid w:val="006B60FA"/>
    <w:rsid w:val="006C2778"/>
    <w:rsid w:val="006E0ADF"/>
    <w:rsid w:val="006F783C"/>
    <w:rsid w:val="00701866"/>
    <w:rsid w:val="00721520"/>
    <w:rsid w:val="007265D7"/>
    <w:rsid w:val="007321B9"/>
    <w:rsid w:val="0074544F"/>
    <w:rsid w:val="00752912"/>
    <w:rsid w:val="0075736F"/>
    <w:rsid w:val="00760F69"/>
    <w:rsid w:val="00763264"/>
    <w:rsid w:val="007744EC"/>
    <w:rsid w:val="00775EB1"/>
    <w:rsid w:val="00783DFB"/>
    <w:rsid w:val="007908C9"/>
    <w:rsid w:val="00794373"/>
    <w:rsid w:val="007B3858"/>
    <w:rsid w:val="007B5A21"/>
    <w:rsid w:val="007D15EB"/>
    <w:rsid w:val="007F2DA9"/>
    <w:rsid w:val="0080237C"/>
    <w:rsid w:val="008133DD"/>
    <w:rsid w:val="00820C81"/>
    <w:rsid w:val="00821CE8"/>
    <w:rsid w:val="00832FA0"/>
    <w:rsid w:val="008435A2"/>
    <w:rsid w:val="00852B40"/>
    <w:rsid w:val="00854492"/>
    <w:rsid w:val="00855299"/>
    <w:rsid w:val="008611DC"/>
    <w:rsid w:val="00862D05"/>
    <w:rsid w:val="008660FD"/>
    <w:rsid w:val="00866810"/>
    <w:rsid w:val="008805B2"/>
    <w:rsid w:val="00881E1C"/>
    <w:rsid w:val="008967CB"/>
    <w:rsid w:val="008A6CA6"/>
    <w:rsid w:val="008B43F4"/>
    <w:rsid w:val="008C3E1F"/>
    <w:rsid w:val="008C4EB4"/>
    <w:rsid w:val="008D0B87"/>
    <w:rsid w:val="008D172C"/>
    <w:rsid w:val="008D4689"/>
    <w:rsid w:val="008F5CA2"/>
    <w:rsid w:val="00903EC2"/>
    <w:rsid w:val="0092546B"/>
    <w:rsid w:val="00930250"/>
    <w:rsid w:val="009375ED"/>
    <w:rsid w:val="009434D1"/>
    <w:rsid w:val="0094391A"/>
    <w:rsid w:val="00944866"/>
    <w:rsid w:val="00946EFF"/>
    <w:rsid w:val="00951C7D"/>
    <w:rsid w:val="00957CE1"/>
    <w:rsid w:val="0096152E"/>
    <w:rsid w:val="0099081B"/>
    <w:rsid w:val="009935A1"/>
    <w:rsid w:val="0099632C"/>
    <w:rsid w:val="009967EE"/>
    <w:rsid w:val="009A705F"/>
    <w:rsid w:val="009B0D33"/>
    <w:rsid w:val="009B3242"/>
    <w:rsid w:val="009C03CD"/>
    <w:rsid w:val="009D02A0"/>
    <w:rsid w:val="009E224C"/>
    <w:rsid w:val="009E2344"/>
    <w:rsid w:val="009E597E"/>
    <w:rsid w:val="009F6726"/>
    <w:rsid w:val="009F7BED"/>
    <w:rsid w:val="00A05F70"/>
    <w:rsid w:val="00A30812"/>
    <w:rsid w:val="00A538C4"/>
    <w:rsid w:val="00A81A0E"/>
    <w:rsid w:val="00A901B7"/>
    <w:rsid w:val="00A92989"/>
    <w:rsid w:val="00A9584B"/>
    <w:rsid w:val="00AA1BED"/>
    <w:rsid w:val="00AB30D5"/>
    <w:rsid w:val="00AC59EE"/>
    <w:rsid w:val="00AD28FB"/>
    <w:rsid w:val="00AD5E0E"/>
    <w:rsid w:val="00AE01E0"/>
    <w:rsid w:val="00AE5130"/>
    <w:rsid w:val="00AE7161"/>
    <w:rsid w:val="00B038DD"/>
    <w:rsid w:val="00B04642"/>
    <w:rsid w:val="00B12F29"/>
    <w:rsid w:val="00B32E97"/>
    <w:rsid w:val="00B34125"/>
    <w:rsid w:val="00B34761"/>
    <w:rsid w:val="00B5707B"/>
    <w:rsid w:val="00B60BE8"/>
    <w:rsid w:val="00B933DB"/>
    <w:rsid w:val="00B93B85"/>
    <w:rsid w:val="00B94352"/>
    <w:rsid w:val="00B96101"/>
    <w:rsid w:val="00BA02C9"/>
    <w:rsid w:val="00BA3E2D"/>
    <w:rsid w:val="00BA4E6C"/>
    <w:rsid w:val="00BB65F6"/>
    <w:rsid w:val="00BB71D5"/>
    <w:rsid w:val="00BC1B2E"/>
    <w:rsid w:val="00BC4ED0"/>
    <w:rsid w:val="00BD049F"/>
    <w:rsid w:val="00BD3F91"/>
    <w:rsid w:val="00BD5B06"/>
    <w:rsid w:val="00BD62DA"/>
    <w:rsid w:val="00BD7A71"/>
    <w:rsid w:val="00BE675B"/>
    <w:rsid w:val="00BE6B18"/>
    <w:rsid w:val="00BF020E"/>
    <w:rsid w:val="00C11A23"/>
    <w:rsid w:val="00C128F9"/>
    <w:rsid w:val="00C32286"/>
    <w:rsid w:val="00C3718D"/>
    <w:rsid w:val="00C42DB3"/>
    <w:rsid w:val="00C54A2A"/>
    <w:rsid w:val="00C61132"/>
    <w:rsid w:val="00C6125C"/>
    <w:rsid w:val="00C65DBB"/>
    <w:rsid w:val="00C709A7"/>
    <w:rsid w:val="00C76A90"/>
    <w:rsid w:val="00C80C42"/>
    <w:rsid w:val="00C80C74"/>
    <w:rsid w:val="00C84A43"/>
    <w:rsid w:val="00C922F7"/>
    <w:rsid w:val="00C92828"/>
    <w:rsid w:val="00CC17C3"/>
    <w:rsid w:val="00CC3C46"/>
    <w:rsid w:val="00CC58F4"/>
    <w:rsid w:val="00CE3822"/>
    <w:rsid w:val="00CE6018"/>
    <w:rsid w:val="00CF3F4C"/>
    <w:rsid w:val="00D2514C"/>
    <w:rsid w:val="00D346DC"/>
    <w:rsid w:val="00D71214"/>
    <w:rsid w:val="00D74037"/>
    <w:rsid w:val="00D82611"/>
    <w:rsid w:val="00D8646D"/>
    <w:rsid w:val="00D91C1B"/>
    <w:rsid w:val="00DA2615"/>
    <w:rsid w:val="00DA6124"/>
    <w:rsid w:val="00DC084C"/>
    <w:rsid w:val="00DC5150"/>
    <w:rsid w:val="00DD3093"/>
    <w:rsid w:val="00DD3860"/>
    <w:rsid w:val="00DD7D4F"/>
    <w:rsid w:val="00DE3FEF"/>
    <w:rsid w:val="00DF0461"/>
    <w:rsid w:val="00DF16B7"/>
    <w:rsid w:val="00DF27F5"/>
    <w:rsid w:val="00DF3335"/>
    <w:rsid w:val="00E02C4D"/>
    <w:rsid w:val="00E04A14"/>
    <w:rsid w:val="00E1509E"/>
    <w:rsid w:val="00E20C2D"/>
    <w:rsid w:val="00E2288D"/>
    <w:rsid w:val="00E40E4D"/>
    <w:rsid w:val="00E57851"/>
    <w:rsid w:val="00E7116E"/>
    <w:rsid w:val="00E73EE6"/>
    <w:rsid w:val="00E92C1F"/>
    <w:rsid w:val="00E92F15"/>
    <w:rsid w:val="00EA3ED0"/>
    <w:rsid w:val="00EB555D"/>
    <w:rsid w:val="00EB5927"/>
    <w:rsid w:val="00ED722B"/>
    <w:rsid w:val="00EE5E94"/>
    <w:rsid w:val="00EF3176"/>
    <w:rsid w:val="00F079C1"/>
    <w:rsid w:val="00F14499"/>
    <w:rsid w:val="00F162F1"/>
    <w:rsid w:val="00F174AB"/>
    <w:rsid w:val="00F522AA"/>
    <w:rsid w:val="00F54565"/>
    <w:rsid w:val="00F56810"/>
    <w:rsid w:val="00F74A63"/>
    <w:rsid w:val="00F759C1"/>
    <w:rsid w:val="00F810BB"/>
    <w:rsid w:val="00FA0B83"/>
    <w:rsid w:val="00FC45EC"/>
    <w:rsid w:val="00FC4CCC"/>
    <w:rsid w:val="00FD0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0E08A"/>
  <w15:docId w15:val="{F07D0350-0968-4C3A-92FD-422B82D3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726"/>
  </w:style>
  <w:style w:type="paragraph" w:styleId="Heading1">
    <w:name w:val="heading 1"/>
    <w:basedOn w:val="Normal"/>
    <w:next w:val="Normal"/>
    <w:uiPriority w:val="9"/>
    <w:qFormat/>
    <w:pPr>
      <w:pBdr>
        <w:top w:val="nil"/>
        <w:left w:val="nil"/>
        <w:bottom w:val="nil"/>
        <w:right w:val="nil"/>
        <w:between w:val="nil"/>
      </w:pBdr>
      <w:spacing w:before="360"/>
      <w:jc w:val="left"/>
      <w:outlineLvl w:val="0"/>
    </w:pPr>
    <w:rPr>
      <w:rFonts w:ascii="Arial" w:eastAsia="Arial" w:hAnsi="Arial" w:cs="Arial"/>
      <w:b/>
      <w:smallCaps/>
      <w:color w:val="000000"/>
      <w:sz w:val="18"/>
      <w:szCs w:val="18"/>
    </w:rPr>
  </w:style>
  <w:style w:type="paragraph" w:styleId="Heading2">
    <w:name w:val="heading 2"/>
    <w:basedOn w:val="Normal"/>
    <w:next w:val="Normal"/>
    <w:uiPriority w:val="9"/>
    <w:unhideWhenUsed/>
    <w:qFormat/>
    <w:pPr>
      <w:pBdr>
        <w:top w:val="nil"/>
        <w:left w:val="nil"/>
        <w:bottom w:val="nil"/>
        <w:right w:val="nil"/>
        <w:between w:val="nil"/>
      </w:pBdr>
      <w:spacing w:before="360"/>
      <w:jc w:val="left"/>
      <w:outlineLvl w:val="1"/>
    </w:pPr>
    <w:rPr>
      <w:rFonts w:ascii="Arial" w:eastAsia="Arial" w:hAnsi="Arial" w:cs="Arial"/>
      <w:b/>
      <w:color w:val="000000"/>
      <w:sz w:val="18"/>
      <w:szCs w:val="18"/>
    </w:rPr>
  </w:style>
  <w:style w:type="paragraph" w:styleId="Heading3">
    <w:name w:val="heading 3"/>
    <w:basedOn w:val="Normal"/>
    <w:next w:val="Normal"/>
    <w:uiPriority w:val="9"/>
    <w:unhideWhenUsed/>
    <w:qFormat/>
    <w:pPr>
      <w:pBdr>
        <w:top w:val="nil"/>
        <w:left w:val="nil"/>
        <w:bottom w:val="nil"/>
        <w:right w:val="nil"/>
        <w:between w:val="nil"/>
      </w:pBdr>
      <w:spacing w:before="360"/>
      <w:jc w:val="left"/>
      <w:outlineLvl w:val="2"/>
    </w:pPr>
    <w:rPr>
      <w:rFonts w:ascii="Arial" w:eastAsia="Arial" w:hAnsi="Arial" w:cs="Arial"/>
      <w:i/>
      <w:color w:val="000000"/>
      <w:sz w:val="18"/>
      <w:szCs w:val="18"/>
    </w:rPr>
  </w:style>
  <w:style w:type="paragraph" w:styleId="Heading4">
    <w:name w:val="heading 4"/>
    <w:basedOn w:val="Normal"/>
    <w:next w:val="Normal"/>
    <w:uiPriority w:val="9"/>
    <w:semiHidden/>
    <w:unhideWhenUsed/>
    <w:qFormat/>
    <w:pPr>
      <w:pBdr>
        <w:top w:val="nil"/>
        <w:left w:val="nil"/>
        <w:bottom w:val="nil"/>
        <w:right w:val="nil"/>
        <w:between w:val="nil"/>
      </w:pBdr>
      <w:spacing w:before="240" w:after="60"/>
      <w:ind w:hanging="863"/>
      <w:jc w:val="left"/>
      <w:outlineLvl w:val="3"/>
    </w:pPr>
    <w:rPr>
      <w:b/>
      <w:color w:val="000000"/>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ind w:hanging="1007"/>
      <w:jc w:val="left"/>
      <w:outlineLvl w:val="4"/>
    </w:pPr>
    <w:rPr>
      <w:b/>
      <w:i/>
      <w:color w:val="000000"/>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ind w:hanging="1151"/>
      <w:jc w:val="left"/>
      <w:outlineLvl w:val="5"/>
    </w:pPr>
    <w:rPr>
      <w:b/>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100" w:after="480"/>
      <w:jc w:val="center"/>
    </w:pPr>
    <w:rPr>
      <w:rFonts w:ascii="Arial" w:eastAsia="Arial" w:hAnsi="Arial" w:cs="Arial"/>
      <w:b/>
      <w:color w:val="000000"/>
      <w:sz w:val="48"/>
      <w:szCs w:val="48"/>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color w:val="00000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760F69"/>
    <w:rPr>
      <w:color w:val="0000FF"/>
      <w:u w:val="single"/>
    </w:rPr>
  </w:style>
  <w:style w:type="character" w:styleId="Strong">
    <w:name w:val="Strong"/>
    <w:basedOn w:val="DefaultParagraphFont"/>
    <w:uiPriority w:val="22"/>
    <w:qFormat/>
    <w:rsid w:val="00760F69"/>
    <w:rPr>
      <w:b/>
      <w:bCs/>
    </w:rPr>
  </w:style>
  <w:style w:type="character" w:styleId="UnresolvedMention">
    <w:name w:val="Unresolved Mention"/>
    <w:basedOn w:val="DefaultParagraphFont"/>
    <w:uiPriority w:val="99"/>
    <w:semiHidden/>
    <w:unhideWhenUsed/>
    <w:rsid w:val="00135779"/>
    <w:rPr>
      <w:color w:val="605E5C"/>
      <w:shd w:val="clear" w:color="auto" w:fill="E1DFDD"/>
    </w:rPr>
  </w:style>
  <w:style w:type="paragraph" w:customStyle="1" w:styleId="Default">
    <w:name w:val="Default"/>
    <w:rsid w:val="002867B3"/>
    <w:pPr>
      <w:widowControl/>
      <w:autoSpaceDE w:val="0"/>
      <w:autoSpaceDN w:val="0"/>
      <w:adjustRightInd w:val="0"/>
      <w:spacing w:after="0"/>
      <w:jc w:val="left"/>
    </w:pPr>
    <w:rPr>
      <w:color w:val="000000"/>
      <w:sz w:val="24"/>
      <w:szCs w:val="24"/>
    </w:rPr>
  </w:style>
  <w:style w:type="paragraph" w:styleId="Caption">
    <w:name w:val="caption"/>
    <w:basedOn w:val="Normal"/>
    <w:next w:val="Normal"/>
    <w:uiPriority w:val="35"/>
    <w:unhideWhenUsed/>
    <w:qFormat/>
    <w:rsid w:val="0075736F"/>
    <w:pPr>
      <w:widowControl/>
      <w:spacing w:after="200"/>
      <w:jc w:val="left"/>
    </w:pPr>
    <w:rPr>
      <w:i/>
      <w:iCs/>
      <w:color w:val="1F497D" w:themeColor="text2"/>
      <w:sz w:val="18"/>
      <w:szCs w:val="18"/>
      <w:lang w:eastAsia="en-GB"/>
    </w:rPr>
  </w:style>
  <w:style w:type="paragraph" w:styleId="Bibliography">
    <w:name w:val="Bibliography"/>
    <w:basedOn w:val="Normal"/>
    <w:next w:val="Normal"/>
    <w:uiPriority w:val="37"/>
    <w:unhideWhenUsed/>
    <w:rsid w:val="0075736F"/>
    <w:pPr>
      <w:spacing w:after="0" w:line="480" w:lineRule="auto"/>
      <w:ind w:left="720" w:hanging="720"/>
    </w:pPr>
  </w:style>
  <w:style w:type="paragraph" w:styleId="FootnoteText">
    <w:name w:val="footnote text"/>
    <w:basedOn w:val="Normal"/>
    <w:link w:val="FootnoteTextChar"/>
    <w:uiPriority w:val="99"/>
    <w:semiHidden/>
    <w:unhideWhenUsed/>
    <w:rsid w:val="00671434"/>
    <w:pPr>
      <w:spacing w:after="0"/>
    </w:pPr>
  </w:style>
  <w:style w:type="character" w:customStyle="1" w:styleId="FootnoteTextChar">
    <w:name w:val="Footnote Text Char"/>
    <w:basedOn w:val="DefaultParagraphFont"/>
    <w:link w:val="FootnoteText"/>
    <w:uiPriority w:val="99"/>
    <w:semiHidden/>
    <w:rsid w:val="00671434"/>
  </w:style>
  <w:style w:type="character" w:styleId="FootnoteReference">
    <w:name w:val="footnote reference"/>
    <w:basedOn w:val="DefaultParagraphFont"/>
    <w:uiPriority w:val="99"/>
    <w:semiHidden/>
    <w:unhideWhenUsed/>
    <w:rsid w:val="00671434"/>
    <w:rPr>
      <w:vertAlign w:val="superscript"/>
    </w:rPr>
  </w:style>
  <w:style w:type="character" w:styleId="FollowedHyperlink">
    <w:name w:val="FollowedHyperlink"/>
    <w:basedOn w:val="DefaultParagraphFont"/>
    <w:uiPriority w:val="99"/>
    <w:semiHidden/>
    <w:unhideWhenUsed/>
    <w:rsid w:val="00671434"/>
    <w:rPr>
      <w:color w:val="800080" w:themeColor="followedHyperlink"/>
      <w:u w:val="single"/>
    </w:rPr>
  </w:style>
  <w:style w:type="table" w:styleId="TableGrid">
    <w:name w:val="Table Grid"/>
    <w:basedOn w:val="TableNormal"/>
    <w:uiPriority w:val="39"/>
    <w:rsid w:val="00C922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E7C5C"/>
    <w:rPr>
      <w:sz w:val="16"/>
      <w:szCs w:val="16"/>
    </w:rPr>
  </w:style>
  <w:style w:type="paragraph" w:styleId="CommentText">
    <w:name w:val="annotation text"/>
    <w:basedOn w:val="Normal"/>
    <w:link w:val="CommentTextChar"/>
    <w:uiPriority w:val="99"/>
    <w:semiHidden/>
    <w:unhideWhenUsed/>
    <w:rsid w:val="005E7C5C"/>
  </w:style>
  <w:style w:type="character" w:customStyle="1" w:styleId="CommentTextChar">
    <w:name w:val="Comment Text Char"/>
    <w:basedOn w:val="DefaultParagraphFont"/>
    <w:link w:val="CommentText"/>
    <w:uiPriority w:val="99"/>
    <w:semiHidden/>
    <w:rsid w:val="005E7C5C"/>
  </w:style>
  <w:style w:type="paragraph" w:styleId="CommentSubject">
    <w:name w:val="annotation subject"/>
    <w:basedOn w:val="CommentText"/>
    <w:next w:val="CommentText"/>
    <w:link w:val="CommentSubjectChar"/>
    <w:uiPriority w:val="99"/>
    <w:semiHidden/>
    <w:unhideWhenUsed/>
    <w:rsid w:val="005E7C5C"/>
    <w:rPr>
      <w:b/>
      <w:bCs/>
    </w:rPr>
  </w:style>
  <w:style w:type="character" w:customStyle="1" w:styleId="CommentSubjectChar">
    <w:name w:val="Comment Subject Char"/>
    <w:basedOn w:val="CommentTextChar"/>
    <w:link w:val="CommentSubject"/>
    <w:uiPriority w:val="99"/>
    <w:semiHidden/>
    <w:rsid w:val="005E7C5C"/>
    <w:rPr>
      <w:b/>
      <w:bCs/>
    </w:rPr>
  </w:style>
  <w:style w:type="paragraph" w:styleId="Revision">
    <w:name w:val="Revision"/>
    <w:hidden/>
    <w:uiPriority w:val="99"/>
    <w:semiHidden/>
    <w:rsid w:val="005E7C5C"/>
    <w:pPr>
      <w:widowControl/>
      <w:spacing w:after="0"/>
      <w:jc w:val="left"/>
    </w:pPr>
  </w:style>
  <w:style w:type="character" w:styleId="Emphasis">
    <w:name w:val="Emphasis"/>
    <w:basedOn w:val="DefaultParagraphFont"/>
    <w:uiPriority w:val="20"/>
    <w:qFormat/>
    <w:rsid w:val="00CC58F4"/>
    <w:rPr>
      <w:i/>
      <w:iCs/>
    </w:rPr>
  </w:style>
  <w:style w:type="paragraph" w:styleId="ListParagraph">
    <w:name w:val="List Paragraph"/>
    <w:basedOn w:val="Normal"/>
    <w:uiPriority w:val="34"/>
    <w:qFormat/>
    <w:rsid w:val="007454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311465">
      <w:bodyDiv w:val="1"/>
      <w:marLeft w:val="0"/>
      <w:marRight w:val="0"/>
      <w:marTop w:val="0"/>
      <w:marBottom w:val="0"/>
      <w:divBdr>
        <w:top w:val="none" w:sz="0" w:space="0" w:color="auto"/>
        <w:left w:val="none" w:sz="0" w:space="0" w:color="auto"/>
        <w:bottom w:val="none" w:sz="0" w:space="0" w:color="auto"/>
        <w:right w:val="none" w:sz="0" w:space="0" w:color="auto"/>
      </w:divBdr>
    </w:div>
    <w:div w:id="1804497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treensight.com/" TargetMode="External"/><Relationship Id="rId2" Type="http://schemas.openxmlformats.org/officeDocument/2006/relationships/hyperlink" Target="https://github.com/HossseinMoradi/EQQuestionnaire" TargetMode="External"/><Relationship Id="rId1" Type="http://schemas.openxmlformats.org/officeDocument/2006/relationships/hyperlink" Target="https://github.com/HossseinMoradi/HeatwaveQuestionnaire" TargetMode="External"/><Relationship Id="rId4" Type="http://schemas.openxmlformats.org/officeDocument/2006/relationships/hyperlink" Target="https://matsi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A69C0-3812-554A-A91C-F1D75B993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22330</Words>
  <Characters>127284</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Khazanchi</dc:creator>
  <cp:lastModifiedBy>HOSSEIN MORADI</cp:lastModifiedBy>
  <cp:revision>6</cp:revision>
  <cp:lastPrinted>2026-03-05T13:08:00Z</cp:lastPrinted>
  <dcterms:created xsi:type="dcterms:W3CDTF">2026-03-05T13:08:00Z</dcterms:created>
  <dcterms:modified xsi:type="dcterms:W3CDTF">2026-03-05T13:12:00Z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id="ueiO9W5d"/&gt;&lt;style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