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mc:Ignorable="w14 wp14">
  <w:body>
    <w:p>
      <w:pPr>
        <w:spacing w:line="320"/>
        <w:ind w:firstLine="600"/>
        <w:jc w:val="center"/>
        <w:textAlignment w:val="center"/>
        <w:rPr>
          <w:rFonts w:ascii="仿宋" w:eastAsia="仿宋" w:hAnsi="仿宋"/>
          <w:sz w:val="52"/>
        </w:rPr>
      </w:pPr>
      <w:r w:rsidRPr="000B5797">
        <w:rPr>
          <w:rFonts w:ascii="黑体" w:eastAsia="黑体" w:hAnsi="黑体" w:cs="黑体"/>
          <w:b/>
          <w:color w:val="000000"/>
          <w:sz w:val="48"/>
        </w:rPr>
        <w:t xml:space="preserve">《中国高血压防治指南(2025年版)》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前言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本指南由国家心血管病中心、中国医师协会高血压专业委员会、中华医学会心血管病学分会联合制定，基于</w:t>
      </w:r>
      <w:r w:rsidRPr="000B5797">
        <w:rPr>
          <w:rFonts w:ascii="仿宋" w:eastAsia="仿宋" w:hAnsi="仿宋" w:cs="仿宋"/>
          <w:color w:val="000000"/>
          <w:sz w:val="36"/>
        </w:rPr>
        <w:t xml:space="preserve">2018</w:t>
      </w:r>
      <w:r w:rsidRPr="000B5797">
        <w:rPr>
          <w:rFonts w:ascii="仿宋" w:eastAsia="仿宋" w:hAnsi="仿宋" w:cs="仿宋"/>
          <w:color w:val="000000"/>
          <w:sz w:val="36"/>
        </w:rPr>
        <w:t xml:space="preserve">年版指南实施以来的国内外循证医学进展、中国人群高血压流行病学特征更新，结合我国基层医疗卫生服务实际修订而成，旨在为各级医疗机构、公共卫生机构及医务人员提供科学、可操作的高血压防治规范，降低高血压导致的心脑肾靶器官损害及死亡风险，助力健康中国</w:t>
      </w:r>
      <w:r w:rsidRPr="000B5797">
        <w:rPr>
          <w:rFonts w:ascii="仿宋" w:eastAsia="仿宋" w:hAnsi="仿宋" w:cs="仿宋"/>
          <w:color w:val="000000"/>
          <w:sz w:val="36"/>
        </w:rPr>
        <w:t xml:space="preserve">2030</w:t>
      </w:r>
      <w:r w:rsidRPr="000B5797">
        <w:rPr>
          <w:rFonts w:ascii="仿宋" w:eastAsia="仿宋" w:hAnsi="仿宋" w:cs="仿宋"/>
          <w:color w:val="000000"/>
          <w:sz w:val="36"/>
        </w:rPr>
        <w:t xml:space="preserve">目标实现。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 </w:t>
      </w:r>
      <w:r w:rsidRPr="000B5797">
        <w:rPr>
          <w:rFonts w:ascii="仿宋" w:eastAsia="仿宋" w:hAnsi="仿宋" w:cs="仿宋"/>
          <w:color w:val="000000"/>
          <w:sz w:val="36"/>
        </w:rPr>
        <w:t xml:space="preserve">流行病学与防治现状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1.1 </w:t>
      </w:r>
      <w:r w:rsidRPr="000B5797">
        <w:rPr>
          <w:rFonts w:ascii="仿宋" w:eastAsia="仿宋" w:hAnsi="仿宋" w:cs="仿宋"/>
          <w:color w:val="000000"/>
          <w:sz w:val="36"/>
        </w:rPr>
        <w:t xml:space="preserve">流行特征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基于</w:t>
      </w:r>
      <w:r w:rsidRPr="000B5797">
        <w:rPr>
          <w:rFonts w:ascii="仿宋" w:eastAsia="仿宋" w:hAnsi="仿宋" w:cs="仿宋"/>
          <w:color w:val="000000"/>
          <w:sz w:val="36"/>
        </w:rPr>
        <w:t xml:space="preserve">2020-2023</w:t>
      </w:r>
      <w:r w:rsidRPr="000B5797">
        <w:rPr>
          <w:rFonts w:ascii="仿宋" w:eastAsia="仿宋" w:hAnsi="仿宋" w:cs="仿宋"/>
          <w:color w:val="000000"/>
          <w:sz w:val="36"/>
        </w:rPr>
        <w:t xml:space="preserve">年全国高血压专项调查数据，我国</w:t>
      </w:r>
      <w:r w:rsidRPr="000B5797">
        <w:rPr>
          <w:rFonts w:ascii="仿宋" w:eastAsia="仿宋" w:hAnsi="仿宋" w:cs="仿宋"/>
          <w:color w:val="000000"/>
          <w:sz w:val="36"/>
        </w:rPr>
        <w:t xml:space="preserve">18</w:t>
      </w:r>
      <w:r w:rsidRPr="000B5797">
        <w:rPr>
          <w:rFonts w:ascii="仿宋" w:eastAsia="仿宋" w:hAnsi="仿宋" w:cs="仿宋"/>
          <w:color w:val="000000"/>
          <w:sz w:val="36"/>
        </w:rPr>
        <w:t xml:space="preserve">岁及以上居民高血压患病率为</w:t>
      </w:r>
      <w:r w:rsidRPr="000B5797">
        <w:rPr>
          <w:rFonts w:ascii="仿宋" w:eastAsia="仿宋" w:hAnsi="仿宋" w:cs="仿宋"/>
          <w:color w:val="000000"/>
          <w:sz w:val="36"/>
        </w:rPr>
        <w:t xml:space="preserve">29.8%</w:t>
      </w:r>
      <w:r w:rsidRPr="000B5797">
        <w:rPr>
          <w:rFonts w:ascii="仿宋" w:eastAsia="仿宋" w:hAnsi="仿宋" w:cs="仿宋"/>
          <w:color w:val="000000"/>
          <w:sz w:val="36"/>
        </w:rPr>
        <w:t xml:space="preserve">，估算现有患病人数达</w:t>
      </w:r>
      <w:r w:rsidRPr="000B5797">
        <w:rPr>
          <w:rFonts w:ascii="仿宋" w:eastAsia="仿宋" w:hAnsi="仿宋" w:cs="仿宋"/>
          <w:color w:val="000000"/>
          <w:sz w:val="36"/>
        </w:rPr>
        <w:t xml:space="preserve">2.85</w:t>
      </w:r>
      <w:r w:rsidRPr="000B5797">
        <w:rPr>
          <w:rFonts w:ascii="仿宋" w:eastAsia="仿宋" w:hAnsi="仿宋" w:cs="仿宋"/>
          <w:color w:val="000000"/>
          <w:sz w:val="36"/>
        </w:rPr>
        <w:t xml:space="preserve">亿。患病率呈现显著的年龄梯度：</w:t>
      </w:r>
      <w:r w:rsidRPr="000B5797">
        <w:rPr>
          <w:rFonts w:ascii="仿宋" w:eastAsia="仿宋" w:hAnsi="仿宋" w:cs="仿宋"/>
          <w:color w:val="000000"/>
          <w:sz w:val="36"/>
        </w:rPr>
        <w:t xml:space="preserve">18-44</w:t>
      </w:r>
      <w:r w:rsidRPr="000B5797">
        <w:rPr>
          <w:rFonts w:ascii="仿宋" w:eastAsia="仿宋" w:hAnsi="仿宋" w:cs="仿宋"/>
          <w:color w:val="000000"/>
          <w:sz w:val="36"/>
        </w:rPr>
        <w:t xml:space="preserve">岁为</w:t>
      </w:r>
      <w:r w:rsidRPr="000B5797">
        <w:rPr>
          <w:rFonts w:ascii="仿宋" w:eastAsia="仿宋" w:hAnsi="仿宋" w:cs="仿宋"/>
          <w:color w:val="000000"/>
          <w:sz w:val="36"/>
        </w:rPr>
        <w:t xml:space="preserve">12.7%</w:t>
      </w:r>
      <w:r w:rsidRPr="000B5797">
        <w:rPr>
          <w:rFonts w:ascii="仿宋" w:eastAsia="仿宋" w:hAnsi="仿宋" w:cs="仿宋"/>
          <w:color w:val="000000"/>
          <w:sz w:val="36"/>
        </w:rPr>
        <w:t xml:space="preserve">，</w:t>
      </w:r>
      <w:r w:rsidRPr="000B5797">
        <w:rPr>
          <w:rFonts w:ascii="仿宋" w:eastAsia="仿宋" w:hAnsi="仿宋" w:cs="仿宋"/>
          <w:color w:val="000000"/>
          <w:sz w:val="36"/>
        </w:rPr>
        <w:t xml:space="preserve">45-64</w:t>
      </w:r>
      <w:r w:rsidRPr="000B5797">
        <w:rPr>
          <w:rFonts w:ascii="仿宋" w:eastAsia="仿宋" w:hAnsi="仿宋" w:cs="仿宋"/>
          <w:color w:val="000000"/>
          <w:sz w:val="36"/>
        </w:rPr>
        <w:t xml:space="preserve">岁为</w:t>
      </w:r>
      <w:r w:rsidRPr="000B5797">
        <w:rPr>
          <w:rFonts w:ascii="仿宋" w:eastAsia="仿宋" w:hAnsi="仿宋" w:cs="仿宋"/>
          <w:color w:val="000000"/>
          <w:sz w:val="36"/>
        </w:rPr>
        <w:t xml:space="preserve">42.3%</w:t>
      </w:r>
      <w:r w:rsidRPr="000B5797">
        <w:rPr>
          <w:rFonts w:ascii="仿宋" w:eastAsia="仿宋" w:hAnsi="仿宋" w:cs="仿宋"/>
          <w:color w:val="000000"/>
          <w:sz w:val="36"/>
        </w:rPr>
        <w:t xml:space="preserve">，</w:t>
      </w:r>
      <w:r w:rsidRPr="000B5797">
        <w:rPr>
          <w:rFonts w:ascii="仿宋" w:eastAsia="仿宋" w:hAnsi="仿宋" w:cs="仿宋"/>
          <w:color w:val="000000"/>
          <w:sz w:val="36"/>
        </w:rPr>
        <w:t xml:space="preserve">65</w:t>
      </w:r>
      <w:r w:rsidRPr="000B5797">
        <w:rPr>
          <w:rFonts w:ascii="仿宋" w:eastAsia="仿宋" w:hAnsi="仿宋" w:cs="仿宋"/>
          <w:color w:val="000000"/>
          <w:sz w:val="36"/>
        </w:rPr>
        <w:t xml:space="preserve">岁及以上为</w:t>
      </w:r>
      <w:r w:rsidRPr="000B5797">
        <w:rPr>
          <w:rFonts w:ascii="仿宋" w:eastAsia="仿宋" w:hAnsi="仿宋" w:cs="仿宋"/>
          <w:color w:val="000000"/>
          <w:sz w:val="36"/>
        </w:rPr>
        <w:t xml:space="preserve">60.2%</w:t>
      </w:r>
      <w:r w:rsidRPr="000B5797">
        <w:rPr>
          <w:rFonts w:ascii="仿宋" w:eastAsia="仿宋" w:hAnsi="仿宋" w:cs="仿宋"/>
          <w:color w:val="000000"/>
          <w:sz w:val="36"/>
        </w:rPr>
        <w:t xml:space="preserve">。人群分布上，男性患病率（</w:t>
      </w:r>
      <w:r w:rsidRPr="000B5797">
        <w:rPr>
          <w:rFonts w:ascii="仿宋" w:eastAsia="仿宋" w:hAnsi="仿宋" w:cs="仿宋"/>
          <w:color w:val="000000"/>
          <w:sz w:val="36"/>
        </w:rPr>
        <w:t xml:space="preserve">31.2%</w:t>
      </w:r>
      <w:r w:rsidRPr="000B5797">
        <w:rPr>
          <w:rFonts w:ascii="仿宋" w:eastAsia="仿宋" w:hAnsi="仿宋" w:cs="仿宋"/>
          <w:color w:val="000000"/>
          <w:sz w:val="36"/>
        </w:rPr>
        <w:t xml:space="preserve">）高于女性（</w:t>
      </w:r>
      <w:r w:rsidRPr="000B5797">
        <w:rPr>
          <w:rFonts w:ascii="仿宋" w:eastAsia="仿宋" w:hAnsi="仿宋" w:cs="仿宋"/>
          <w:color w:val="000000"/>
          <w:sz w:val="36"/>
        </w:rPr>
        <w:t xml:space="preserve">28.3%</w:t>
      </w:r>
      <w:r w:rsidRPr="000B5797">
        <w:rPr>
          <w:rFonts w:ascii="仿宋" w:eastAsia="仿宋" w:hAnsi="仿宋" w:cs="仿宋"/>
          <w:color w:val="000000"/>
          <w:sz w:val="36"/>
        </w:rPr>
        <w:t xml:space="preserve">）；北方地区（</w:t>
      </w:r>
      <w:r w:rsidRPr="000B5797">
        <w:rPr>
          <w:rFonts w:ascii="仿宋" w:eastAsia="仿宋" w:hAnsi="仿宋" w:cs="仿宋"/>
          <w:color w:val="000000"/>
          <w:sz w:val="36"/>
        </w:rPr>
        <w:t xml:space="preserve">32.9%</w:t>
      </w:r>
      <w:r w:rsidRPr="000B5797">
        <w:rPr>
          <w:rFonts w:ascii="仿宋" w:eastAsia="仿宋" w:hAnsi="仿宋" w:cs="仿宋"/>
          <w:color w:val="000000"/>
          <w:sz w:val="36"/>
        </w:rPr>
        <w:t xml:space="preserve">）高于南方地区（</w:t>
      </w:r>
      <w:r w:rsidRPr="000B5797">
        <w:rPr>
          <w:rFonts w:ascii="仿宋" w:eastAsia="仿宋" w:hAnsi="仿宋" w:cs="仿宋"/>
          <w:color w:val="000000"/>
          <w:sz w:val="36"/>
        </w:rPr>
        <w:t xml:space="preserve">26.7%</w:t>
      </w:r>
      <w:r w:rsidRPr="000B5797">
        <w:rPr>
          <w:rFonts w:ascii="仿宋" w:eastAsia="仿宋" w:hAnsi="仿宋" w:cs="仿宋"/>
          <w:color w:val="000000"/>
          <w:sz w:val="36"/>
        </w:rPr>
        <w:t xml:space="preserve">）；农村地区（</w:t>
      </w:r>
      <w:r w:rsidRPr="000B5797">
        <w:rPr>
          <w:rFonts w:ascii="仿宋" w:eastAsia="仿宋" w:hAnsi="仿宋" w:cs="仿宋"/>
          <w:color w:val="000000"/>
          <w:sz w:val="36"/>
        </w:rPr>
        <w:t xml:space="preserve">30.5%</w:t>
      </w:r>
      <w:r w:rsidRPr="000B5797">
        <w:rPr>
          <w:rFonts w:ascii="仿宋" w:eastAsia="仿宋" w:hAnsi="仿宋" w:cs="仿宋"/>
          <w:color w:val="000000"/>
          <w:sz w:val="36"/>
        </w:rPr>
        <w:t xml:space="preserve">）已略高于城市地区（</w:t>
      </w:r>
      <w:r w:rsidRPr="000B5797">
        <w:rPr>
          <w:rFonts w:ascii="仿宋" w:eastAsia="仿宋" w:hAnsi="仿宋" w:cs="仿宋"/>
          <w:color w:val="000000"/>
          <w:sz w:val="36"/>
        </w:rPr>
        <w:t xml:space="preserve">29.2%</w:t>
      </w:r>
      <w:r w:rsidRPr="000B5797">
        <w:rPr>
          <w:rFonts w:ascii="仿宋" w:eastAsia="仿宋" w:hAnsi="仿宋" w:cs="仿宋"/>
          <w:color w:val="000000"/>
          <w:sz w:val="36"/>
        </w:rPr>
        <w:t xml:space="preserve">），与农村居民高盐饮食、肥胖率上升、健康意识不足密切相关。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高血压主要并发症中，脑卒中每年新发病例</w:t>
      </w:r>
      <w:r w:rsidRPr="000B5797">
        <w:rPr>
          <w:rFonts w:ascii="仿宋" w:eastAsia="仿宋" w:hAnsi="仿宋" w:cs="仿宋"/>
          <w:color w:val="000000"/>
          <w:sz w:val="36"/>
        </w:rPr>
        <w:t xml:space="preserve">380</w:t>
      </w:r>
      <w:r w:rsidRPr="000B5797">
        <w:rPr>
          <w:rFonts w:ascii="仿宋" w:eastAsia="仿宋" w:hAnsi="仿宋" w:cs="仿宋"/>
          <w:color w:val="000000"/>
          <w:sz w:val="36"/>
        </w:rPr>
        <w:t xml:space="preserve">万，其</w:t>
      </w:r>
      <w:r w:rsidRPr="000B5797">
        <w:rPr>
          <w:rFonts w:ascii="仿宋" w:eastAsia="仿宋" w:hAnsi="仿宋" w:cs="仿宋"/>
          <w:color w:val="000000"/>
          <w:sz w:val="36"/>
        </w:rPr>
        <w:t xml:space="preserve">70%</w:t>
      </w:r>
      <w:r w:rsidRPr="000B5797">
        <w:rPr>
          <w:rFonts w:ascii="仿宋" w:eastAsia="仿宋" w:hAnsi="仿宋" w:cs="仿宋"/>
          <w:color w:val="000000"/>
          <w:sz w:val="36"/>
        </w:rPr>
        <w:t xml:space="preserve">的发病与</w:t>
      </w:r>
      <w:r w:rsidRPr="000B5797">
        <w:rPr>
          <w:rFonts w:ascii="仿宋" w:eastAsia="仿宋" w:hAnsi="仿宋" w:cs="仿宋"/>
          <w:color w:val="000000"/>
          <w:sz w:val="36"/>
        </w:rPr>
        <w:t xml:space="preserve">高血压相关；冠心病每年新发病例</w:t>
      </w:r>
      <w:r w:rsidRPr="000B5797">
        <w:rPr>
          <w:rFonts w:ascii="仿宋" w:eastAsia="仿宋" w:hAnsi="仿宋" w:cs="仿宋"/>
          <w:color w:val="000000"/>
          <w:sz w:val="36"/>
        </w:rPr>
        <w:t xml:space="preserve">110</w:t>
      </w:r>
      <w:r w:rsidRPr="000B5797">
        <w:rPr>
          <w:rFonts w:ascii="仿宋" w:eastAsia="仿宋" w:hAnsi="仿宋" w:cs="仿宋"/>
          <w:color w:val="000000"/>
          <w:sz w:val="36"/>
        </w:rPr>
        <w:t xml:space="preserve">万，</w:t>
      </w:r>
      <w:r w:rsidRPr="000B5797">
        <w:rPr>
          <w:rFonts w:ascii="仿宋" w:eastAsia="仿宋" w:hAnsi="仿宋" w:cs="仿宋"/>
          <w:color w:val="000000"/>
          <w:sz w:val="36"/>
        </w:rPr>
        <w:t xml:space="preserve">50%</w:t>
      </w:r>
      <w:r w:rsidRPr="000B5797">
        <w:rPr>
          <w:rFonts w:ascii="仿宋" w:eastAsia="仿宋" w:hAnsi="仿宋" w:cs="仿宋"/>
          <w:color w:val="000000"/>
          <w:sz w:val="36"/>
        </w:rPr>
        <w:t xml:space="preserve">的发病归因于高血压；</w:t>
      </w:r>
      <w:r w:rsidRPr="000B5797">
        <w:rPr>
          <w:rFonts w:ascii="仿宋" w:eastAsia="仿宋" w:hAnsi="仿宋" w:cs="仿宋"/>
          <w:color w:val="000000"/>
          <w:sz w:val="36"/>
        </w:rPr>
        <w:t xml:space="preserve">45%</w:t>
      </w:r>
      <w:r w:rsidRPr="000B5797">
        <w:rPr>
          <w:rFonts w:ascii="仿宋" w:eastAsia="仿宋" w:hAnsi="仿宋" w:cs="仿宋"/>
          <w:color w:val="000000"/>
          <w:sz w:val="36"/>
        </w:rPr>
        <w:t xml:space="preserve">的慢性肾衰竭进展与高血压控制不良相关。</w:t>
      </w:r>
      <w:r w:rsidRPr="000B5797">
        <w:rPr>
          <w:rFonts w:ascii="仿宋" w:eastAsia="仿宋" w:hAnsi="仿宋" w:cs="仿宋"/>
          <w:color w:val="000000"/>
          <w:sz w:val="36"/>
        </w:rPr>
        <w:t xml:space="preserve">2023</w:t>
      </w:r>
      <w:r w:rsidRPr="000B5797">
        <w:rPr>
          <w:rFonts w:ascii="仿宋" w:eastAsia="仿宋" w:hAnsi="仿宋" w:cs="仿宋"/>
          <w:color w:val="000000"/>
          <w:sz w:val="36"/>
        </w:rPr>
        <w:t xml:space="preserve">年我国心血管病死亡占总死亡的</w:t>
      </w:r>
      <w:r w:rsidRPr="000B5797">
        <w:rPr>
          <w:rFonts w:ascii="仿宋" w:eastAsia="仿宋" w:hAnsi="仿宋" w:cs="仿宋"/>
          <w:color w:val="000000"/>
          <w:sz w:val="36"/>
        </w:rPr>
        <w:t xml:space="preserve">43.6%</w:t>
      </w:r>
      <w:r w:rsidRPr="000B5797">
        <w:rPr>
          <w:rFonts w:ascii="仿宋" w:eastAsia="仿宋" w:hAnsi="仿宋" w:cs="仿宋"/>
          <w:color w:val="000000"/>
          <w:sz w:val="36"/>
        </w:rPr>
        <w:t xml:space="preserve">，其</w:t>
      </w:r>
      <w:r w:rsidRPr="000B5797">
        <w:rPr>
          <w:rFonts w:ascii="仿宋" w:eastAsia="仿宋" w:hAnsi="仿宋" w:cs="仿宋"/>
          <w:color w:val="000000"/>
          <w:sz w:val="36"/>
        </w:rPr>
        <w:t xml:space="preserve">中高血压相关死亡占心血管病死亡的</w:t>
      </w:r>
      <w:r w:rsidRPr="000B5797">
        <w:rPr>
          <w:rFonts w:ascii="仿宋" w:eastAsia="仿宋" w:hAnsi="仿宋" w:cs="仿宋"/>
          <w:color w:val="000000"/>
          <w:sz w:val="36"/>
        </w:rPr>
        <w:t xml:space="preserve">69.2%</w:t>
      </w:r>
      <w:r w:rsidRPr="000B5797">
        <w:rPr>
          <w:rFonts w:ascii="仿宋" w:eastAsia="仿宋" w:hAnsi="仿宋" w:cs="仿宋"/>
          <w:color w:val="000000"/>
          <w:sz w:val="36"/>
        </w:rPr>
        <w:t xml:space="preserve">，是我国居民首要的可预防致死危险因素。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1.2 </w:t>
      </w:r>
      <w:r w:rsidRPr="000B5797">
        <w:rPr>
          <w:rFonts w:ascii="仿宋" w:eastAsia="仿宋" w:hAnsi="仿宋" w:cs="仿宋"/>
          <w:color w:val="000000"/>
          <w:sz w:val="36"/>
        </w:rPr>
        <w:t xml:space="preserve">防治现状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截至</w:t>
      </w:r>
      <w:r w:rsidRPr="000B5797">
        <w:rPr>
          <w:rFonts w:ascii="仿宋" w:eastAsia="仿宋" w:hAnsi="仿宋" w:cs="仿宋"/>
          <w:color w:val="000000"/>
          <w:sz w:val="36"/>
        </w:rPr>
        <w:t xml:space="preserve">2024</w:t>
      </w:r>
      <w:r w:rsidRPr="000B5797">
        <w:rPr>
          <w:rFonts w:ascii="仿宋" w:eastAsia="仿宋" w:hAnsi="仿宋" w:cs="仿宋"/>
          <w:color w:val="000000"/>
          <w:sz w:val="36"/>
        </w:rPr>
        <w:t xml:space="preserve">年，我国高血压知晓率、治疗率、控制率分别为</w:t>
      </w:r>
      <w:r w:rsidRPr="000B5797">
        <w:rPr>
          <w:rFonts w:ascii="仿宋" w:eastAsia="仿宋" w:hAnsi="仿宋" w:cs="仿宋"/>
          <w:color w:val="000000"/>
          <w:sz w:val="36"/>
        </w:rPr>
        <w:t xml:space="preserve">54.6%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46.2%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19.8%</w:t>
      </w:r>
      <w:r w:rsidRPr="000B5797">
        <w:rPr>
          <w:rFonts w:ascii="仿宋" w:eastAsia="仿宋" w:hAnsi="仿宋" w:cs="仿宋"/>
          <w:color w:val="000000"/>
          <w:sz w:val="36"/>
        </w:rPr>
        <w:t xml:space="preserve">，较</w:t>
      </w:r>
      <w:r w:rsidRPr="000B5797">
        <w:rPr>
          <w:rFonts w:ascii="仿宋" w:eastAsia="仿宋" w:hAnsi="仿宋" w:cs="仿宋"/>
          <w:color w:val="000000"/>
          <w:sz w:val="36"/>
        </w:rPr>
        <w:t xml:space="preserve">2018</w:t>
      </w:r>
      <w:r w:rsidRPr="000B5797">
        <w:rPr>
          <w:rFonts w:ascii="仿宋" w:eastAsia="仿宋" w:hAnsi="仿宋" w:cs="仿宋"/>
          <w:color w:val="000000"/>
          <w:sz w:val="36"/>
        </w:rPr>
        <w:t xml:space="preserve">年分别提升</w:t>
      </w:r>
      <w:r w:rsidRPr="000B5797">
        <w:rPr>
          <w:rFonts w:ascii="仿宋" w:eastAsia="仿宋" w:hAnsi="仿宋" w:cs="仿宋"/>
          <w:color w:val="000000"/>
          <w:sz w:val="36"/>
        </w:rPr>
        <w:t xml:space="preserve">7.2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6.8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5.9</w:t>
      </w:r>
      <w:r w:rsidRPr="000B5797">
        <w:rPr>
          <w:rFonts w:ascii="仿宋" w:eastAsia="仿宋" w:hAnsi="仿宋" w:cs="仿宋"/>
          <w:color w:val="000000"/>
          <w:sz w:val="36"/>
        </w:rPr>
        <w:t xml:space="preserve">个百分点，但仍低于中等偏上收入国家平均水平。城乡控制率差距显著：城市地区为</w:t>
      </w:r>
      <w:r w:rsidRPr="000B5797">
        <w:rPr>
          <w:rFonts w:ascii="仿宋" w:eastAsia="仿宋" w:hAnsi="仿宋" w:cs="仿宋"/>
          <w:color w:val="000000"/>
          <w:sz w:val="36"/>
        </w:rPr>
        <w:t xml:space="preserve">24.1%</w:t>
      </w:r>
      <w:r w:rsidRPr="000B5797">
        <w:rPr>
          <w:rFonts w:ascii="仿宋" w:eastAsia="仿宋" w:hAnsi="仿宋" w:cs="仿宋"/>
          <w:color w:val="000000"/>
          <w:sz w:val="36"/>
        </w:rPr>
        <w:t xml:space="preserve">，农村地区仅为</w:t>
      </w:r>
      <w:r w:rsidRPr="000B5797">
        <w:rPr>
          <w:rFonts w:ascii="仿宋" w:eastAsia="仿宋" w:hAnsi="仿宋" w:cs="仿宋"/>
          <w:color w:val="000000"/>
          <w:sz w:val="36"/>
        </w:rPr>
        <w:t xml:space="preserve">15.3%</w:t>
      </w:r>
      <w:r w:rsidRPr="000B5797">
        <w:rPr>
          <w:rFonts w:ascii="仿宋" w:eastAsia="仿宋" w:hAnsi="仿宋" w:cs="仿宋"/>
          <w:color w:val="000000"/>
          <w:sz w:val="36"/>
        </w:rPr>
        <w:t xml:space="preserve">；</w:t>
      </w:r>
      <w:r w:rsidRPr="000B5797">
        <w:rPr>
          <w:rFonts w:ascii="仿宋" w:eastAsia="仿宋" w:hAnsi="仿宋" w:cs="仿宋"/>
          <w:color w:val="000000"/>
          <w:sz w:val="36"/>
        </w:rPr>
        <w:t xml:space="preserve">35</w:t>
      </w:r>
      <w:r w:rsidRPr="000B5797">
        <w:rPr>
          <w:rFonts w:ascii="仿宋" w:eastAsia="仿宋" w:hAnsi="仿宋" w:cs="仿宋"/>
          <w:color w:val="000000"/>
          <w:sz w:val="36"/>
        </w:rPr>
        <w:t xml:space="preserve">岁以下</w:t>
      </w:r>
      <w:r w:rsidRPr="000B5797">
        <w:rPr>
          <w:rFonts w:ascii="仿宋" w:eastAsia="仿宋" w:hAnsi="仿宋" w:cs="仿宋"/>
          <w:color w:val="000000"/>
          <w:sz w:val="36"/>
        </w:rPr>
        <w:t xml:space="preserve">青年高血压控制率仅为</w:t>
      </w:r>
      <w:r w:rsidRPr="000B5797">
        <w:rPr>
          <w:rFonts w:ascii="仿宋" w:eastAsia="仿宋" w:hAnsi="仿宋" w:cs="仿宋"/>
          <w:color w:val="000000"/>
          <w:sz w:val="36"/>
        </w:rPr>
        <w:t xml:space="preserve">8.9%</w:t>
      </w:r>
      <w:r w:rsidRPr="000B5797">
        <w:rPr>
          <w:rFonts w:ascii="仿宋" w:eastAsia="仿宋" w:hAnsi="仿宋" w:cs="仿宋"/>
          <w:color w:val="000000"/>
          <w:sz w:val="36"/>
        </w:rPr>
        <w:t xml:space="preserve">，是防控的薄弱群体。治疗患者中，</w:t>
      </w:r>
      <w:r w:rsidRPr="000B5797">
        <w:rPr>
          <w:rFonts w:ascii="仿宋" w:eastAsia="仿宋" w:hAnsi="仿宋" w:cs="仿宋"/>
          <w:color w:val="000000"/>
          <w:sz w:val="36"/>
        </w:rPr>
        <w:t xml:space="preserve">42.7%</w:t>
      </w:r>
      <w:r w:rsidRPr="000B5797">
        <w:rPr>
          <w:rFonts w:ascii="仿宋" w:eastAsia="仿宋" w:hAnsi="仿宋" w:cs="仿宋"/>
          <w:color w:val="000000"/>
          <w:sz w:val="36"/>
        </w:rPr>
        <w:t xml:space="preserve">存在治疗依从性不足问题，</w:t>
      </w:r>
      <w:r w:rsidRPr="000B5797">
        <w:rPr>
          <w:rFonts w:ascii="仿宋" w:eastAsia="仿宋" w:hAnsi="仿宋" w:cs="仿宋"/>
          <w:color w:val="000000"/>
          <w:sz w:val="36"/>
        </w:rPr>
        <w:t xml:space="preserve">39.1%</w:t>
      </w:r>
      <w:r w:rsidRPr="000B5797">
        <w:rPr>
          <w:rFonts w:ascii="仿宋" w:eastAsia="仿宋" w:hAnsi="仿宋" w:cs="仿宋"/>
          <w:color w:val="000000"/>
          <w:sz w:val="36"/>
        </w:rPr>
        <w:t xml:space="preserve">仍采用单药治疗方案，未达到指南推荐的联合治疗要求。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 </w:t>
      </w:r>
      <w:r w:rsidRPr="000B5797">
        <w:rPr>
          <w:rFonts w:ascii="仿宋" w:eastAsia="仿宋" w:hAnsi="仿宋" w:cs="仿宋"/>
          <w:color w:val="000000"/>
          <w:sz w:val="36"/>
        </w:rPr>
        <w:t xml:space="preserve">诊断与分级分层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2.1 </w:t>
      </w:r>
      <w:r w:rsidRPr="000B5797">
        <w:rPr>
          <w:rFonts w:ascii="仿宋" w:eastAsia="仿宋" w:hAnsi="仿宋" w:cs="仿宋"/>
          <w:color w:val="000000"/>
          <w:sz w:val="36"/>
        </w:rPr>
        <w:t xml:space="preserve">诊断标准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延续</w:t>
      </w:r>
      <w:r w:rsidRPr="000B5797">
        <w:rPr>
          <w:rFonts w:ascii="仿宋" w:eastAsia="仿宋" w:hAnsi="仿宋" w:cs="仿宋"/>
          <w:color w:val="000000"/>
          <w:sz w:val="36"/>
        </w:rPr>
        <w:t xml:space="preserve">2018</w:t>
      </w:r>
      <w:r w:rsidRPr="000B5797">
        <w:rPr>
          <w:rFonts w:ascii="仿宋" w:eastAsia="仿宋" w:hAnsi="仿宋" w:cs="仿宋"/>
          <w:color w:val="000000"/>
          <w:sz w:val="36"/>
        </w:rPr>
        <w:t xml:space="preserve">年版指南标准，在未使用降压药物的情况下，非同日</w:t>
      </w:r>
      <w:r w:rsidRPr="000B5797">
        <w:rPr>
          <w:rFonts w:ascii="仿宋" w:eastAsia="仿宋" w:hAnsi="仿宋" w:cs="仿宋"/>
          <w:color w:val="000000"/>
          <w:sz w:val="36"/>
        </w:rPr>
        <w:t xml:space="preserve">3</w:t>
      </w:r>
      <w:r w:rsidRPr="000B5797">
        <w:rPr>
          <w:rFonts w:ascii="仿宋" w:eastAsia="仿宋" w:hAnsi="仿宋" w:cs="仿宋"/>
          <w:color w:val="000000"/>
          <w:sz w:val="36"/>
        </w:rPr>
        <w:t xml:space="preserve">次诊室血压测量收缩压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≥140mmHg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和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或舒张压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≥90mmHg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，可诊断为高血压。家庭连续规范测量血压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5-7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天，平均血压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≥135/85mmHg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，或动态血压监测</w:t>
      </w:r>
      <w:r w:rsidRPr="000B5797">
        <w:rPr>
          <w:rFonts w:ascii="仿宋" w:eastAsia="仿宋" w:hAnsi="仿宋" w:cs="仿宋"/>
          <w:color w:val="000000"/>
          <w:sz w:val="36"/>
        </w:rPr>
        <w:t xml:space="preserve">24</w:t>
      </w:r>
      <w:r w:rsidRPr="000B5797">
        <w:rPr>
          <w:rFonts w:ascii="仿宋" w:eastAsia="仿宋" w:hAnsi="仿宋" w:cs="仿宋"/>
          <w:color w:val="000000"/>
          <w:sz w:val="36"/>
        </w:rPr>
        <w:t xml:space="preserve">小时平均</w:t>
      </w:r>
      <w:r w:rsidRPr="000B5797">
        <w:rPr>
          <w:rFonts w:ascii="仿宋" w:eastAsia="仿宋" w:hAnsi="仿宋" w:cs="仿宋"/>
          <w:color w:val="000000"/>
          <w:sz w:val="36"/>
        </w:rPr>
        <w:t xml:space="preserve">≥130/80mmHg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、白天平均</w:t>
      </w:r>
      <w:r w:rsidRPr="000B5797">
        <w:rPr>
          <w:rFonts w:ascii="仿宋" w:eastAsia="仿宋" w:hAnsi="仿宋" w:cs="仿宋"/>
          <w:color w:val="000000"/>
          <w:sz w:val="36"/>
        </w:rPr>
        <w:t xml:space="preserve">≥135/85mmHg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、夜间平均</w:t>
      </w:r>
      <w:r w:rsidRPr="000B5797">
        <w:rPr>
          <w:rFonts w:ascii="仿宋" w:eastAsia="仿宋" w:hAnsi="仿宋" w:cs="仿宋"/>
          <w:color w:val="000000"/>
          <w:sz w:val="36"/>
        </w:rPr>
        <w:t xml:space="preserve">≥120/70mmHg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，均</w:t>
      </w:r>
      <w:r w:rsidRPr="000B5797">
        <w:rPr>
          <w:rFonts w:ascii="仿宋" w:eastAsia="仿宋" w:hAnsi="仿宋" w:cs="仿宋"/>
          <w:color w:val="000000"/>
          <w:sz w:val="36"/>
        </w:rPr>
        <w:t xml:space="preserve">可辅助诊断。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新增</w:t>
      </w:r>
      <w:r w:rsidRPr="000B5797">
        <w:rPr>
          <w:rFonts w:ascii="仿宋" w:eastAsia="仿宋" w:hAnsi="仿宋" w:cs="仿宋"/>
          <w:color w:val="000000"/>
          <w:sz w:val="36"/>
        </w:rPr>
        <w:t xml:space="preserve">“</w:t>
      </w:r>
      <w:r w:rsidRPr="000B5797">
        <w:rPr>
          <w:rFonts w:ascii="仿宋" w:eastAsia="仿宋" w:hAnsi="仿宋" w:cs="仿宋"/>
          <w:color w:val="000000"/>
          <w:sz w:val="36"/>
        </w:rPr>
        <w:t xml:space="preserve">正常高值血压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”</w:t>
      </w:r>
      <w:r w:rsidRPr="000B5797">
        <w:rPr>
          <w:rFonts w:ascii="仿宋" w:eastAsia="仿宋" w:hAnsi="仿宋" w:cs="仿宋"/>
          <w:color w:val="000000"/>
          <w:sz w:val="36"/>
        </w:rPr>
        <w:t xml:space="preserve">定义：收缩压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120-139mmHg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和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或舒张压</w:t>
      </w:r>
      <w:r w:rsidRPr="000B5797">
        <w:rPr>
          <w:rFonts w:ascii="仿宋" w:eastAsia="仿宋" w:hAnsi="仿宋" w:cs="仿宋"/>
          <w:color w:val="000000"/>
          <w:sz w:val="36"/>
        </w:rPr>
        <w:t xml:space="preserve">80-89mmHg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，该人群</w:t>
      </w:r>
      <w:r w:rsidRPr="000B5797">
        <w:rPr>
          <w:rFonts w:ascii="仿宋" w:eastAsia="仿宋" w:hAnsi="仿宋" w:cs="仿宋"/>
          <w:color w:val="000000"/>
          <w:sz w:val="36"/>
        </w:rPr>
        <w:t xml:space="preserve">10</w:t>
      </w:r>
      <w:r w:rsidRPr="000B5797">
        <w:rPr>
          <w:rFonts w:ascii="仿宋" w:eastAsia="仿宋" w:hAnsi="仿宋" w:cs="仿宋"/>
          <w:color w:val="000000"/>
          <w:sz w:val="36"/>
        </w:rPr>
        <w:t xml:space="preserve">年高血压进展风险达</w:t>
      </w:r>
      <w:r w:rsidRPr="000B5797">
        <w:rPr>
          <w:rFonts w:ascii="仿宋" w:eastAsia="仿宋" w:hAnsi="仿宋" w:cs="仿宋"/>
          <w:color w:val="000000"/>
          <w:sz w:val="36"/>
        </w:rPr>
        <w:t xml:space="preserve">45%</w:t>
      </w:r>
      <w:r w:rsidRPr="000B5797">
        <w:rPr>
          <w:rFonts w:ascii="仿宋" w:eastAsia="仿宋" w:hAnsi="仿宋" w:cs="仿宋"/>
          <w:color w:val="000000"/>
          <w:sz w:val="36"/>
        </w:rPr>
        <w:t xml:space="preserve">，心脑血管事件风险较血压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&lt;120/80mmHg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人群升高</w:t>
      </w:r>
      <w:r w:rsidRPr="000B5797">
        <w:rPr>
          <w:rFonts w:ascii="仿宋" w:eastAsia="仿宋" w:hAnsi="仿宋" w:cs="仿宋"/>
          <w:color w:val="000000"/>
          <w:sz w:val="36"/>
        </w:rPr>
        <w:t xml:space="preserve">34%</w:t>
      </w:r>
      <w:r w:rsidRPr="000B5797">
        <w:rPr>
          <w:rFonts w:ascii="仿宋" w:eastAsia="仿宋" w:hAnsi="仿宋" w:cs="仿宋"/>
          <w:color w:val="000000"/>
          <w:sz w:val="36"/>
        </w:rPr>
        <w:t xml:space="preserve">，需纳入生活方式干预重点人群。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2.2 </w:t>
      </w:r>
      <w:r w:rsidRPr="000B5797">
        <w:rPr>
          <w:rFonts w:ascii="仿宋" w:eastAsia="仿宋" w:hAnsi="仿宋" w:cs="仿宋"/>
          <w:color w:val="000000"/>
          <w:sz w:val="36"/>
        </w:rPr>
        <w:t xml:space="preserve">血压分级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根据血压水平将高血压分为</w:t>
      </w:r>
      <w:r w:rsidRPr="000B5797">
        <w:rPr>
          <w:rFonts w:ascii="仿宋" w:eastAsia="仿宋" w:hAnsi="仿宋" w:cs="仿宋"/>
          <w:color w:val="000000"/>
          <w:sz w:val="36"/>
        </w:rPr>
        <w:t xml:space="preserve">3</w:t>
      </w:r>
      <w:r w:rsidRPr="000B5797">
        <w:rPr>
          <w:rFonts w:ascii="仿宋" w:eastAsia="仿宋" w:hAnsi="仿宋" w:cs="仿宋"/>
          <w:color w:val="000000"/>
          <w:sz w:val="36"/>
        </w:rPr>
        <w:t xml:space="preserve">级：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级高血压：收缩压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140-159mmHg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和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或舒张压</w:t>
      </w:r>
      <w:r w:rsidRPr="000B5797">
        <w:rPr>
          <w:rFonts w:ascii="仿宋" w:eastAsia="仿宋" w:hAnsi="仿宋" w:cs="仿宋"/>
          <w:color w:val="000000"/>
          <w:sz w:val="36"/>
        </w:rPr>
        <w:t xml:space="preserve">90-99mmHg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级高血压：收缩压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160-179mmHg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和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或舒张压</w:t>
      </w:r>
      <w:r w:rsidRPr="000B5797">
        <w:rPr>
          <w:rFonts w:ascii="仿宋" w:eastAsia="仿宋" w:hAnsi="仿宋" w:cs="仿宋"/>
          <w:color w:val="000000"/>
          <w:sz w:val="36"/>
        </w:rPr>
        <w:t xml:space="preserve">100-109mmHg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级高血压：收缩压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和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或舒张压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≥110mmHg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若收缩压与舒张压分属不同</w:t>
      </w:r>
      <w:r w:rsidRPr="000B5797">
        <w:rPr>
          <w:rFonts w:ascii="仿宋" w:eastAsia="仿宋" w:hAnsi="仿宋" w:cs="仿宋"/>
          <w:color w:val="000000"/>
          <w:sz w:val="36"/>
        </w:rPr>
        <w:t xml:space="preserve">级别，以较高分级为准；单纯收缩期高血压定义为收缩压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≥140mmHg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且舒张压</w:t>
      </w:r>
      <w:r w:rsidRPr="000B5797">
        <w:rPr>
          <w:rFonts w:ascii="仿宋" w:eastAsia="仿宋" w:hAnsi="仿宋" w:cs="仿宋"/>
          <w:color w:val="000000"/>
          <w:sz w:val="36"/>
        </w:rPr>
        <w:t xml:space="preserve">&lt;90mmHg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，多见于老年人群。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2.3 </w:t>
      </w:r>
      <w:r w:rsidRPr="000B5797">
        <w:rPr>
          <w:rFonts w:ascii="仿宋" w:eastAsia="仿宋" w:hAnsi="仿宋" w:cs="仿宋"/>
          <w:color w:val="000000"/>
          <w:sz w:val="36"/>
        </w:rPr>
        <w:t xml:space="preserve">心血管风险分层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结合血压水平、危险因素、靶器官损害、临床合并症，将高血压患者分为低危、中危、高危、很高危四层，分层结果直接指导治疗方案选择：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b/>
          <w:color w:val="000000"/>
          <w:sz w:val="36"/>
        </w:rPr>
        <w:t xml:space="preserve">危险因素</w:t>
      </w:r>
      <w:r w:rsidRPr="000B5797">
        <w:rPr>
          <w:rFonts w:ascii="仿宋" w:eastAsia="仿宋" w:hAnsi="仿宋" w:cs="仿宋"/>
          <w:color w:val="000000"/>
          <w:sz w:val="36"/>
        </w:rPr>
        <w:t xml:space="preserve">：年龄（男性</w:t>
      </w:r>
      <w:r w:rsidRPr="000B5797">
        <w:rPr>
          <w:rFonts w:ascii="仿宋" w:eastAsia="仿宋" w:hAnsi="仿宋" w:cs="仿宋"/>
          <w:color w:val="000000"/>
          <w:sz w:val="36"/>
        </w:rPr>
        <w:t xml:space="preserve">≥45</w:t>
      </w:r>
      <w:r w:rsidRPr="000B5797">
        <w:rPr>
          <w:rFonts w:ascii="仿宋" w:eastAsia="仿宋" w:hAnsi="仿宋" w:cs="仿宋"/>
          <w:color w:val="000000"/>
          <w:sz w:val="36"/>
        </w:rPr>
        <w:t xml:space="preserve">岁、女性</w:t>
      </w:r>
      <w:r w:rsidRPr="000B5797">
        <w:rPr>
          <w:rFonts w:ascii="仿宋" w:eastAsia="仿宋" w:hAnsi="仿宋" w:cs="仿宋"/>
          <w:color w:val="000000"/>
          <w:sz w:val="36"/>
        </w:rPr>
        <w:t xml:space="preserve">≥55</w:t>
      </w:r>
      <w:r w:rsidRPr="000B5797">
        <w:rPr>
          <w:rFonts w:ascii="仿宋" w:eastAsia="仿宋" w:hAnsi="仿宋" w:cs="仿宋"/>
          <w:color w:val="000000"/>
          <w:sz w:val="36"/>
        </w:rPr>
        <w:t xml:space="preserve">岁）、吸烟或被动吸烟、糖耐量受损（餐后</w:t>
      </w: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小时血糖</w:t>
      </w:r>
      <w:r w:rsidRPr="000B5797">
        <w:rPr>
          <w:rFonts w:ascii="仿宋" w:eastAsia="仿宋" w:hAnsi="仿宋" w:cs="仿宋"/>
          <w:color w:val="000000"/>
          <w:sz w:val="36"/>
        </w:rPr>
        <w:t xml:space="preserve">7.8-11.0mmol/L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）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空腹血糖异常（</w:t>
      </w:r>
      <w:r w:rsidRPr="000B5797">
        <w:rPr>
          <w:rFonts w:ascii="仿宋" w:eastAsia="仿宋" w:hAnsi="仿宋" w:cs="仿宋"/>
          <w:color w:val="000000"/>
          <w:sz w:val="36"/>
        </w:rPr>
        <w:t xml:space="preserve">6.1-6.9mmol/L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）、血脂异常（总胆固醇</w:t>
      </w:r>
      <w:r w:rsidRPr="000B5797">
        <w:rPr>
          <w:rFonts w:ascii="仿宋" w:eastAsia="仿宋" w:hAnsi="仿宋" w:cs="仿宋"/>
          <w:color w:val="000000"/>
          <w:sz w:val="36"/>
        </w:rPr>
        <w:t xml:space="preserve">≥5.2mmol/L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或低密度脂蛋白胆固醇</w:t>
      </w:r>
      <w:r w:rsidRPr="000B5797">
        <w:rPr>
          <w:rFonts w:ascii="仿宋" w:eastAsia="仿宋" w:hAnsi="仿宋" w:cs="仿宋"/>
          <w:color w:val="000000"/>
          <w:sz w:val="36"/>
        </w:rPr>
        <w:t xml:space="preserve">≥3.4mmol/L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或高密</w:t>
      </w:r>
      <w:r w:rsidRPr="000B5797">
        <w:rPr>
          <w:rFonts w:ascii="仿宋" w:eastAsia="仿宋" w:hAnsi="仿宋" w:cs="仿宋"/>
          <w:color w:val="000000"/>
          <w:sz w:val="36"/>
        </w:rPr>
        <w:t xml:space="preserve">度脂蛋白胆固醇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&lt;1.0mmol/L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）、早发心血管病家族史（一级亲属发病年龄</w:t>
      </w:r>
      <w:r w:rsidRPr="000B5797">
        <w:rPr>
          <w:rFonts w:ascii="仿宋" w:eastAsia="仿宋" w:hAnsi="仿宋" w:cs="仿宋"/>
          <w:color w:val="000000"/>
          <w:sz w:val="36"/>
        </w:rPr>
        <w:t xml:space="preserve">&lt;50</w:t>
      </w:r>
      <w:r w:rsidRPr="000B5797">
        <w:rPr>
          <w:rFonts w:ascii="仿宋" w:eastAsia="仿宋" w:hAnsi="仿宋" w:cs="仿宋"/>
          <w:color w:val="000000"/>
          <w:sz w:val="36"/>
        </w:rPr>
        <w:t xml:space="preserve">岁）、腹型肥胖（男性腰围</w:t>
      </w:r>
      <w:r w:rsidRPr="000B5797">
        <w:rPr>
          <w:rFonts w:ascii="仿宋" w:eastAsia="仿宋" w:hAnsi="仿宋" w:cs="仿宋"/>
          <w:color w:val="000000"/>
          <w:sz w:val="36"/>
        </w:rPr>
        <w:t xml:space="preserve">≥90cm</w:t>
      </w:r>
      <w:r w:rsidRPr="000B5797">
        <w:rPr>
          <w:rFonts w:ascii="仿宋" w:eastAsia="仿宋" w:hAnsi="仿宋" w:cs="仿宋"/>
          <w:color w:val="000000"/>
          <w:sz w:val="36"/>
        </w:rPr>
        <w:t xml:space="preserve">、女性腰围</w:t>
      </w:r>
      <w:r w:rsidRPr="000B5797">
        <w:rPr>
          <w:rFonts w:ascii="仿宋" w:eastAsia="仿宋" w:hAnsi="仿宋" w:cs="仿宋"/>
          <w:color w:val="000000"/>
          <w:sz w:val="36"/>
        </w:rPr>
        <w:t xml:space="preserve">≥85cm</w:t>
      </w:r>
      <w:r w:rsidRPr="000B5797">
        <w:rPr>
          <w:rFonts w:ascii="仿宋" w:eastAsia="仿宋" w:hAnsi="仿宋" w:cs="仿宋"/>
          <w:color w:val="000000"/>
          <w:sz w:val="36"/>
        </w:rPr>
        <w:t xml:space="preserve">）或体重指数</w:t>
      </w:r>
      <w:r w:rsidRPr="000B5797">
        <w:rPr>
          <w:rFonts w:ascii="仿宋" w:eastAsia="仿宋" w:hAnsi="仿宋" w:cs="仿宋"/>
          <w:color w:val="000000"/>
          <w:sz w:val="36"/>
        </w:rPr>
        <w:t xml:space="preserve">≥28kg/</w:t>
      </w:r>
      <w:r w:rsidRPr="000B5797">
        <w:rPr>
          <w:rFonts w:ascii="仿宋" w:eastAsia="仿宋" w:hAnsi="仿宋" w:cs="仿宋"/>
          <w:color w:val="000000"/>
          <w:sz w:val="36"/>
        </w:rPr>
        <w:t xml:space="preserve">㎡、高同型半胱氨酸血症（</w:t>
      </w:r>
      <w:r w:rsidRPr="000B5797">
        <w:rPr>
          <w:rFonts w:ascii="仿宋" w:eastAsia="仿宋" w:hAnsi="仿宋" w:cs="仿宋"/>
          <w:color w:val="000000"/>
          <w:sz w:val="36"/>
        </w:rPr>
        <w:t xml:space="preserve">≥15μmol/L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）。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b/>
          <w:color w:val="000000"/>
          <w:sz w:val="36"/>
        </w:rPr>
        <w:t xml:space="preserve">靶器官损害</w:t>
      </w:r>
      <w:r w:rsidRPr="000B5797">
        <w:rPr>
          <w:rFonts w:ascii="仿宋" w:eastAsia="仿宋" w:hAnsi="仿宋" w:cs="仿宋"/>
          <w:color w:val="000000"/>
          <w:sz w:val="36"/>
        </w:rPr>
        <w:t xml:space="preserve">：左心室肥厚（超声心动图左心室质量指数男性</w:t>
      </w:r>
      <w:r w:rsidRPr="000B5797">
        <w:rPr>
          <w:rFonts w:ascii="仿宋" w:eastAsia="仿宋" w:hAnsi="仿宋" w:cs="仿宋"/>
          <w:color w:val="000000"/>
          <w:sz w:val="36"/>
        </w:rPr>
        <w:t xml:space="preserve">≥115g/</w:t>
      </w:r>
      <w:r w:rsidRPr="000B5797">
        <w:rPr>
          <w:rFonts w:ascii="仿宋" w:eastAsia="仿宋" w:hAnsi="仿宋" w:cs="仿宋"/>
          <w:color w:val="000000"/>
          <w:sz w:val="36"/>
        </w:rPr>
        <w:t xml:space="preserve">㎡、女性</w:t>
      </w:r>
      <w:r w:rsidRPr="000B5797">
        <w:rPr>
          <w:rFonts w:ascii="仿宋" w:eastAsia="仿宋" w:hAnsi="仿宋" w:cs="仿宋"/>
          <w:color w:val="000000"/>
          <w:sz w:val="36"/>
        </w:rPr>
        <w:t xml:space="preserve">≥95g/</w:t>
      </w:r>
      <w:r w:rsidRPr="000B5797">
        <w:rPr>
          <w:rFonts w:ascii="仿宋" w:eastAsia="仿宋" w:hAnsi="仿宋" w:cs="仿宋"/>
          <w:color w:val="000000"/>
          <w:sz w:val="36"/>
        </w:rPr>
        <w:t xml:space="preserve">㎡）、颈动脉内膜中层厚度</w:t>
      </w:r>
      <w:r w:rsidRPr="000B5797">
        <w:rPr>
          <w:rFonts w:ascii="仿宋" w:eastAsia="仿宋" w:hAnsi="仿宋" w:cs="仿宋"/>
          <w:color w:val="000000"/>
          <w:sz w:val="36"/>
        </w:rPr>
        <w:t xml:space="preserve">≥0.9mm</w:t>
      </w:r>
      <w:r w:rsidRPr="000B5797">
        <w:rPr>
          <w:rFonts w:ascii="仿宋" w:eastAsia="仿宋" w:hAnsi="仿宋" w:cs="仿宋"/>
          <w:color w:val="000000"/>
          <w:sz w:val="36"/>
        </w:rPr>
        <w:t xml:space="preserve">或粥样斑块、估算肾小球滤过率</w:t>
      </w:r>
      <w:r w:rsidRPr="000B5797">
        <w:rPr>
          <w:rFonts w:ascii="仿宋" w:eastAsia="仿宋" w:hAnsi="仿宋" w:cs="仿宋"/>
          <w:color w:val="000000"/>
          <w:sz w:val="36"/>
        </w:rPr>
        <w:t xml:space="preserve">30-59ml·min⁻¹·1.73m⁻²</w:t>
      </w:r>
      <w:r w:rsidRPr="000B5797">
        <w:rPr>
          <w:rFonts w:ascii="仿宋" w:eastAsia="仿宋" w:hAnsi="仿宋" w:cs="仿宋"/>
          <w:color w:val="000000"/>
          <w:sz w:val="36"/>
        </w:rPr>
        <w:t xml:space="preserve">或尿微量白蛋白</w:t>
      </w:r>
      <w:r w:rsidRPr="000B5797">
        <w:rPr>
          <w:rFonts w:ascii="仿宋" w:eastAsia="仿宋" w:hAnsi="仿宋" w:cs="仿宋"/>
          <w:color w:val="000000"/>
          <w:sz w:val="36"/>
        </w:rPr>
        <w:t xml:space="preserve">30-300mg/24h</w:t>
      </w:r>
      <w:r w:rsidRPr="000B5797">
        <w:rPr>
          <w:rFonts w:ascii="仿宋" w:eastAsia="仿宋" w:hAnsi="仿宋" w:cs="仿宋"/>
          <w:color w:val="000000"/>
          <w:sz w:val="36"/>
        </w:rPr>
        <w:t xml:space="preserve">、尿白蛋白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肌酐比值</w:t>
      </w:r>
      <w:r w:rsidRPr="000B5797">
        <w:rPr>
          <w:rFonts w:ascii="仿宋" w:eastAsia="仿宋" w:hAnsi="仿宋" w:cs="仿宋"/>
          <w:color w:val="000000"/>
          <w:sz w:val="36"/>
        </w:rPr>
        <w:t xml:space="preserve">≥30mg/g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b/>
          <w:color w:val="000000"/>
          <w:sz w:val="36"/>
        </w:rPr>
        <w:t xml:space="preserve">临床合并症</w:t>
      </w:r>
      <w:r w:rsidRPr="000B5797">
        <w:rPr>
          <w:rFonts w:ascii="仿宋" w:eastAsia="仿宋" w:hAnsi="仿宋" w:cs="仿宋"/>
          <w:color w:val="000000"/>
          <w:sz w:val="36"/>
        </w:rPr>
        <w:t xml:space="preserve">：脑血管病（脑出血、</w:t>
      </w:r>
      <w:r w:rsidRPr="000B5797">
        <w:rPr>
          <w:rFonts w:ascii="仿宋" w:eastAsia="仿宋" w:hAnsi="仿宋" w:cs="仿宋"/>
          <w:color w:val="000000"/>
          <w:sz w:val="36"/>
        </w:rPr>
        <w:t xml:space="preserve">脑梗死、短暂性脑缺血发作）、冠心病（心肌梗死、心绞痛、冠脉血运重建术后）、心力衰竭、心房颤动、慢性肾脏病（</w:t>
      </w:r>
      <w:r w:rsidRPr="000B5797">
        <w:rPr>
          <w:rFonts w:ascii="仿宋" w:eastAsia="仿宋" w:hAnsi="仿宋" w:cs="仿宋"/>
          <w:color w:val="000000"/>
          <w:sz w:val="36"/>
        </w:rPr>
        <w:t xml:space="preserve">eGFR&lt;30ml·min⁻¹·1.73m⁻²</w:t>
      </w:r>
      <w:r w:rsidRPr="000B5797">
        <w:rPr>
          <w:rFonts w:ascii="仿宋" w:eastAsia="仿宋" w:hAnsi="仿宋" w:cs="仿宋"/>
          <w:color w:val="000000"/>
          <w:sz w:val="36"/>
        </w:rPr>
        <w:t xml:space="preserve">或大量蛋白尿）、糖尿病、外周血管疾病。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风险分层规则：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级高血压无危险因素为低危；</w:t>
      </w:r>
      <w:r w:rsidRPr="000B5797">
        <w:rPr>
          <w:rFonts w:ascii="仿宋" w:eastAsia="仿宋" w:hAnsi="仿宋" w:cs="仿宋"/>
          <w:color w:val="000000"/>
          <w:sz w:val="36"/>
        </w:rPr>
        <w:t xml:space="preserve">1-2</w:t>
      </w:r>
      <w:r w:rsidRPr="000B5797">
        <w:rPr>
          <w:rFonts w:ascii="仿宋" w:eastAsia="仿宋" w:hAnsi="仿宋" w:cs="仿宋"/>
          <w:color w:val="000000"/>
          <w:sz w:val="36"/>
        </w:rPr>
        <w:t xml:space="preserve">个危险因素为中危；</w:t>
      </w:r>
      <w:r w:rsidRPr="000B5797">
        <w:rPr>
          <w:rFonts w:ascii="仿宋" w:eastAsia="仿宋" w:hAnsi="仿宋" w:cs="仿宋"/>
          <w:color w:val="000000"/>
          <w:sz w:val="36"/>
        </w:rPr>
        <w:t xml:space="preserve">≥3</w:t>
      </w:r>
      <w:r w:rsidRPr="000B5797">
        <w:rPr>
          <w:rFonts w:ascii="仿宋" w:eastAsia="仿宋" w:hAnsi="仿宋" w:cs="仿宋"/>
          <w:color w:val="000000"/>
          <w:sz w:val="36"/>
        </w:rPr>
        <w:t xml:space="preserve">个危险因素、靶器官损害为高危；存在临床合并症为很高危。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级高血压无或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个危险因素为中危；</w:t>
      </w:r>
      <w:r w:rsidRPr="000B5797">
        <w:rPr>
          <w:rFonts w:ascii="仿宋" w:eastAsia="仿宋" w:hAnsi="仿宋" w:cs="仿宋"/>
          <w:color w:val="000000"/>
          <w:sz w:val="36"/>
        </w:rPr>
        <w:t xml:space="preserve">≥2</w:t>
      </w:r>
      <w:r w:rsidRPr="000B5797">
        <w:rPr>
          <w:rFonts w:ascii="仿宋" w:eastAsia="仿宋" w:hAnsi="仿宋" w:cs="仿宋"/>
          <w:color w:val="000000"/>
          <w:sz w:val="36"/>
        </w:rPr>
        <w:t xml:space="preserve">个危险因素、靶器官损害为高危；存在临床合并症为很高危。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级高血压无论是否合并其他因素，均为高危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很高危（无危险因素为高危，合并任何危险因素、靶器官损害或临床疾病为很高危）。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 </w:t>
      </w:r>
      <w:r w:rsidRPr="000B5797">
        <w:rPr>
          <w:rFonts w:ascii="仿宋" w:eastAsia="仿宋" w:hAnsi="仿宋" w:cs="仿宋"/>
          <w:color w:val="000000"/>
          <w:sz w:val="36"/>
        </w:rPr>
        <w:t xml:space="preserve">血压测量规范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血压测量准确性是高血压诊断与疗效评估的核心，所有医疗机构及个人需严格遵循以下规范：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3.1 </w:t>
      </w:r>
      <w:r w:rsidRPr="000B5797">
        <w:rPr>
          <w:rFonts w:ascii="仿宋" w:eastAsia="仿宋" w:hAnsi="仿宋" w:cs="仿宋"/>
          <w:color w:val="000000"/>
          <w:sz w:val="36"/>
        </w:rPr>
        <w:t xml:space="preserve">诊室血压测量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设备要求：优先采用经国际标准（</w:t>
      </w:r>
      <w:r w:rsidRPr="000B5797">
        <w:rPr>
          <w:rFonts w:ascii="仿宋" w:eastAsia="仿宋" w:hAnsi="仿宋" w:cs="仿宋"/>
          <w:color w:val="000000"/>
          <w:sz w:val="36"/>
        </w:rPr>
        <w:t xml:space="preserve">ESH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BHS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AAMI</w:t>
      </w:r>
      <w:r w:rsidRPr="000B5797">
        <w:rPr>
          <w:rFonts w:ascii="仿宋" w:eastAsia="仿宋" w:hAnsi="仿宋" w:cs="仿宋"/>
          <w:color w:val="000000"/>
          <w:sz w:val="36"/>
        </w:rPr>
        <w:t xml:space="preserve">）验证的上臂式电子血压计，水银血压计逐步淘汰。袖带尺寸需匹配上臂臂围：臂围</w:t>
      </w:r>
      <w:r w:rsidRPr="000B5797">
        <w:rPr>
          <w:rFonts w:ascii="仿宋" w:eastAsia="仿宋" w:hAnsi="仿宋" w:cs="仿宋"/>
          <w:color w:val="000000"/>
          <w:sz w:val="36"/>
        </w:rPr>
        <w:t xml:space="preserve">22-26cm</w:t>
      </w:r>
      <w:r w:rsidRPr="000B5797">
        <w:rPr>
          <w:rFonts w:ascii="仿宋" w:eastAsia="仿宋" w:hAnsi="仿宋" w:cs="仿宋"/>
          <w:color w:val="000000"/>
          <w:sz w:val="36"/>
        </w:rPr>
        <w:t xml:space="preserve">用标准袖带，</w:t>
      </w:r>
      <w:r w:rsidRPr="000B5797">
        <w:rPr>
          <w:rFonts w:ascii="仿宋" w:eastAsia="仿宋" w:hAnsi="仿宋" w:cs="仿宋"/>
          <w:color w:val="000000"/>
          <w:sz w:val="36"/>
        </w:rPr>
        <w:t xml:space="preserve">27-34cm</w:t>
      </w:r>
      <w:r w:rsidRPr="000B5797">
        <w:rPr>
          <w:rFonts w:ascii="仿宋" w:eastAsia="仿宋" w:hAnsi="仿宋" w:cs="仿宋"/>
          <w:color w:val="000000"/>
          <w:sz w:val="36"/>
        </w:rPr>
        <w:t xml:space="preserve">用大袖带，</w:t>
      </w:r>
      <w:r w:rsidRPr="000B5797">
        <w:rPr>
          <w:rFonts w:ascii="仿宋" w:eastAsia="仿宋" w:hAnsi="仿宋" w:cs="仿宋"/>
          <w:color w:val="000000"/>
          <w:sz w:val="36"/>
        </w:rPr>
        <w:t xml:space="preserve">≥35cm</w:t>
      </w:r>
      <w:r w:rsidRPr="000B5797">
        <w:rPr>
          <w:rFonts w:ascii="仿宋" w:eastAsia="仿宋" w:hAnsi="仿宋" w:cs="仿宋"/>
          <w:color w:val="000000"/>
          <w:sz w:val="36"/>
        </w:rPr>
        <w:t xml:space="preserve">用加大袖带，儿童采用儿童专用袖带。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color w:val="000000"/>
          <w:sz w:val="36"/>
        </w:rPr>
        <w:t xml:space="preserve">测量前准备：患者测量前</w:t>
      </w:r>
      <w:r w:rsidRPr="000B5797">
        <w:rPr>
          <w:rFonts w:ascii="仿宋" w:eastAsia="仿宋" w:hAnsi="仿宋" w:cs="仿宋"/>
          <w:color w:val="000000"/>
          <w:sz w:val="36"/>
        </w:rPr>
        <w:t xml:space="preserve">30</w:t>
      </w:r>
      <w:r w:rsidRPr="000B5797">
        <w:rPr>
          <w:rFonts w:ascii="仿宋" w:eastAsia="仿宋" w:hAnsi="仿宋" w:cs="仿宋"/>
          <w:color w:val="000000"/>
          <w:sz w:val="36"/>
        </w:rPr>
        <w:t xml:space="preserve">分钟禁</w:t>
      </w:r>
      <w:r w:rsidRPr="000B5797">
        <w:rPr>
          <w:rFonts w:ascii="仿宋" w:eastAsia="仿宋" w:hAnsi="仿宋" w:cs="仿宋"/>
          <w:color w:val="000000"/>
          <w:sz w:val="36"/>
        </w:rPr>
        <w:t xml:space="preserve">止吸烟、饮咖啡或浓茶，排空膀胱，安静休息至少</w:t>
      </w:r>
      <w:r w:rsidRPr="000B5797">
        <w:rPr>
          <w:rFonts w:ascii="仿宋" w:eastAsia="仿宋" w:hAnsi="仿宋" w:cs="仿宋"/>
          <w:color w:val="000000"/>
          <w:sz w:val="36"/>
        </w:rPr>
        <w:t xml:space="preserve">5</w:t>
      </w:r>
      <w:r w:rsidRPr="000B5797">
        <w:rPr>
          <w:rFonts w:ascii="仿宋" w:eastAsia="仿宋" w:hAnsi="仿宋" w:cs="仿宋"/>
          <w:color w:val="000000"/>
          <w:sz w:val="36"/>
        </w:rPr>
        <w:t xml:space="preserve">分钟；测量时取坐位，背靠座椅，上臂与心脏处于同一水平，双腿平放不交叉。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测量流程：每次测量至少间隔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分钟，连续测量</w:t>
      </w:r>
      <w:r w:rsidRPr="000B5797">
        <w:rPr>
          <w:rFonts w:ascii="仿宋" w:eastAsia="仿宋" w:hAnsi="仿宋" w:cs="仿宋"/>
          <w:color w:val="000000"/>
          <w:sz w:val="36"/>
        </w:rPr>
        <w:t xml:space="preserve">2-3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次，取后</w:t>
      </w: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次平均值记录；首诊患者需测量双侧上臂血压，以较高侧为准，若双侧收缩压差值</w:t>
      </w:r>
      <w:r w:rsidRPr="000B5797">
        <w:rPr>
          <w:rFonts w:ascii="仿宋" w:eastAsia="仿宋" w:hAnsi="仿宋" w:cs="仿宋"/>
          <w:color w:val="000000"/>
          <w:sz w:val="36"/>
        </w:rPr>
        <w:t xml:space="preserve">≥20mmHg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，需排查锁骨下动脉狭窄。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3.2 </w:t>
      </w:r>
      <w:r w:rsidRPr="000B5797">
        <w:rPr>
          <w:rFonts w:ascii="仿宋" w:eastAsia="仿宋" w:hAnsi="仿宋" w:cs="仿宋"/>
          <w:color w:val="000000"/>
          <w:sz w:val="36"/>
        </w:rPr>
        <w:t xml:space="preserve">家庭血压监测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适用人群：所有高血压患者、正常高值血压人群、高血压高危人群，鼓励长期规律监测。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color w:val="000000"/>
          <w:sz w:val="36"/>
        </w:rPr>
        <w:t xml:space="preserve">监测频率：初诊或血压未达标患者，每日早晚各测量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次，每次测量</w:t>
      </w:r>
      <w:r w:rsidRPr="000B5797">
        <w:rPr>
          <w:rFonts w:ascii="仿宋" w:eastAsia="仿宋" w:hAnsi="仿宋" w:cs="仿宋"/>
          <w:color w:val="000000"/>
          <w:sz w:val="36"/>
        </w:rPr>
        <w:t xml:space="preserve">2-3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次，连续测量</w:t>
      </w:r>
      <w:r w:rsidRPr="000B5797">
        <w:rPr>
          <w:rFonts w:ascii="仿宋" w:eastAsia="仿宋" w:hAnsi="仿宋" w:cs="仿宋"/>
          <w:color w:val="000000"/>
          <w:sz w:val="36"/>
        </w:rPr>
        <w:t xml:space="preserve">7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天，去除首日数据后取平均值评估疗效；血压达标且稳定者，每周测量</w:t>
      </w:r>
      <w:r w:rsidRPr="000B5797">
        <w:rPr>
          <w:rFonts w:ascii="仿宋" w:eastAsia="仿宋" w:hAnsi="仿宋" w:cs="仿宋"/>
          <w:color w:val="000000"/>
          <w:sz w:val="36"/>
        </w:rPr>
        <w:t xml:space="preserve">1-2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天，早晚各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记录要求：准确记录测量日期、时间、收缩压、舒张压、脉搏数值，就诊时携带监测记录，避免自行调整药物。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3.3 </w:t>
      </w:r>
      <w:r w:rsidRPr="000B5797">
        <w:rPr>
          <w:rFonts w:ascii="仿宋" w:eastAsia="仿宋" w:hAnsi="仿宋" w:cs="仿宋"/>
          <w:color w:val="000000"/>
          <w:sz w:val="36"/>
        </w:rPr>
        <w:t xml:space="preserve">动态血压监测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适用场景：怀疑白大衣高血压、隐蔽性高血压、夜间高血压、血压波动大、难治性高血压患者，评估降压药物疗效。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color w:val="000000"/>
          <w:sz w:val="36"/>
        </w:rPr>
        <w:t xml:space="preserve">监测参数：</w:t>
      </w:r>
      <w:r w:rsidRPr="000B5797">
        <w:rPr>
          <w:rFonts w:ascii="仿宋" w:eastAsia="仿宋" w:hAnsi="仿宋" w:cs="仿宋"/>
          <w:color w:val="000000"/>
          <w:sz w:val="36"/>
        </w:rPr>
        <w:t xml:space="preserve">24</w:t>
      </w:r>
      <w:r w:rsidRPr="000B5797">
        <w:rPr>
          <w:rFonts w:ascii="仿宋" w:eastAsia="仿宋" w:hAnsi="仿宋" w:cs="仿宋"/>
          <w:color w:val="000000"/>
          <w:sz w:val="36"/>
        </w:rPr>
        <w:t xml:space="preserve">小时平均血压、白天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夜间平均血压、血压昼夜节律（正常为夜间血压较白天下降</w:t>
      </w:r>
      <w:r w:rsidRPr="000B5797">
        <w:rPr>
          <w:rFonts w:ascii="仿宋" w:eastAsia="仿宋" w:hAnsi="仿宋" w:cs="仿宋"/>
          <w:color w:val="000000"/>
          <w:sz w:val="36"/>
        </w:rPr>
        <w:t xml:space="preserve">10%-20%</w:t>
      </w:r>
      <w:r w:rsidRPr="000B5797">
        <w:rPr>
          <w:rFonts w:ascii="仿宋" w:eastAsia="仿宋" w:hAnsi="仿宋" w:cs="仿宋"/>
          <w:color w:val="000000"/>
          <w:sz w:val="36"/>
        </w:rPr>
        <w:t xml:space="preserve">，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&lt;10%</w:t>
      </w:r>
      <w:r w:rsidRPr="000B5797">
        <w:rPr>
          <w:rFonts w:ascii="仿宋" w:eastAsia="仿宋" w:hAnsi="仿宋" w:cs="仿宋"/>
          <w:color w:val="000000"/>
          <w:sz w:val="36"/>
        </w:rPr>
        <w:t xml:space="preserve">为非勺型，</w:t>
      </w:r>
      <w:r w:rsidRPr="000B5797">
        <w:rPr>
          <w:rFonts w:ascii="仿宋" w:eastAsia="仿宋" w:hAnsi="仿宋" w:cs="仿宋"/>
          <w:color w:val="000000"/>
          <w:sz w:val="36"/>
        </w:rPr>
        <w:t xml:space="preserve">&lt;0%</w:t>
      </w:r>
      <w:r w:rsidRPr="000B5797">
        <w:rPr>
          <w:rFonts w:ascii="仿宋" w:eastAsia="仿宋" w:hAnsi="仿宋" w:cs="仿宋"/>
          <w:color w:val="000000"/>
          <w:sz w:val="36"/>
        </w:rPr>
        <w:t xml:space="preserve">为反勺型，</w:t>
      </w:r>
      <w:r w:rsidRPr="000B5797">
        <w:rPr>
          <w:rFonts w:ascii="仿宋" w:eastAsia="仿宋" w:hAnsi="仿宋" w:cs="仿宋"/>
          <w:color w:val="000000"/>
          <w:sz w:val="36"/>
        </w:rPr>
        <w:t xml:space="preserve">&gt;20%</w:t>
      </w:r>
      <w:r w:rsidRPr="000B5797">
        <w:rPr>
          <w:rFonts w:ascii="仿宋" w:eastAsia="仿宋" w:hAnsi="仿宋" w:cs="仿宋"/>
          <w:color w:val="000000"/>
          <w:sz w:val="36"/>
        </w:rPr>
        <w:t xml:space="preserve">为超勺型）、血压变异性。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诊断价值：动态血压是诊断隐蔽性高血压的金标准，非勺型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反勺型血压患者心脑血管事件风险较勺型血压升高</w:t>
      </w:r>
      <w:r w:rsidRPr="000B5797">
        <w:rPr>
          <w:rFonts w:ascii="仿宋" w:eastAsia="仿宋" w:hAnsi="仿宋" w:cs="仿宋"/>
          <w:color w:val="000000"/>
          <w:sz w:val="36"/>
        </w:rPr>
        <w:t xml:space="preserve">2-3</w:t>
      </w:r>
      <w:r w:rsidRPr="000B5797">
        <w:rPr>
          <w:rFonts w:ascii="仿宋" w:eastAsia="仿宋" w:hAnsi="仿宋" w:cs="仿宋"/>
          <w:color w:val="000000"/>
          <w:sz w:val="36"/>
        </w:rPr>
        <w:t xml:space="preserve">倍，需针对性调整用药时间。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 </w:t>
      </w:r>
      <w:r w:rsidRPr="000B5797">
        <w:rPr>
          <w:rFonts w:ascii="仿宋" w:eastAsia="仿宋" w:hAnsi="仿宋" w:cs="仿宋"/>
          <w:color w:val="000000"/>
          <w:sz w:val="36"/>
        </w:rPr>
        <w:t xml:space="preserve">治疗目标与策略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4.1 </w:t>
      </w:r>
      <w:r w:rsidRPr="000B5797">
        <w:rPr>
          <w:rFonts w:ascii="仿宋" w:eastAsia="仿宋" w:hAnsi="仿宋" w:cs="仿宋"/>
          <w:color w:val="000000"/>
          <w:sz w:val="36"/>
        </w:rPr>
        <w:t xml:space="preserve">降压目标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采取个体化分层达标策略，所有患者降压治疗需首先降至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&lt;140/90mmHg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的基本目标，在此基础上根据耐受情况进一步优化：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一般成人高血压患者：建议降至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&lt;130/80mmHg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，可进一步降低脑卒中风险</w:t>
      </w:r>
      <w:r w:rsidRPr="000B5797">
        <w:rPr>
          <w:rFonts w:ascii="仿宋" w:eastAsia="仿宋" w:hAnsi="仿宋" w:cs="仿宋"/>
          <w:color w:val="000000"/>
          <w:sz w:val="36"/>
        </w:rPr>
        <w:t xml:space="preserve">21%</w:t>
      </w:r>
      <w:r w:rsidRPr="000B5797">
        <w:rPr>
          <w:rFonts w:ascii="仿宋" w:eastAsia="仿宋" w:hAnsi="仿宋" w:cs="仿宋"/>
          <w:color w:val="000000"/>
          <w:sz w:val="36"/>
        </w:rPr>
        <w:t xml:space="preserve">、冠心病风险</w:t>
      </w:r>
      <w:r w:rsidRPr="000B5797">
        <w:rPr>
          <w:rFonts w:ascii="仿宋" w:eastAsia="仿宋" w:hAnsi="仿宋" w:cs="仿宋"/>
          <w:color w:val="000000"/>
          <w:sz w:val="36"/>
        </w:rPr>
        <w:t xml:space="preserve">14%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65-79</w:t>
      </w:r>
      <w:r w:rsidRPr="000B5797">
        <w:rPr>
          <w:rFonts w:ascii="仿宋" w:eastAsia="仿宋" w:hAnsi="仿宋" w:cs="仿宋"/>
          <w:color w:val="000000"/>
          <w:sz w:val="36"/>
        </w:rPr>
        <w:t xml:space="preserve">岁老年患者：首先降至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</w:t>
      </w:r>
      <w:r w:rsidRPr="000B5797">
        <w:rPr>
          <w:rFonts w:ascii="仿宋" w:eastAsia="仿宋" w:hAnsi="仿宋" w:cs="仿宋"/>
          <w:color w:val="000000"/>
          <w:sz w:val="36"/>
        </w:rPr>
        <w:t xml:space="preserve">40/90mmHg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，耐受良好者可降至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&lt;130/80mmHg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；</w:t>
      </w:r>
      <w:r w:rsidRPr="000B5797">
        <w:rPr>
          <w:rFonts w:ascii="仿宋" w:eastAsia="仿宋" w:hAnsi="仿宋" w:cs="仿宋"/>
          <w:color w:val="000000"/>
          <w:sz w:val="36"/>
        </w:rPr>
        <w:t xml:space="preserve">≥80</w:t>
      </w:r>
      <w:r w:rsidRPr="000B5797">
        <w:rPr>
          <w:rFonts w:ascii="仿宋" w:eastAsia="仿宋" w:hAnsi="仿宋" w:cs="仿宋"/>
          <w:color w:val="000000"/>
          <w:sz w:val="36"/>
        </w:rPr>
        <w:t xml:space="preserve">岁高龄患者，收缩压降至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&lt;140mmHg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即可，避免收缩压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&lt;110mmHg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合并特殊疾病患者：合并糖尿病、慢性肾脏病、冠心病、心力衰竭患者，血压目标为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&lt;130/80mmHg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；合并急性缺血性卒中发病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周内，收缩压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≥200mmHg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时启动降压，降至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160-180mmHg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即可，病情稳定后逐步降至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&lt;130/80mmHg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；合并脑出血患者，收缩压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≥180mmHg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时降至</w:t>
      </w:r>
      <w:r w:rsidRPr="000B5797">
        <w:rPr>
          <w:rFonts w:ascii="仿宋" w:eastAsia="仿宋" w:hAnsi="仿宋" w:cs="仿宋"/>
          <w:color w:val="000000"/>
          <w:sz w:val="36"/>
        </w:rPr>
        <w:t xml:space="preserve">130-140mmHg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，避免低于</w:t>
      </w:r>
      <w:r w:rsidRPr="000B5797">
        <w:rPr>
          <w:rFonts w:ascii="仿宋" w:eastAsia="仿宋" w:hAnsi="仿宋" w:cs="仿宋"/>
          <w:color w:val="000000"/>
          <w:sz w:val="36"/>
        </w:rPr>
        <w:t xml:space="preserve">120mmHg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4.2 </w:t>
      </w:r>
      <w:r w:rsidRPr="000B5797">
        <w:rPr>
          <w:rFonts w:ascii="仿宋" w:eastAsia="仿宋" w:hAnsi="仿宋" w:cs="仿宋"/>
          <w:color w:val="000000"/>
          <w:sz w:val="36"/>
        </w:rPr>
        <w:t xml:space="preserve">治疗策略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全人群生活方</w:t>
      </w:r>
      <w:r w:rsidRPr="000B5797">
        <w:rPr>
          <w:rFonts w:ascii="仿宋" w:eastAsia="仿宋" w:hAnsi="仿宋" w:cs="仿宋"/>
          <w:color w:val="000000"/>
          <w:sz w:val="36"/>
        </w:rPr>
        <w:t xml:space="preserve">式干预：是所有高血压患者及高危人群的基础治疗，需贯穿防治全程，无论是否启动药物治疗均需严格执行。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color w:val="000000"/>
          <w:sz w:val="36"/>
        </w:rPr>
        <w:t xml:space="preserve">启动药物治疗时机：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级高血压低危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中危患者，先进行</w:t>
      </w:r>
      <w:r w:rsidRPr="000B5797">
        <w:rPr>
          <w:rFonts w:ascii="仿宋" w:eastAsia="仿宋" w:hAnsi="仿宋" w:cs="仿宋"/>
          <w:color w:val="000000"/>
          <w:sz w:val="36"/>
        </w:rPr>
        <w:t xml:space="preserve">3-6</w:t>
      </w:r>
      <w:r w:rsidRPr="000B5797">
        <w:rPr>
          <w:rFonts w:ascii="仿宋" w:eastAsia="仿宋" w:hAnsi="仿宋" w:cs="仿宋"/>
          <w:color w:val="000000"/>
          <w:sz w:val="36"/>
        </w:rPr>
        <w:t xml:space="preserve">个月生活方式干预，血压仍未达标者启动药物治疗；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级高血压高危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很高危、</w:t>
      </w: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级及以上高血压患者，确诊后立即启动药物治疗；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正常高值血压人群若合并糖尿病、慢性肾脏病或冠心病，可启动小剂量降压药物治疗，降低事件风险。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联合治疗原则：除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级高血压低危人群外，优先推荐初始联合治疗，优选单片复方制剂，提高治疗依从性。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5 </w:t>
      </w:r>
      <w:r w:rsidRPr="000B5797">
        <w:rPr>
          <w:rFonts w:ascii="仿宋" w:eastAsia="仿宋" w:hAnsi="仿宋" w:cs="仿宋"/>
          <w:color w:val="000000"/>
          <w:sz w:val="36"/>
        </w:rPr>
        <w:t xml:space="preserve">生活方式干预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生活方式干预可使收缩压降低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4-15mmHg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，舒张压降低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2-8mmHg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，减少降压药物使用剂量，降低合并症风险，具体措施如下：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5.1 </w:t>
      </w:r>
      <w:r w:rsidRPr="000B5797">
        <w:rPr>
          <w:rFonts w:ascii="仿宋" w:eastAsia="仿宋" w:hAnsi="仿宋" w:cs="仿宋"/>
          <w:color w:val="000000"/>
          <w:sz w:val="36"/>
        </w:rPr>
        <w:t xml:space="preserve">减盐限钠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我国居民人均食盐摄入量约为</w:t>
      </w:r>
      <w:r w:rsidRPr="000B5797">
        <w:rPr>
          <w:rFonts w:ascii="仿宋" w:eastAsia="仿宋" w:hAnsi="仿宋" w:cs="仿宋"/>
          <w:color w:val="000000"/>
          <w:sz w:val="36"/>
        </w:rPr>
        <w:t xml:space="preserve">10.5g/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天，远超世界卫生组织推荐的</w:t>
      </w:r>
      <w:r w:rsidRPr="000B5797">
        <w:rPr>
          <w:rFonts w:ascii="仿宋" w:eastAsia="仿宋" w:hAnsi="仿宋" w:cs="仿宋"/>
          <w:color w:val="000000"/>
          <w:sz w:val="36"/>
        </w:rPr>
        <w:t xml:space="preserve">5g/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天标准。要求所有高血压患者食盐摄入量</w:t>
      </w:r>
      <w:r w:rsidRPr="000B5797">
        <w:rPr>
          <w:rFonts w:ascii="仿宋" w:eastAsia="仿宋" w:hAnsi="仿宋" w:cs="仿宋"/>
          <w:color w:val="000000"/>
          <w:sz w:val="36"/>
        </w:rPr>
        <w:t xml:space="preserve">≤5g/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天，减少隐性盐摄入：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烹饪时使用定量盐勺，少放酱油、蚝油、豆瓣酱等高钠调味品；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避免食用咸菜、腌制品、加工肉类、膨化食品、方便面等高盐食品；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查看食品营养标签，选择钠含量</w:t>
      </w:r>
      <w:r w:rsidRPr="000B5797">
        <w:rPr>
          <w:rFonts w:ascii="仿宋" w:eastAsia="仿宋" w:hAnsi="仿宋" w:cs="仿宋"/>
          <w:color w:val="000000"/>
          <w:sz w:val="36"/>
        </w:rPr>
        <w:t xml:space="preserve">&lt;300mg/100g</w:t>
      </w:r>
      <w:r w:rsidRPr="000B5797">
        <w:rPr>
          <w:rFonts w:ascii="仿宋" w:eastAsia="仿宋" w:hAnsi="仿宋" w:cs="仿宋"/>
          <w:color w:val="000000"/>
          <w:sz w:val="36"/>
        </w:rPr>
        <w:t xml:space="preserve">的食品，避免选购钠含量</w:t>
      </w:r>
      <w:r w:rsidRPr="000B5797">
        <w:rPr>
          <w:rFonts w:ascii="仿宋" w:eastAsia="仿宋" w:hAnsi="仿宋" w:cs="仿宋"/>
          <w:color w:val="000000"/>
          <w:sz w:val="36"/>
        </w:rPr>
        <w:t xml:space="preserve">≥600mg/100g</w:t>
      </w:r>
      <w:r w:rsidRPr="000B5797">
        <w:rPr>
          <w:rFonts w:ascii="仿宋" w:eastAsia="仿宋" w:hAnsi="仿宋" w:cs="仿宋"/>
          <w:color w:val="000000"/>
          <w:sz w:val="36"/>
        </w:rPr>
        <w:t xml:space="preserve">的高钠食品。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减盐可</w:t>
      </w:r>
      <w:r w:rsidRPr="000B5797">
        <w:rPr>
          <w:rFonts w:ascii="仿宋" w:eastAsia="仿宋" w:hAnsi="仿宋" w:cs="仿宋"/>
          <w:color w:val="000000"/>
          <w:sz w:val="36"/>
        </w:rPr>
        <w:t xml:space="preserve">使高血压患者收缩压降低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5-8mmHg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，脑卒中风险降低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16%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5.2 </w:t>
      </w:r>
      <w:r w:rsidRPr="000B5797">
        <w:rPr>
          <w:rFonts w:ascii="仿宋" w:eastAsia="仿宋" w:hAnsi="仿宋" w:cs="仿宋"/>
          <w:color w:val="000000"/>
          <w:sz w:val="36"/>
        </w:rPr>
        <w:t xml:space="preserve">合理膳食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推广</w:t>
      </w:r>
      <w:r w:rsidRPr="000B5797">
        <w:rPr>
          <w:rFonts w:ascii="仿宋" w:eastAsia="仿宋" w:hAnsi="仿宋" w:cs="仿宋"/>
          <w:color w:val="000000"/>
          <w:sz w:val="36"/>
        </w:rPr>
        <w:t xml:space="preserve">DASH</w:t>
      </w:r>
      <w:r w:rsidRPr="000B5797">
        <w:rPr>
          <w:rFonts w:ascii="仿宋" w:eastAsia="仿宋" w:hAnsi="仿宋" w:cs="仿宋"/>
          <w:color w:val="000000"/>
          <w:sz w:val="36"/>
        </w:rPr>
        <w:t xml:space="preserve">（</w:t>
      </w:r>
      <w:r w:rsidRPr="000B5797">
        <w:rPr>
          <w:rFonts w:ascii="仿宋" w:eastAsia="仿宋" w:hAnsi="仿宋" w:cs="仿宋"/>
          <w:color w:val="000000"/>
          <w:sz w:val="36"/>
        </w:rPr>
        <w:t xml:space="preserve"> Dietary Approaches to Stop Hypertension</w:t>
      </w:r>
      <w:r w:rsidRPr="000B5797">
        <w:rPr>
          <w:rFonts w:ascii="仿宋" w:eastAsia="仿宋" w:hAnsi="仿宋" w:cs="仿宋"/>
          <w:color w:val="000000"/>
          <w:sz w:val="36"/>
        </w:rPr>
        <w:t xml:space="preserve">）饮食模式：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增加全谷物、蔬菜、水果、低脂奶制品摄入，每日蔬菜</w:t>
      </w:r>
      <w:r w:rsidRPr="000B5797">
        <w:rPr>
          <w:rFonts w:ascii="仿宋" w:eastAsia="仿宋" w:hAnsi="仿宋" w:cs="仿宋"/>
          <w:color w:val="000000"/>
          <w:sz w:val="36"/>
        </w:rPr>
        <w:t xml:space="preserve">≥500g</w:t>
      </w:r>
      <w:r w:rsidRPr="000B5797">
        <w:rPr>
          <w:rFonts w:ascii="仿宋" w:eastAsia="仿宋" w:hAnsi="仿宋" w:cs="仿宋"/>
          <w:color w:val="000000"/>
          <w:sz w:val="36"/>
        </w:rPr>
        <w:t xml:space="preserve">、水果</w:t>
      </w:r>
      <w:r w:rsidRPr="000B5797">
        <w:rPr>
          <w:rFonts w:ascii="仿宋" w:eastAsia="仿宋" w:hAnsi="仿宋" w:cs="仿宋"/>
          <w:color w:val="000000"/>
          <w:sz w:val="36"/>
        </w:rPr>
        <w:t xml:space="preserve">≥200g</w:t>
      </w:r>
      <w:r w:rsidRPr="000B5797">
        <w:rPr>
          <w:rFonts w:ascii="仿宋" w:eastAsia="仿宋" w:hAnsi="仿宋" w:cs="仿宋"/>
          <w:color w:val="000000"/>
          <w:sz w:val="36"/>
        </w:rPr>
        <w:t xml:space="preserve">，优先选择深色蔬果；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减少饱和脂肪、胆固醇摄入，控制红肉摄入量，优先选择鱼类、禽类等白肉，每周食用鱼类</w:t>
      </w:r>
      <w:r w:rsidRPr="000B5797">
        <w:rPr>
          <w:rFonts w:ascii="仿宋" w:eastAsia="仿宋" w:hAnsi="仿宋" w:cs="仿宋"/>
          <w:color w:val="000000"/>
          <w:sz w:val="36"/>
        </w:rPr>
        <w:t xml:space="preserve">≥2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控制添加糖摄入，每日添加糖摄入量</w:t>
      </w:r>
      <w:r w:rsidRPr="000B5797">
        <w:rPr>
          <w:rFonts w:ascii="仿宋" w:eastAsia="仿宋" w:hAnsi="仿宋" w:cs="仿宋"/>
          <w:color w:val="000000"/>
          <w:sz w:val="36"/>
        </w:rPr>
        <w:t xml:space="preserve">&lt;25g</w:t>
      </w:r>
      <w:r w:rsidRPr="000B5797">
        <w:rPr>
          <w:rFonts w:ascii="仿宋" w:eastAsia="仿宋" w:hAnsi="仿宋" w:cs="仿宋"/>
          <w:color w:val="000000"/>
          <w:sz w:val="36"/>
        </w:rPr>
        <w:t xml:space="preserve">，避免饮用含糖饮料。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DASH</w:t>
      </w:r>
      <w:r w:rsidRPr="000B5797">
        <w:rPr>
          <w:rFonts w:ascii="仿宋" w:eastAsia="仿宋" w:hAnsi="仿宋" w:cs="仿宋"/>
          <w:color w:val="000000"/>
          <w:sz w:val="36"/>
        </w:rPr>
        <w:t xml:space="preserve">饮食可使收缩压降低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6-11mmHg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，同时改善血脂、血糖代谢。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5.3</w:t>
      </w:r>
      <w:r w:rsidRPr="000B5797">
        <w:rPr>
          <w:rFonts w:ascii="仿宋" w:eastAsia="仿宋" w:hAnsi="仿宋" w:cs="仿宋"/>
          <w:color w:val="000000"/>
          <w:sz w:val="36"/>
        </w:rPr>
        <w:t xml:space="preserve"> </w:t>
      </w:r>
      <w:r w:rsidRPr="000B5797">
        <w:rPr>
          <w:rFonts w:ascii="仿宋" w:eastAsia="仿宋" w:hAnsi="仿宋" w:cs="仿宋"/>
          <w:color w:val="000000"/>
          <w:sz w:val="36"/>
        </w:rPr>
        <w:t xml:space="preserve">控制体重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超重和肥胖是我国高血压发病率上升的首要危险因素，体重指数每增加</w:t>
      </w:r>
      <w:r w:rsidRPr="000B5797">
        <w:rPr>
          <w:rFonts w:ascii="仿宋" w:eastAsia="仿宋" w:hAnsi="仿宋" w:cs="仿宋"/>
          <w:color w:val="000000"/>
          <w:sz w:val="36"/>
        </w:rPr>
        <w:t xml:space="preserve">1kg/</w:t>
      </w:r>
      <w:r w:rsidRPr="000B5797">
        <w:rPr>
          <w:rFonts w:ascii="仿宋" w:eastAsia="仿宋" w:hAnsi="仿宋" w:cs="仿宋"/>
          <w:color w:val="000000"/>
          <w:sz w:val="36"/>
        </w:rPr>
        <w:t xml:space="preserve">㎡，高血压发病风险升高</w:t>
      </w:r>
      <w:r w:rsidRPr="000B5797">
        <w:rPr>
          <w:rFonts w:ascii="仿宋" w:eastAsia="仿宋" w:hAnsi="仿宋" w:cs="仿宋"/>
          <w:color w:val="000000"/>
          <w:sz w:val="36"/>
        </w:rPr>
        <w:t xml:space="preserve">12%</w:t>
      </w:r>
      <w:r w:rsidRPr="000B5797">
        <w:rPr>
          <w:rFonts w:ascii="仿宋" w:eastAsia="仿宋" w:hAnsi="仿宋" w:cs="仿宋"/>
          <w:color w:val="000000"/>
          <w:sz w:val="36"/>
        </w:rPr>
        <w:t xml:space="preserve">。要求所有超重肥胖患者将体重指数控制在</w:t>
      </w:r>
      <w:r w:rsidRPr="000B5797">
        <w:rPr>
          <w:rFonts w:ascii="仿宋" w:eastAsia="仿宋" w:hAnsi="仿宋" w:cs="仿宋"/>
          <w:color w:val="000000"/>
          <w:sz w:val="36"/>
        </w:rPr>
        <w:t xml:space="preserve">&lt;24kg/</w:t>
      </w:r>
      <w:r w:rsidRPr="000B5797">
        <w:rPr>
          <w:rFonts w:ascii="仿宋" w:eastAsia="仿宋" w:hAnsi="仿宋" w:cs="仿宋"/>
          <w:color w:val="000000"/>
          <w:sz w:val="36"/>
        </w:rPr>
        <w:t xml:space="preserve">㎡，男性腰围</w:t>
      </w:r>
      <w:r w:rsidRPr="000B5797">
        <w:rPr>
          <w:rFonts w:ascii="仿宋" w:eastAsia="仿宋" w:hAnsi="仿宋" w:cs="仿宋"/>
          <w:color w:val="000000"/>
          <w:sz w:val="36"/>
        </w:rPr>
        <w:t xml:space="preserve">&lt;90cm</w:t>
      </w:r>
      <w:r w:rsidRPr="000B5797">
        <w:rPr>
          <w:rFonts w:ascii="仿宋" w:eastAsia="仿宋" w:hAnsi="仿宋" w:cs="仿宋"/>
          <w:color w:val="000000"/>
          <w:sz w:val="36"/>
        </w:rPr>
        <w:t xml:space="preserve">、女性腰围</w:t>
      </w:r>
      <w:r w:rsidRPr="000B5797">
        <w:rPr>
          <w:rFonts w:ascii="仿宋" w:eastAsia="仿宋" w:hAnsi="仿宋" w:cs="仿宋"/>
          <w:color w:val="000000"/>
          <w:sz w:val="36"/>
        </w:rPr>
        <w:t xml:space="preserve">&lt;85cm</w:t>
      </w:r>
      <w:r w:rsidRPr="000B5797">
        <w:rPr>
          <w:rFonts w:ascii="仿宋" w:eastAsia="仿宋" w:hAnsi="仿宋" w:cs="仿宋"/>
          <w:color w:val="000000"/>
          <w:sz w:val="36"/>
        </w:rPr>
        <w:t xml:space="preserve">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每日总热量摄入较基线减少</w:t>
      </w:r>
      <w:r w:rsidRPr="000B5797">
        <w:rPr>
          <w:rFonts w:ascii="仿宋" w:eastAsia="仿宋" w:hAnsi="仿宋" w:cs="仿宋"/>
          <w:color w:val="000000"/>
          <w:sz w:val="36"/>
        </w:rPr>
        <w:t xml:space="preserve">300-500kcal</w:t>
      </w:r>
      <w:r w:rsidRPr="000B5797">
        <w:rPr>
          <w:rFonts w:ascii="仿宋" w:eastAsia="仿宋" w:hAnsi="仿宋" w:cs="仿宋"/>
          <w:color w:val="000000"/>
          <w:sz w:val="36"/>
        </w:rPr>
        <w:t xml:space="preserve">，避免高油、高糖、高热量食物；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每周中等强度有氧运动</w:t>
      </w:r>
      <w:r w:rsidRPr="000B5797">
        <w:rPr>
          <w:rFonts w:ascii="仿宋" w:eastAsia="仿宋" w:hAnsi="仿宋" w:cs="仿宋"/>
          <w:color w:val="000000"/>
          <w:sz w:val="36"/>
        </w:rPr>
        <w:t xml:space="preserve">≥150</w:t>
      </w:r>
      <w:r w:rsidRPr="000B5797">
        <w:rPr>
          <w:rFonts w:ascii="仿宋" w:eastAsia="仿宋" w:hAnsi="仿宋" w:cs="仿宋"/>
          <w:color w:val="000000"/>
          <w:sz w:val="36"/>
        </w:rPr>
        <w:t xml:space="preserve">分钟，每次</w:t>
      </w:r>
      <w:r w:rsidRPr="000B5797">
        <w:rPr>
          <w:rFonts w:ascii="仿宋" w:eastAsia="仿宋" w:hAnsi="仿宋" w:cs="仿宋"/>
          <w:color w:val="000000"/>
          <w:sz w:val="36"/>
        </w:rPr>
        <w:t xml:space="preserve">30</w:t>
      </w:r>
      <w:r w:rsidRPr="000B5797">
        <w:rPr>
          <w:rFonts w:ascii="仿宋" w:eastAsia="仿宋" w:hAnsi="仿宋" w:cs="仿宋"/>
          <w:color w:val="000000"/>
          <w:sz w:val="36"/>
        </w:rPr>
        <w:t xml:space="preserve">分钟以上，配合每周</w:t>
      </w:r>
      <w:r w:rsidRPr="000B5797">
        <w:rPr>
          <w:rFonts w:ascii="仿宋" w:eastAsia="仿宋" w:hAnsi="仿宋" w:cs="仿宋"/>
          <w:color w:val="000000"/>
          <w:sz w:val="36"/>
        </w:rPr>
        <w:t xml:space="preserve">2-3</w:t>
      </w:r>
      <w:r w:rsidRPr="000B5797">
        <w:rPr>
          <w:rFonts w:ascii="仿宋" w:eastAsia="仿宋" w:hAnsi="仿宋" w:cs="仿宋"/>
          <w:color w:val="000000"/>
          <w:sz w:val="36"/>
        </w:rPr>
        <w:t xml:space="preserve">次抗阻力量训练；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减重速度以每月</w:t>
      </w:r>
      <w:r w:rsidRPr="000B5797">
        <w:rPr>
          <w:rFonts w:ascii="仿宋" w:eastAsia="仿宋" w:hAnsi="仿宋" w:cs="仿宋"/>
          <w:color w:val="000000"/>
          <w:sz w:val="36"/>
        </w:rPr>
        <w:t xml:space="preserve">0.5-1.0kg</w:t>
      </w:r>
      <w:r w:rsidRPr="000B5797">
        <w:rPr>
          <w:rFonts w:ascii="仿宋" w:eastAsia="仿宋" w:hAnsi="仿宋" w:cs="仿宋"/>
          <w:color w:val="000000"/>
          <w:sz w:val="36"/>
        </w:rPr>
        <w:t xml:space="preserve">为宜，减重</w:t>
      </w:r>
      <w:r w:rsidRPr="000B5797">
        <w:rPr>
          <w:rFonts w:ascii="仿宋" w:eastAsia="仿宋" w:hAnsi="仿宋" w:cs="仿宋"/>
          <w:color w:val="000000"/>
          <w:sz w:val="36"/>
        </w:rPr>
        <w:t xml:space="preserve">10kg</w:t>
      </w:r>
      <w:r w:rsidRPr="000B5797">
        <w:rPr>
          <w:rFonts w:ascii="仿宋" w:eastAsia="仿宋" w:hAnsi="仿宋" w:cs="仿宋"/>
          <w:color w:val="000000"/>
          <w:sz w:val="36"/>
        </w:rPr>
        <w:t xml:space="preserve">可使收缩压降低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5-20mmHg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5.4 </w:t>
      </w:r>
      <w:r w:rsidRPr="000B5797">
        <w:rPr>
          <w:rFonts w:ascii="仿宋" w:eastAsia="仿宋" w:hAnsi="仿宋" w:cs="仿宋"/>
          <w:color w:val="000000"/>
          <w:sz w:val="36"/>
        </w:rPr>
        <w:t xml:space="preserve">戒烟限酒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吸烟及被动吸烟均显著升高血压、增加心血管事件风险，所有患者需完全戒烟，避免接触二手烟，必要时采用尼古丁替代疗法或戒烟药物辅助戒烟；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过量饮酒升高血压且降低降压药物疗效，建议高血压患者不饮酒，若饮酒需严格控制量：男性乙醇摄入量</w:t>
      </w:r>
      <w:r w:rsidRPr="000B5797">
        <w:rPr>
          <w:rFonts w:ascii="仿宋" w:eastAsia="仿宋" w:hAnsi="仿宋" w:cs="仿宋"/>
          <w:color w:val="000000"/>
          <w:sz w:val="36"/>
        </w:rPr>
        <w:t xml:space="preserve">&lt;25g/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天（相当于白酒</w:t>
      </w:r>
      <w:r w:rsidRPr="000B5797">
        <w:rPr>
          <w:rFonts w:ascii="仿宋" w:eastAsia="仿宋" w:hAnsi="仿宋" w:cs="仿宋"/>
          <w:color w:val="000000"/>
          <w:sz w:val="36"/>
        </w:rPr>
        <w:t xml:space="preserve">&lt;50ml</w:t>
      </w:r>
      <w:r w:rsidRPr="000B5797">
        <w:rPr>
          <w:rFonts w:ascii="仿宋" w:eastAsia="仿宋" w:hAnsi="仿宋" w:cs="仿宋"/>
          <w:color w:val="000000"/>
          <w:sz w:val="36"/>
        </w:rPr>
        <w:t xml:space="preserve">、葡萄酒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&lt;150ml</w:t>
      </w:r>
      <w:r w:rsidRPr="000B5797">
        <w:rPr>
          <w:rFonts w:ascii="仿宋" w:eastAsia="仿宋" w:hAnsi="仿宋" w:cs="仿宋"/>
          <w:color w:val="000000"/>
          <w:sz w:val="36"/>
        </w:rPr>
        <w:t xml:space="preserve">、啤酒</w:t>
      </w:r>
      <w:r w:rsidRPr="000B5797">
        <w:rPr>
          <w:rFonts w:ascii="仿宋" w:eastAsia="仿宋" w:hAnsi="仿宋" w:cs="仿宋"/>
          <w:color w:val="000000"/>
          <w:sz w:val="36"/>
        </w:rPr>
        <w:t xml:space="preserve">&lt;500ml</w:t>
      </w:r>
      <w:r w:rsidRPr="000B5797">
        <w:rPr>
          <w:rFonts w:ascii="仿宋" w:eastAsia="仿宋" w:hAnsi="仿宋" w:cs="仿宋"/>
          <w:color w:val="000000"/>
          <w:sz w:val="36"/>
        </w:rPr>
        <w:t xml:space="preserve">），女性</w:t>
      </w:r>
      <w:r w:rsidRPr="000B5797">
        <w:rPr>
          <w:rFonts w:ascii="仿宋" w:eastAsia="仿宋" w:hAnsi="仿宋" w:cs="仿宋"/>
          <w:color w:val="000000"/>
          <w:sz w:val="36"/>
        </w:rPr>
        <w:t xml:space="preserve">&lt;15g/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天，饮酒量与血压升高呈线性相关，限酒可使收缩压降低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2-4mmHg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5.5 </w:t>
      </w:r>
      <w:r w:rsidRPr="000B5797">
        <w:rPr>
          <w:rFonts w:ascii="仿宋" w:eastAsia="仿宋" w:hAnsi="仿宋" w:cs="仿宋"/>
          <w:color w:val="000000"/>
          <w:sz w:val="36"/>
        </w:rPr>
        <w:t xml:space="preserve">心理平衡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长期精神紧张、焦虑、抑郁可使高血压发病风险升高</w:t>
      </w:r>
      <w:r w:rsidRPr="000B5797">
        <w:rPr>
          <w:rFonts w:ascii="仿宋" w:eastAsia="仿宋" w:hAnsi="仿宋" w:cs="仿宋"/>
          <w:color w:val="000000"/>
          <w:sz w:val="36"/>
        </w:rPr>
        <w:t xml:space="preserve">40%</w:t>
      </w:r>
      <w:r w:rsidRPr="000B5797">
        <w:rPr>
          <w:rFonts w:ascii="仿宋" w:eastAsia="仿宋" w:hAnsi="仿宋" w:cs="仿宋"/>
          <w:color w:val="000000"/>
          <w:sz w:val="36"/>
        </w:rPr>
        <w:t xml:space="preserve">，鼓励患者保持积极乐观的心态，避免长期熬夜、过度劳累，保证每</w:t>
      </w:r>
      <w:r w:rsidRPr="000B5797">
        <w:rPr>
          <w:rFonts w:ascii="仿宋" w:eastAsia="仿宋" w:hAnsi="仿宋" w:cs="仿宋"/>
          <w:color w:val="000000"/>
          <w:sz w:val="36"/>
        </w:rPr>
        <w:t xml:space="preserve">日</w:t>
      </w:r>
      <w:r w:rsidRPr="000B5797">
        <w:rPr>
          <w:rFonts w:ascii="仿宋" w:eastAsia="仿宋" w:hAnsi="仿宋" w:cs="仿宋"/>
          <w:color w:val="000000"/>
          <w:sz w:val="36"/>
        </w:rPr>
        <w:t xml:space="preserve">7-8</w:t>
      </w:r>
      <w:r w:rsidRPr="000B5797">
        <w:rPr>
          <w:rFonts w:ascii="仿宋" w:eastAsia="仿宋" w:hAnsi="仿宋" w:cs="仿宋"/>
          <w:color w:val="000000"/>
          <w:sz w:val="36"/>
        </w:rPr>
        <w:t xml:space="preserve">小时睡眠；合并睡眠呼吸暂停综合征的患者，夜间佩戴无创呼吸机可使收缩压降低</w:t>
      </w:r>
      <w:r w:rsidRPr="000B5797">
        <w:rPr>
          <w:rFonts w:ascii="仿宋" w:eastAsia="仿宋" w:hAnsi="仿宋" w:cs="仿宋"/>
          <w:color w:val="000000"/>
          <w:sz w:val="36"/>
        </w:rPr>
        <w:t xml:space="preserve">5-10mmHg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，是治疗的重要组成部分。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 </w:t>
      </w:r>
      <w:r w:rsidRPr="000B5797">
        <w:rPr>
          <w:rFonts w:ascii="仿宋" w:eastAsia="仿宋" w:hAnsi="仿宋" w:cs="仿宋"/>
          <w:color w:val="000000"/>
          <w:sz w:val="36"/>
        </w:rPr>
        <w:t xml:space="preserve">降压药物治疗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6.1 </w:t>
      </w:r>
      <w:r w:rsidRPr="000B5797">
        <w:rPr>
          <w:rFonts w:ascii="仿宋" w:eastAsia="仿宋" w:hAnsi="仿宋" w:cs="仿宋"/>
          <w:color w:val="000000"/>
          <w:sz w:val="36"/>
        </w:rPr>
        <w:t xml:space="preserve">药物治疗原则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小剂量起始：初始治疗采用常规剂量的</w:t>
      </w:r>
      <w:r w:rsidRPr="000B5797">
        <w:rPr>
          <w:rFonts w:ascii="仿宋" w:eastAsia="仿宋" w:hAnsi="仿宋" w:cs="仿宋"/>
          <w:color w:val="000000"/>
          <w:sz w:val="36"/>
        </w:rPr>
        <w:t xml:space="preserve">1/2-2/3</w:t>
      </w:r>
      <w:r w:rsidRPr="000B5797">
        <w:rPr>
          <w:rFonts w:ascii="仿宋" w:eastAsia="仿宋" w:hAnsi="仿宋" w:cs="仿宋"/>
          <w:color w:val="000000"/>
          <w:sz w:val="36"/>
        </w:rPr>
        <w:t xml:space="preserve">，尤其是老年、体弱患者，避免低血压不良反应；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优先选择长效药物：优先选用半衰期</w:t>
      </w:r>
      <w:r w:rsidRPr="000B5797">
        <w:rPr>
          <w:rFonts w:ascii="仿宋" w:eastAsia="仿宋" w:hAnsi="仿宋" w:cs="仿宋"/>
          <w:color w:val="000000"/>
          <w:sz w:val="36"/>
        </w:rPr>
        <w:t xml:space="preserve">≥24</w:t>
      </w:r>
      <w:r w:rsidRPr="000B5797">
        <w:rPr>
          <w:rFonts w:ascii="仿宋" w:eastAsia="仿宋" w:hAnsi="仿宋" w:cs="仿宋"/>
          <w:color w:val="000000"/>
          <w:sz w:val="36"/>
        </w:rPr>
        <w:t xml:space="preserve">小时、每日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次给药即可平稳控制</w:t>
      </w:r>
      <w:r w:rsidRPr="000B5797">
        <w:rPr>
          <w:rFonts w:ascii="仿宋" w:eastAsia="仿宋" w:hAnsi="仿宋" w:cs="仿宋"/>
          <w:color w:val="000000"/>
          <w:sz w:val="36"/>
        </w:rPr>
        <w:t xml:space="preserve">24</w:t>
      </w:r>
      <w:r w:rsidRPr="000B5797">
        <w:rPr>
          <w:rFonts w:ascii="仿宋" w:eastAsia="仿宋" w:hAnsi="仿宋" w:cs="仿宋"/>
          <w:color w:val="000000"/>
          <w:sz w:val="36"/>
        </w:rPr>
        <w:t xml:space="preserve">小时血压的药物，减少血压波动，降低心脑血管事件风险，提高治疗依从性；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联合治疗：</w:t>
      </w: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级及以上高血压患者、单药治疗未达标患者，优先采用两种或两种以上不同作用机制的降压药物联合，推荐单片复方制剂作为首选，避免多药服用的漏服问题；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个体化治疗：根据患者合并症、药物耐受性、经济承受能力选择适宜药物。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6.2 </w:t>
      </w:r>
      <w:r w:rsidRPr="000B5797">
        <w:rPr>
          <w:rFonts w:ascii="仿宋" w:eastAsia="仿宋" w:hAnsi="仿宋" w:cs="仿宋"/>
          <w:color w:val="000000"/>
          <w:sz w:val="36"/>
        </w:rPr>
        <w:t xml:space="preserve">常用降压药物分类及适应证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指南推荐</w:t>
      </w:r>
      <w:r w:rsidRPr="000B5797">
        <w:rPr>
          <w:rFonts w:ascii="仿宋" w:eastAsia="仿宋" w:hAnsi="仿宋" w:cs="仿宋"/>
          <w:color w:val="000000"/>
          <w:sz w:val="36"/>
        </w:rPr>
        <w:t xml:space="preserve">5</w:t>
      </w:r>
      <w:r w:rsidRPr="000B5797">
        <w:rPr>
          <w:rFonts w:ascii="仿宋" w:eastAsia="仿宋" w:hAnsi="仿宋" w:cs="仿宋"/>
          <w:color w:val="000000"/>
          <w:sz w:val="36"/>
        </w:rPr>
        <w:t xml:space="preserve">大类一线降压药物，均可作为初始治疗选择，优先根据合并症选择：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6.2.1 </w:t>
      </w:r>
      <w:r w:rsidRPr="000B5797">
        <w:rPr>
          <w:rFonts w:ascii="仿宋" w:eastAsia="仿宋" w:hAnsi="仿宋" w:cs="仿宋"/>
          <w:color w:val="000000"/>
          <w:sz w:val="36"/>
        </w:rPr>
        <w:t xml:space="preserve">钙通道阻滞剂（</w:t>
      </w:r>
      <w:r w:rsidRPr="000B5797">
        <w:rPr>
          <w:rFonts w:ascii="仿宋" w:eastAsia="仿宋" w:hAnsi="仿宋" w:cs="仿宋"/>
          <w:color w:val="000000"/>
          <w:sz w:val="36"/>
        </w:rPr>
        <w:t xml:space="preserve">CCB</w:t>
      </w:r>
      <w:r w:rsidRPr="000B5797">
        <w:rPr>
          <w:rFonts w:ascii="仿宋" w:eastAsia="仿宋" w:hAnsi="仿宋" w:cs="仿宋"/>
          <w:color w:val="000000"/>
          <w:sz w:val="36"/>
        </w:rPr>
        <w:t xml:space="preserve">）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代表药物：氨氯地平、硝苯地平控释片、非洛地平缓释片、左旋氨氯地平。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作用特点：降压疗效强，无绝对禁忌证，对血糖、血脂无不良影响，适合老年高血压、单纯</w:t>
      </w:r>
      <w:r w:rsidRPr="000B5797">
        <w:rPr>
          <w:rFonts w:ascii="仿宋" w:eastAsia="仿宋" w:hAnsi="仿宋" w:cs="仿宋"/>
          <w:color w:val="000000"/>
          <w:sz w:val="36"/>
        </w:rPr>
        <w:t xml:space="preserve">收缩期高血压、合并外周血管病、冠心病、脑卒中患者。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不良反应：常见下肢水肿、面部潮红、头痛、心率加快，少见牙龈增生。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注意事项：避免使用硝苯地平普通片作为长期降压药物，防止血压骤降诱发心脑血管事件。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6.2.2 </w:t>
      </w:r>
      <w:r w:rsidRPr="000B5797">
        <w:rPr>
          <w:rFonts w:ascii="仿宋" w:eastAsia="仿宋" w:hAnsi="仿宋" w:cs="仿宋"/>
          <w:color w:val="000000"/>
          <w:sz w:val="36"/>
        </w:rPr>
        <w:t xml:space="preserve">血管紧张素转换酶抑制剂（</w:t>
      </w:r>
      <w:r w:rsidRPr="000B5797">
        <w:rPr>
          <w:rFonts w:ascii="仿宋" w:eastAsia="仿宋" w:hAnsi="仿宋" w:cs="仿宋"/>
          <w:color w:val="000000"/>
          <w:sz w:val="36"/>
        </w:rPr>
        <w:t xml:space="preserve">ACEI</w:t>
      </w:r>
      <w:r w:rsidRPr="000B5797">
        <w:rPr>
          <w:rFonts w:ascii="仿宋" w:eastAsia="仿宋" w:hAnsi="仿宋" w:cs="仿宋"/>
          <w:color w:val="000000"/>
          <w:sz w:val="36"/>
        </w:rPr>
        <w:t xml:space="preserve">）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代表药物：依那普利、贝那普利、培哚普利、雷米普利。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作用特点：具有明确的心脏、肾脏保护作用，可改善心室重构，减少尿蛋白，适合合并冠心病、心力衰竭、糖尿病肾病、慢性肾脏病（</w:t>
      </w:r>
      <w:r w:rsidRPr="000B5797">
        <w:rPr>
          <w:rFonts w:ascii="仿宋" w:eastAsia="仿宋" w:hAnsi="仿宋" w:cs="仿宋"/>
          <w:color w:val="000000"/>
          <w:sz w:val="36"/>
        </w:rPr>
        <w:t xml:space="preserve">eGFR≥30ml·min⁻¹·1.73m⁻²</w:t>
      </w:r>
      <w:r w:rsidRPr="000B5797">
        <w:rPr>
          <w:rFonts w:ascii="仿宋" w:eastAsia="仿宋" w:hAnsi="仿宋" w:cs="仿宋"/>
          <w:color w:val="000000"/>
          <w:sz w:val="36"/>
        </w:rPr>
        <w:t xml:space="preserve">）、蛋白尿患者。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不良反应：最常见持续性干咳，发</w:t>
      </w:r>
      <w:r w:rsidRPr="000B5797">
        <w:rPr>
          <w:rFonts w:ascii="仿宋" w:eastAsia="仿宋" w:hAnsi="仿宋" w:cs="仿宋"/>
          <w:color w:val="000000"/>
          <w:sz w:val="36"/>
        </w:rPr>
        <w:t xml:space="preserve">生率约</w:t>
      </w:r>
      <w:r w:rsidRPr="000B5797">
        <w:rPr>
          <w:rFonts w:ascii="仿宋" w:eastAsia="仿宋" w:hAnsi="仿宋" w:cs="仿宋"/>
          <w:color w:val="000000"/>
          <w:sz w:val="36"/>
        </w:rPr>
        <w:t xml:space="preserve">10%-20%</w:t>
      </w:r>
      <w:r w:rsidRPr="000B5797">
        <w:rPr>
          <w:rFonts w:ascii="仿宋" w:eastAsia="仿宋" w:hAnsi="仿宋" w:cs="仿宋"/>
          <w:color w:val="000000"/>
          <w:sz w:val="36"/>
        </w:rPr>
        <w:t xml:space="preserve">，少见血管神经性水肿、血钾升高。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禁忌证：妊娠、双侧肾动脉狭窄、高钾血症（血钾</w:t>
      </w:r>
      <w:r w:rsidRPr="000B5797">
        <w:rPr>
          <w:rFonts w:ascii="仿宋" w:eastAsia="仿宋" w:hAnsi="仿宋" w:cs="仿宋"/>
          <w:color w:val="000000"/>
          <w:sz w:val="36"/>
        </w:rPr>
        <w:t xml:space="preserve">&gt;5.5mmol/L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）、血管神经性水肿病史。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6.2.3 </w:t>
      </w:r>
      <w:r w:rsidRPr="000B5797">
        <w:rPr>
          <w:rFonts w:ascii="仿宋" w:eastAsia="仿宋" w:hAnsi="仿宋" w:cs="仿宋"/>
          <w:color w:val="000000"/>
          <w:sz w:val="36"/>
        </w:rPr>
        <w:t xml:space="preserve">血管紧张素</w:t>
      </w:r>
      <w:r w:rsidRPr="000B5797">
        <w:rPr>
          <w:rFonts w:ascii="仿宋" w:eastAsia="仿宋" w:hAnsi="仿宋" w:cs="仿宋"/>
          <w:color w:val="000000"/>
          <w:sz w:val="36"/>
        </w:rPr>
        <w:t xml:space="preserve">Ⅱ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受体拮抗剂（</w:t>
      </w:r>
      <w:r w:rsidRPr="000B5797">
        <w:rPr>
          <w:rFonts w:ascii="仿宋" w:eastAsia="仿宋" w:hAnsi="仿宋" w:cs="仿宋"/>
          <w:color w:val="000000"/>
          <w:sz w:val="36"/>
        </w:rPr>
        <w:t xml:space="preserve">ARB</w:t>
      </w:r>
      <w:r w:rsidRPr="000B5797">
        <w:rPr>
          <w:rFonts w:ascii="仿宋" w:eastAsia="仿宋" w:hAnsi="仿宋" w:cs="仿宋"/>
          <w:color w:val="000000"/>
          <w:sz w:val="36"/>
        </w:rPr>
        <w:t xml:space="preserve">）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代表药物：缬沙坦、氯沙坦、厄贝沙坦、替米沙坦、奥美沙坦。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作用特点：与</w:t>
      </w:r>
      <w:r w:rsidRPr="000B5797">
        <w:rPr>
          <w:rFonts w:ascii="仿宋" w:eastAsia="仿宋" w:hAnsi="仿宋" w:cs="仿宋"/>
          <w:color w:val="000000"/>
          <w:sz w:val="36"/>
        </w:rPr>
        <w:t xml:space="preserve">ACEI</w:t>
      </w:r>
      <w:r w:rsidRPr="000B5797">
        <w:rPr>
          <w:rFonts w:ascii="仿宋" w:eastAsia="仿宋" w:hAnsi="仿宋" w:cs="仿宋"/>
          <w:color w:val="000000"/>
          <w:sz w:val="36"/>
        </w:rPr>
        <w:t xml:space="preserve">疗效相当，但干咳不良反应发生率极低，患者耐受性更好，适合不能耐受</w:t>
      </w:r>
      <w:r w:rsidRPr="000B5797">
        <w:rPr>
          <w:rFonts w:ascii="仿宋" w:eastAsia="仿宋" w:hAnsi="仿宋" w:cs="仿宋"/>
          <w:color w:val="000000"/>
          <w:sz w:val="36"/>
        </w:rPr>
        <w:t xml:space="preserve">ACEI</w:t>
      </w:r>
      <w:r w:rsidRPr="000B5797">
        <w:rPr>
          <w:rFonts w:ascii="仿宋" w:eastAsia="仿宋" w:hAnsi="仿宋" w:cs="仿宋"/>
          <w:color w:val="000000"/>
          <w:sz w:val="36"/>
        </w:rPr>
        <w:t xml:space="preserve">的患者，同样具有心肾保护作用，其中氯沙坦兼具降尿酸作用，适合合并高尿酸血症患者。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不良反应：少见头晕、血钾升高，安全性良好。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禁忌证：同</w:t>
      </w:r>
      <w:r w:rsidRPr="000B5797">
        <w:rPr>
          <w:rFonts w:ascii="仿宋" w:eastAsia="仿宋" w:hAnsi="仿宋" w:cs="仿宋"/>
          <w:color w:val="000000"/>
          <w:sz w:val="36"/>
        </w:rPr>
        <w:t xml:space="preserve">ACEI</w:t>
      </w:r>
      <w:r w:rsidRPr="000B5797">
        <w:rPr>
          <w:rFonts w:ascii="仿宋" w:eastAsia="仿宋" w:hAnsi="仿宋" w:cs="仿宋"/>
          <w:color w:val="000000"/>
          <w:sz w:val="36"/>
        </w:rPr>
        <w:t xml:space="preserve">，不推荐</w:t>
      </w:r>
      <w:r w:rsidRPr="000B5797">
        <w:rPr>
          <w:rFonts w:ascii="仿宋" w:eastAsia="仿宋" w:hAnsi="仿宋" w:cs="仿宋"/>
          <w:color w:val="000000"/>
          <w:sz w:val="36"/>
        </w:rPr>
        <w:t xml:space="preserve">ACEI</w:t>
      </w:r>
      <w:r w:rsidRPr="000B5797">
        <w:rPr>
          <w:rFonts w:ascii="仿宋" w:eastAsia="仿宋" w:hAnsi="仿宋" w:cs="仿宋"/>
          <w:color w:val="000000"/>
          <w:sz w:val="36"/>
        </w:rPr>
        <w:t xml:space="preserve">与</w:t>
      </w:r>
      <w:r w:rsidRPr="000B5797">
        <w:rPr>
          <w:rFonts w:ascii="仿宋" w:eastAsia="仿宋" w:hAnsi="仿宋" w:cs="仿宋"/>
          <w:color w:val="000000"/>
          <w:sz w:val="36"/>
        </w:rPr>
        <w:t xml:space="preserve">ARB</w:t>
      </w:r>
      <w:r w:rsidRPr="000B5797">
        <w:rPr>
          <w:rFonts w:ascii="仿宋" w:eastAsia="仿宋" w:hAnsi="仿宋" w:cs="仿宋"/>
          <w:color w:val="000000"/>
          <w:sz w:val="36"/>
        </w:rPr>
        <w:t xml:space="preserve">联合</w:t>
      </w:r>
      <w:r w:rsidRPr="000B5797">
        <w:rPr>
          <w:rFonts w:ascii="仿宋" w:eastAsia="仿宋" w:hAnsi="仿宋" w:cs="仿宋"/>
          <w:color w:val="000000"/>
          <w:sz w:val="36"/>
        </w:rPr>
        <w:t xml:space="preserve">使用，增加不良反应风险。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6.2.4 </w:t>
      </w:r>
      <w:r w:rsidRPr="000B5797">
        <w:rPr>
          <w:rFonts w:ascii="仿宋" w:eastAsia="仿宋" w:hAnsi="仿宋" w:cs="仿宋"/>
          <w:color w:val="000000"/>
          <w:sz w:val="36"/>
        </w:rPr>
        <w:t xml:space="preserve">噻嗪类利尿剂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代表药物：氢氯噻嗪、吲达帕胺缓释片。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作用特点：降压作用平缓，价格低廉，适合老年高血压、心力衰竭、难治性高血压患者，与</w:t>
      </w:r>
      <w:r w:rsidRPr="000B5797">
        <w:rPr>
          <w:rFonts w:ascii="仿宋" w:eastAsia="仿宋" w:hAnsi="仿宋" w:cs="仿宋"/>
          <w:color w:val="000000"/>
          <w:sz w:val="36"/>
        </w:rPr>
        <w:t xml:space="preserve">ACEI/ARB</w:t>
      </w:r>
      <w:r w:rsidRPr="000B5797">
        <w:rPr>
          <w:rFonts w:ascii="仿宋" w:eastAsia="仿宋" w:hAnsi="仿宋" w:cs="仿宋"/>
          <w:color w:val="000000"/>
          <w:sz w:val="36"/>
        </w:rPr>
        <w:t xml:space="preserve">联合可增强降压疗效，抵消血钾升高不良反应。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不良反应：长期大剂量使用可能导致低血钾、血尿酸升高、血糖代谢异常，推荐采用小剂量（氢氯噻嗪</w:t>
      </w:r>
      <w:r w:rsidRPr="000B5797">
        <w:rPr>
          <w:rFonts w:ascii="仿宋" w:eastAsia="仿宋" w:hAnsi="仿宋" w:cs="仿宋"/>
          <w:color w:val="000000"/>
          <w:sz w:val="36"/>
        </w:rPr>
        <w:t xml:space="preserve">12.5mg/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天、吲达帕胺</w:t>
      </w:r>
      <w:r w:rsidRPr="000B5797">
        <w:rPr>
          <w:rFonts w:ascii="仿宋" w:eastAsia="仿宋" w:hAnsi="仿宋" w:cs="仿宋"/>
          <w:color w:val="000000"/>
          <w:sz w:val="36"/>
        </w:rPr>
        <w:t xml:space="preserve">1.5mg/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天）联合用药。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禁忌证：痛风急性发作期禁用，严重肾功能不全（</w:t>
      </w:r>
      <w:r w:rsidRPr="000B5797">
        <w:rPr>
          <w:rFonts w:ascii="仿宋" w:eastAsia="仿宋" w:hAnsi="仿宋" w:cs="仿宋"/>
          <w:color w:val="000000"/>
          <w:sz w:val="36"/>
        </w:rPr>
        <w:t xml:space="preserve">eGFR&lt;30ml·min⁻¹·1.73m⁻²</w:t>
      </w:r>
      <w:r w:rsidRPr="000B5797">
        <w:rPr>
          <w:rFonts w:ascii="仿宋" w:eastAsia="仿宋" w:hAnsi="仿宋" w:cs="仿宋"/>
          <w:color w:val="000000"/>
          <w:sz w:val="36"/>
        </w:rPr>
        <w:t xml:space="preserve">）需选用袢利尿剂（呋塞米、托拉塞米）。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6.2.</w:t>
      </w:r>
      <w:r w:rsidRPr="000B5797">
        <w:rPr>
          <w:rFonts w:ascii="仿宋" w:eastAsia="仿宋" w:hAnsi="仿宋" w:cs="仿宋"/>
          <w:color w:val="000000"/>
          <w:sz w:val="36"/>
        </w:rPr>
        <w:t xml:space="preserve">5 β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代表药物：美托洛尔缓释片、比索洛尔、阿罗洛尔、卡维地洛。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作用特点：优先选择高选择性</w:t>
      </w:r>
      <w:r w:rsidRPr="000B5797">
        <w:rPr>
          <w:rFonts w:ascii="仿宋" w:eastAsia="仿宋" w:hAnsi="仿宋" w:cs="仿宋"/>
          <w:color w:val="000000"/>
          <w:sz w:val="36"/>
        </w:rPr>
        <w:t xml:space="preserve">β1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受体阻滞剂或兼具</w:t>
      </w:r>
      <w:r w:rsidRPr="000B5797">
        <w:rPr>
          <w:rFonts w:ascii="仿宋" w:eastAsia="仿宋" w:hAnsi="仿宋" w:cs="仿宋"/>
          <w:color w:val="000000"/>
          <w:sz w:val="36"/>
        </w:rPr>
        <w:t xml:space="preserve">α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受体阻滞作用的</w:t>
      </w:r>
      <w:r w:rsidRPr="000B5797">
        <w:rPr>
          <w:rFonts w:ascii="仿宋" w:eastAsia="仿宋" w:hAnsi="仿宋" w:cs="仿宋"/>
          <w:color w:val="000000"/>
          <w:sz w:val="36"/>
        </w:rPr>
        <w:t xml:space="preserve">β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受体阻滞剂，可减慢心率、降低心肌耗氧量，适合合并冠心病、心力衰竭、快速性心律失常、交感神经活性增高（心率</w:t>
      </w:r>
      <w:r w:rsidRPr="000B5797">
        <w:rPr>
          <w:rFonts w:ascii="仿宋" w:eastAsia="仿宋" w:hAnsi="仿宋" w:cs="仿宋"/>
          <w:color w:val="000000"/>
          <w:sz w:val="36"/>
        </w:rPr>
        <w:t xml:space="preserve">≥80</w:t>
      </w:r>
      <w:r w:rsidRPr="000B5797">
        <w:rPr>
          <w:rFonts w:ascii="仿宋" w:eastAsia="仿宋" w:hAnsi="仿宋" w:cs="仿宋"/>
          <w:color w:val="000000"/>
          <w:sz w:val="36"/>
        </w:rPr>
        <w:t xml:space="preserve">次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分）的中青年患者。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不良反应：常见乏力、心动过缓，长期使用可能影响血糖代谢，非选择性</w:t>
      </w:r>
      <w:r w:rsidRPr="000B5797">
        <w:rPr>
          <w:rFonts w:ascii="仿宋" w:eastAsia="仿宋" w:hAnsi="仿宋" w:cs="仿宋"/>
          <w:color w:val="000000"/>
          <w:sz w:val="36"/>
        </w:rPr>
        <w:t xml:space="preserve">β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受体阻滞剂禁用于支气管哮喘患者。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注意事项：老年单纯收缩期高血压患者不推荐作为初始首选药物，除非合并冠心病、心力衰竭等适应证。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6.3 </w:t>
      </w:r>
      <w:r w:rsidRPr="000B5797">
        <w:rPr>
          <w:rFonts w:ascii="仿宋" w:eastAsia="仿宋" w:hAnsi="仿宋" w:cs="仿宋"/>
          <w:color w:val="000000"/>
          <w:sz w:val="36"/>
        </w:rPr>
        <w:t xml:space="preserve">联合治疗方案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6.3.1 </w:t>
      </w:r>
      <w:r w:rsidRPr="000B5797">
        <w:rPr>
          <w:rFonts w:ascii="仿宋" w:eastAsia="仿宋" w:hAnsi="仿宋" w:cs="仿宋"/>
          <w:color w:val="000000"/>
          <w:sz w:val="36"/>
        </w:rPr>
        <w:t xml:space="preserve">优先推荐的联合方案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ACEI/ARB + CCB</w:t>
      </w:r>
      <w:r w:rsidRPr="000B5797">
        <w:rPr>
          <w:rFonts w:ascii="仿宋" w:eastAsia="仿宋" w:hAnsi="仿宋" w:cs="仿宋"/>
          <w:color w:val="000000"/>
          <w:sz w:val="36"/>
        </w:rPr>
        <w:t xml:space="preserve">：两者联用协同增强降压疗效，</w:t>
      </w:r>
      <w:r w:rsidRPr="000B5797">
        <w:rPr>
          <w:rFonts w:ascii="仿宋" w:eastAsia="仿宋" w:hAnsi="仿宋" w:cs="仿宋"/>
          <w:color w:val="000000"/>
          <w:sz w:val="36"/>
        </w:rPr>
        <w:t xml:space="preserve">CCB</w:t>
      </w:r>
      <w:r w:rsidRPr="000B5797">
        <w:rPr>
          <w:rFonts w:ascii="仿宋" w:eastAsia="仿宋" w:hAnsi="仿宋" w:cs="仿宋"/>
          <w:color w:val="000000"/>
          <w:sz w:val="36"/>
        </w:rPr>
        <w:t xml:space="preserve">引起的下肢水肿可被</w:t>
      </w:r>
      <w:r w:rsidRPr="000B5797">
        <w:rPr>
          <w:rFonts w:ascii="仿宋" w:eastAsia="仿宋" w:hAnsi="仿宋" w:cs="仿宋"/>
          <w:color w:val="000000"/>
          <w:sz w:val="36"/>
        </w:rPr>
        <w:t xml:space="preserve">ACEI/ARB</w:t>
      </w:r>
      <w:r w:rsidRPr="000B5797">
        <w:rPr>
          <w:rFonts w:ascii="仿宋" w:eastAsia="仿宋" w:hAnsi="仿宋" w:cs="仿宋"/>
          <w:color w:val="000000"/>
          <w:sz w:val="36"/>
        </w:rPr>
        <w:t xml:space="preserve">抵消，不良反应少，适合绝大多数高血压患者，尤其是合并冠心病、慢性肾脏病、糖尿病患者。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ACEI/ARB + </w:t>
      </w:r>
      <w:r w:rsidRPr="000B5797">
        <w:rPr>
          <w:rFonts w:ascii="仿宋" w:eastAsia="仿宋" w:hAnsi="仿宋" w:cs="仿宋"/>
          <w:color w:val="000000"/>
          <w:sz w:val="36"/>
        </w:rPr>
        <w:t xml:space="preserve">噻嗪类利尿剂：利尿剂减少血容量增强降压作用，</w:t>
      </w:r>
      <w:r w:rsidRPr="000B5797">
        <w:rPr>
          <w:rFonts w:ascii="仿宋" w:eastAsia="仿宋" w:hAnsi="仿宋" w:cs="仿宋"/>
          <w:color w:val="000000"/>
          <w:sz w:val="36"/>
        </w:rPr>
        <w:t xml:space="preserve">ACEI/ARB</w:t>
      </w:r>
      <w:r w:rsidRPr="000B5797">
        <w:rPr>
          <w:rFonts w:ascii="仿宋" w:eastAsia="仿宋" w:hAnsi="仿宋" w:cs="仿宋"/>
          <w:color w:val="000000"/>
          <w:sz w:val="36"/>
        </w:rPr>
        <w:t xml:space="preserve">可抵消利尿剂导致的</w:t>
      </w:r>
      <w:r w:rsidRPr="000B5797">
        <w:rPr>
          <w:rFonts w:ascii="仿宋" w:eastAsia="仿宋" w:hAnsi="仿宋" w:cs="仿宋"/>
          <w:color w:val="000000"/>
          <w:sz w:val="36"/>
        </w:rPr>
        <w:t xml:space="preserve">RAAS</w:t>
      </w:r>
      <w:r w:rsidRPr="000B5797">
        <w:rPr>
          <w:rFonts w:ascii="仿宋" w:eastAsia="仿宋" w:hAnsi="仿宋" w:cs="仿宋"/>
          <w:color w:val="000000"/>
          <w:sz w:val="36"/>
        </w:rPr>
        <w:t xml:space="preserve">激活、血钾降低不良反应，适合老年高血压、盐敏感型高血压、心力衰竭患者。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CCB + </w:t>
      </w:r>
      <w:r w:rsidRPr="000B5797">
        <w:rPr>
          <w:rFonts w:ascii="仿宋" w:eastAsia="仿宋" w:hAnsi="仿宋" w:cs="仿宋"/>
          <w:color w:val="000000"/>
          <w:sz w:val="36"/>
        </w:rPr>
        <w:t xml:space="preserve">噻嗪类利尿剂：可降低脑卒中发生风险，适合老年高血压、单纯收缩期高血压、高盐摄入人群。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4. CCB </w:t>
      </w:r>
      <w:r w:rsidRPr="000B5797">
        <w:rPr>
          <w:rFonts w:ascii="仿宋" w:eastAsia="仿宋" w:hAnsi="仿宋" w:cs="仿宋"/>
          <w:color w:val="000000"/>
          <w:sz w:val="36"/>
        </w:rPr>
        <w:t xml:space="preserve">+ β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受体阻滞剂：</w:t>
      </w:r>
      <w:r w:rsidRPr="000B5797">
        <w:rPr>
          <w:rFonts w:ascii="仿宋" w:eastAsia="仿宋" w:hAnsi="仿宋" w:cs="仿宋"/>
          <w:color w:val="000000"/>
          <w:sz w:val="36"/>
        </w:rPr>
        <w:t xml:space="preserve">CCB</w:t>
      </w:r>
      <w:r w:rsidRPr="000B5797">
        <w:rPr>
          <w:rFonts w:ascii="仿宋" w:eastAsia="仿宋" w:hAnsi="仿宋" w:cs="仿宋"/>
          <w:color w:val="000000"/>
          <w:sz w:val="36"/>
        </w:rPr>
        <w:t xml:space="preserve">扩张血管引起的心率加快可被</w:t>
      </w:r>
      <w:r w:rsidRPr="000B5797">
        <w:rPr>
          <w:rFonts w:ascii="仿宋" w:eastAsia="仿宋" w:hAnsi="仿宋" w:cs="仿宋"/>
          <w:color w:val="000000"/>
          <w:sz w:val="36"/>
        </w:rPr>
        <w:t xml:space="preserve">β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受体阻滞剂抵消，适合合并冠心病、心率偏快的患者。</w:t>
      </w:r>
    </w:p>
    <w:p>
      <w:pPr>
        <w:pStyle w:val="Heading3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6.3.2 </w:t>
      </w:r>
      <w:r w:rsidRPr="000B5797">
        <w:rPr>
          <w:rFonts w:ascii="仿宋" w:eastAsia="仿宋" w:hAnsi="仿宋" w:cs="仿宋"/>
          <w:color w:val="000000"/>
          <w:sz w:val="36"/>
        </w:rPr>
        <w:t xml:space="preserve">难治性高血压治疗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在使用包括利尿剂在内的</w:t>
      </w:r>
      <w:r w:rsidRPr="000B5797">
        <w:rPr>
          <w:rFonts w:ascii="仿宋" w:eastAsia="仿宋" w:hAnsi="仿宋" w:cs="仿宋"/>
          <w:color w:val="000000"/>
          <w:sz w:val="36"/>
        </w:rPr>
        <w:t xml:space="preserve">3</w:t>
      </w:r>
      <w:r w:rsidRPr="000B5797">
        <w:rPr>
          <w:rFonts w:ascii="仿宋" w:eastAsia="仿宋" w:hAnsi="仿宋" w:cs="仿宋"/>
          <w:color w:val="000000"/>
          <w:sz w:val="36"/>
        </w:rPr>
        <w:t xml:space="preserve">种足量一线降压药物治疗</w:t>
      </w:r>
      <w:r w:rsidRPr="000B5797">
        <w:rPr>
          <w:rFonts w:ascii="仿宋" w:eastAsia="仿宋" w:hAnsi="仿宋" w:cs="仿宋"/>
          <w:color w:val="000000"/>
          <w:sz w:val="36"/>
        </w:rPr>
        <w:t xml:space="preserve">4</w:t>
      </w:r>
      <w:r w:rsidRPr="000B5797">
        <w:rPr>
          <w:rFonts w:ascii="仿宋" w:eastAsia="仿宋" w:hAnsi="仿宋" w:cs="仿宋"/>
          <w:color w:val="000000"/>
          <w:sz w:val="36"/>
        </w:rPr>
        <w:t xml:space="preserve">周以上，血压仍未达标者定义为难治性高血压，治疗要点：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首先排查患者治疗依从性，是否遵医嘱服药、生活方式干预是否达标；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排查继发性高血压因素，包括原发性醛固酮增多症、肾动脉狭窄、睡眠呼吸暂停综合征、嗜铬细胞瘤等；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调整治疗方案：加用螺内酯</w:t>
      </w:r>
      <w:r w:rsidRPr="000B5797">
        <w:rPr>
          <w:rFonts w:ascii="仿宋" w:eastAsia="仿宋" w:hAnsi="仿宋" w:cs="仿宋"/>
          <w:color w:val="000000"/>
          <w:sz w:val="36"/>
        </w:rPr>
        <w:t xml:space="preserve">20-40mg/</w:t>
      </w:r>
      <w:r w:rsidRPr="000B5797">
        <w:rPr>
          <w:rFonts w:ascii="仿宋" w:eastAsia="仿宋" w:hAnsi="仿宋" w:cs="仿宋"/>
          <w:color w:val="000000"/>
          <w:sz w:val="36"/>
        </w:rPr>
        <w:t xml:space="preserve">天（血钾</w:t>
      </w:r>
      <w:r w:rsidRPr="000B5797">
        <w:rPr>
          <w:rFonts w:ascii="仿宋" w:eastAsia="仿宋" w:hAnsi="仿宋" w:cs="仿宋"/>
          <w:color w:val="000000"/>
          <w:sz w:val="36"/>
        </w:rPr>
        <w:t xml:space="preserve">&lt;5.0mmol/L</w:t>
      </w:r>
      <w:r w:rsidRPr="000B5797">
        <w:rPr>
          <w:rFonts w:ascii="仿宋" w:eastAsia="仿宋" w:hAnsi="仿宋" w:cs="仿宋"/>
          <w:color w:val="000000"/>
          <w:sz w:val="36"/>
        </w:rPr>
        <w:t xml:space="preserve">、</w:t>
      </w:r>
      <w:r w:rsidRPr="000B5797">
        <w:rPr>
          <w:rFonts w:ascii="仿宋" w:eastAsia="仿宋" w:hAnsi="仿宋" w:cs="仿宋"/>
          <w:color w:val="000000"/>
          <w:sz w:val="36"/>
        </w:rPr>
        <w:t xml:space="preserve">eGFR≥45ml·min⁻¹·1.73m⁻²</w:t>
      </w:r>
      <w:r w:rsidRPr="000B5797">
        <w:rPr>
          <w:rFonts w:ascii="仿宋" w:eastAsia="仿宋" w:hAnsi="仿宋" w:cs="仿宋"/>
          <w:color w:val="000000"/>
          <w:sz w:val="36"/>
        </w:rPr>
        <w:t xml:space="preserve">的患</w:t>
      </w:r>
      <w:r w:rsidRPr="000B5797">
        <w:rPr>
          <w:rFonts w:ascii="仿宋" w:eastAsia="仿宋" w:hAnsi="仿宋" w:cs="仿宋"/>
          <w:color w:val="000000"/>
          <w:sz w:val="36"/>
        </w:rPr>
        <w:t xml:space="preserve">者首选），或联用</w:t>
      </w:r>
      <w:r w:rsidRPr="000B5797">
        <w:rPr>
          <w:rFonts w:ascii="仿宋" w:eastAsia="仿宋" w:hAnsi="仿宋" w:cs="仿宋"/>
          <w:color w:val="000000"/>
          <w:sz w:val="36"/>
        </w:rPr>
        <w:t xml:space="preserve">α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受体阻滞剂（特拉唑嗪、多沙唑嗪），难治性高血压控制率可提升至</w:t>
      </w:r>
      <w:r w:rsidRPr="000B5797">
        <w:rPr>
          <w:rFonts w:ascii="仿宋" w:eastAsia="仿宋" w:hAnsi="仿宋" w:cs="仿宋"/>
          <w:color w:val="000000"/>
          <w:sz w:val="36"/>
        </w:rPr>
        <w:t xml:space="preserve">70%</w:t>
      </w:r>
      <w:r w:rsidRPr="000B5797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6.4 </w:t>
      </w:r>
      <w:r w:rsidRPr="000B5797">
        <w:rPr>
          <w:rFonts w:ascii="仿宋" w:eastAsia="仿宋" w:hAnsi="仿宋" w:cs="仿宋"/>
          <w:color w:val="000000"/>
          <w:sz w:val="36"/>
        </w:rPr>
        <w:t xml:space="preserve">特殊人群治疗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b/>
          <w:color w:val="000000"/>
          <w:sz w:val="36"/>
        </w:rPr>
        <w:t xml:space="preserve">儿童青少年高血压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：多为继发性高血压，首先排查病因，首选生活方式干预，</w:t>
      </w:r>
      <w:r w:rsidRPr="000B5797">
        <w:rPr>
          <w:rFonts w:ascii="仿宋" w:eastAsia="仿宋" w:hAnsi="仿宋" w:cs="仿宋"/>
          <w:color w:val="000000"/>
          <w:sz w:val="36"/>
        </w:rPr>
        <w:t xml:space="preserve">6</w:t>
      </w:r>
      <w:r w:rsidRPr="000B5797">
        <w:rPr>
          <w:rFonts w:ascii="仿宋" w:eastAsia="仿宋" w:hAnsi="仿宋" w:cs="仿宋"/>
          <w:color w:val="000000"/>
          <w:sz w:val="36"/>
        </w:rPr>
        <w:t xml:space="preserve">个月未达标者启动药物治疗，初始选用</w:t>
      </w:r>
      <w:r w:rsidRPr="000B5797">
        <w:rPr>
          <w:rFonts w:ascii="仿宋" w:eastAsia="仿宋" w:hAnsi="仿宋" w:cs="仿宋"/>
          <w:color w:val="000000"/>
          <w:sz w:val="36"/>
        </w:rPr>
        <w:t xml:space="preserve">ACEI/ARB</w:t>
      </w:r>
      <w:r w:rsidRPr="000B5797">
        <w:rPr>
          <w:rFonts w:ascii="仿宋" w:eastAsia="仿宋" w:hAnsi="仿宋" w:cs="仿宋"/>
          <w:color w:val="000000"/>
          <w:sz w:val="36"/>
        </w:rPr>
        <w:t xml:space="preserve">或</w:t>
      </w:r>
      <w:r w:rsidRPr="000B5797">
        <w:rPr>
          <w:rFonts w:ascii="仿宋" w:eastAsia="仿宋" w:hAnsi="仿宋" w:cs="仿宋"/>
          <w:color w:val="000000"/>
          <w:sz w:val="36"/>
        </w:rPr>
        <w:t xml:space="preserve">CCB</w:t>
      </w:r>
      <w:r w:rsidRPr="000B5797">
        <w:rPr>
          <w:rFonts w:ascii="仿宋" w:eastAsia="仿宋" w:hAnsi="仿宋" w:cs="仿宋"/>
          <w:color w:val="000000"/>
          <w:sz w:val="36"/>
        </w:rPr>
        <w:t xml:space="preserve">，从小剂量起始，</w:t>
      </w:r>
      <w:r w:rsidRPr="000B5797">
        <w:rPr>
          <w:rFonts w:ascii="仿宋" w:eastAsia="仿宋" w:hAnsi="仿宋" w:cs="仿宋"/>
          <w:color w:val="000000"/>
          <w:sz w:val="36"/>
        </w:rPr>
        <w:t xml:space="preserve">血压目标降至同年龄、同性别、同身高儿童血压第</w:t>
      </w:r>
      <w:r w:rsidRPr="000B5797">
        <w:rPr>
          <w:rFonts w:ascii="仿宋" w:eastAsia="仿宋" w:hAnsi="仿宋" w:cs="仿宋"/>
          <w:color w:val="000000"/>
          <w:sz w:val="36"/>
        </w:rPr>
        <w:t xml:space="preserve">95</w:t>
      </w:r>
      <w:r w:rsidRPr="000B5797">
        <w:rPr>
          <w:rFonts w:ascii="仿宋" w:eastAsia="仿宋" w:hAnsi="仿宋" w:cs="仿宋"/>
          <w:color w:val="000000"/>
          <w:sz w:val="36"/>
        </w:rPr>
        <w:t xml:space="preserve">百分位以下，合并靶器官损害者降至第</w:t>
      </w:r>
      <w:r w:rsidRPr="000B5797">
        <w:rPr>
          <w:rFonts w:ascii="仿宋" w:eastAsia="仿宋" w:hAnsi="仿宋" w:cs="仿宋"/>
          <w:color w:val="000000"/>
          <w:sz w:val="36"/>
        </w:rPr>
        <w:t xml:space="preserve">90</w:t>
      </w:r>
      <w:r w:rsidRPr="000B5797">
        <w:rPr>
          <w:rFonts w:ascii="仿宋" w:eastAsia="仿宋" w:hAnsi="仿宋" w:cs="仿宋"/>
          <w:color w:val="000000"/>
          <w:sz w:val="36"/>
        </w:rPr>
        <w:t xml:space="preserve">百分位以下。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b/>
          <w:color w:val="000000"/>
          <w:sz w:val="36"/>
        </w:rPr>
        <w:t xml:space="preserve">妊娠高血压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：禁用</w:t>
      </w:r>
      <w:r w:rsidRPr="000B5797">
        <w:rPr>
          <w:rFonts w:ascii="仿宋" w:eastAsia="仿宋" w:hAnsi="仿宋" w:cs="仿宋"/>
          <w:color w:val="000000"/>
          <w:sz w:val="36"/>
        </w:rPr>
        <w:t xml:space="preserve">ACEI/ARB</w:t>
      </w:r>
      <w:r w:rsidRPr="000B5797">
        <w:rPr>
          <w:rFonts w:ascii="仿宋" w:eastAsia="仿宋" w:hAnsi="仿宋" w:cs="仿宋"/>
          <w:color w:val="000000"/>
          <w:sz w:val="36"/>
        </w:rPr>
        <w:t xml:space="preserve">，常用降压药物为拉贝洛尔、硝苯地平缓释片、甲基多巴，血压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≥140/90mmHg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启动治疗，目标血压</w:t>
      </w:r>
      <w:r w:rsidRPr="000B5797">
        <w:rPr>
          <w:rFonts w:ascii="仿宋" w:eastAsia="仿宋" w:hAnsi="仿宋" w:cs="仿宋"/>
          <w:color w:val="000000"/>
          <w:sz w:val="36"/>
        </w:rPr>
        <w:t xml:space="preserve">130-140</w:t>
      </w:r>
      <w:r w:rsidRPr="000B5797">
        <w:rPr>
          <w:rFonts w:ascii="仿宋" w:eastAsia="仿宋" w:hAnsi="仿宋" w:cs="仿宋"/>
          <w:color w:val="000000"/>
          <w:sz w:val="36"/>
        </w:rPr>
        <w:t xml:space="preserve">/80-90mmHg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，避免血压过低影响胎盘灌注。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b/>
          <w:color w:val="000000"/>
          <w:sz w:val="36"/>
        </w:rPr>
        <w:t xml:space="preserve">高血压合并糖尿病</w:t>
      </w:r>
      <w:r w:rsidRPr="000B5797">
        <w:rPr>
          <w:rFonts w:ascii="仿宋" w:eastAsia="仿宋" w:hAnsi="仿宋" w:cs="仿宋"/>
          <w:color w:val="000000"/>
          <w:sz w:val="36"/>
        </w:rPr>
        <w:t xml:space="preserve">：首选</w:t>
      </w:r>
      <w:r w:rsidRPr="000B5797">
        <w:rPr>
          <w:rFonts w:ascii="仿宋" w:eastAsia="仿宋" w:hAnsi="仿宋" w:cs="仿宋"/>
          <w:color w:val="000000"/>
          <w:sz w:val="36"/>
        </w:rPr>
        <w:t xml:space="preserve">ACEI/ARB</w:t>
      </w:r>
      <w:r w:rsidRPr="000B5797">
        <w:rPr>
          <w:rFonts w:ascii="仿宋" w:eastAsia="仿宋" w:hAnsi="仿宋" w:cs="仿宋"/>
          <w:color w:val="000000"/>
          <w:sz w:val="36"/>
        </w:rPr>
        <w:t xml:space="preserve">，作为基础治疗联合</w:t>
      </w:r>
      <w:r w:rsidRPr="000B5797">
        <w:rPr>
          <w:rFonts w:ascii="仿宋" w:eastAsia="仿宋" w:hAnsi="仿宋" w:cs="仿宋"/>
          <w:color w:val="000000"/>
          <w:sz w:val="36"/>
        </w:rPr>
        <w:t xml:space="preserve">CCB</w:t>
      </w:r>
      <w:r w:rsidRPr="000B5797">
        <w:rPr>
          <w:rFonts w:ascii="仿宋" w:eastAsia="仿宋" w:hAnsi="仿宋" w:cs="仿宋"/>
          <w:color w:val="000000"/>
          <w:sz w:val="36"/>
        </w:rPr>
        <w:t xml:space="preserve">或小剂量噻嗪类利尿剂，避免大剂量</w:t>
      </w:r>
      <w:r w:rsidRPr="000B5797">
        <w:rPr>
          <w:rFonts w:ascii="仿宋" w:eastAsia="仿宋" w:hAnsi="仿宋" w:cs="仿宋"/>
          <w:color w:val="000000"/>
          <w:sz w:val="36"/>
        </w:rPr>
        <w:t xml:space="preserve">β</w:t>
      </w:r>
      <w:r w:rsidRPr="000B5797">
        <w:rPr>
          <w:rFonts w:ascii="仿宋" w:eastAsia="仿宋" w:hAnsi="仿宋" w:cs="仿宋"/>
          <w:color w:val="000000"/>
          <w:sz w:val="36"/>
        </w:rPr>
        <w:t xml:space="preserve">受体阻滞剂影响血糖监测。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7 </w:t>
      </w:r>
      <w:r w:rsidRPr="000B5797">
        <w:rPr>
          <w:rFonts w:ascii="仿宋" w:eastAsia="仿宋" w:hAnsi="仿宋" w:cs="仿宋"/>
          <w:color w:val="000000"/>
          <w:sz w:val="36"/>
        </w:rPr>
        <w:t xml:space="preserve">继发性高血压筛查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继发性高血压占高血压人群的</w:t>
      </w:r>
      <w:r w:rsidRPr="000B5797">
        <w:rPr>
          <w:rFonts w:ascii="仿宋" w:eastAsia="仿宋" w:hAnsi="仿宋" w:cs="仿宋"/>
          <w:color w:val="000000"/>
          <w:sz w:val="36"/>
        </w:rPr>
        <w:t xml:space="preserve">10%-15%</w:t>
      </w:r>
      <w:r w:rsidRPr="000B5797">
        <w:rPr>
          <w:rFonts w:ascii="仿宋" w:eastAsia="仿宋" w:hAnsi="仿宋" w:cs="仿宋"/>
          <w:color w:val="000000"/>
          <w:sz w:val="36"/>
        </w:rPr>
        <w:t xml:space="preserve">，部分可通过病因治疗实现临床治愈，所有高血压患者初诊时均需进行基础筛查，以下人群需重点全面筛查：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发病年龄</w:t>
      </w:r>
      <w:r w:rsidRPr="000B5797">
        <w:rPr>
          <w:rFonts w:ascii="仿宋" w:eastAsia="仿宋" w:hAnsi="仿宋" w:cs="仿宋"/>
          <w:color w:val="000000"/>
          <w:sz w:val="36"/>
        </w:rPr>
        <w:t xml:space="preserve">&lt;30</w:t>
      </w:r>
      <w:r w:rsidRPr="000B5797">
        <w:rPr>
          <w:rFonts w:ascii="仿宋" w:eastAsia="仿宋" w:hAnsi="仿宋" w:cs="仿宋"/>
          <w:color w:val="000000"/>
          <w:sz w:val="36"/>
        </w:rPr>
        <w:t xml:space="preserve">岁的无明显危险因素的高血压患者；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2. 3</w:t>
      </w:r>
      <w:r w:rsidRPr="000B5797">
        <w:rPr>
          <w:rFonts w:ascii="仿宋" w:eastAsia="仿宋" w:hAnsi="仿宋" w:cs="仿宋"/>
          <w:color w:val="000000"/>
          <w:sz w:val="36"/>
        </w:rPr>
        <w:t xml:space="preserve">级高血压、难治性高血压患者；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血压波动大、阵发性高血压，伴有头痛、心悸、多汗症状者；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4. </w:t>
      </w:r>
      <w:r w:rsidRPr="000B5797">
        <w:rPr>
          <w:rFonts w:ascii="仿宋" w:eastAsia="仿宋" w:hAnsi="仿宋" w:cs="仿宋"/>
          <w:color w:val="000000"/>
          <w:sz w:val="36"/>
        </w:rPr>
        <w:t xml:space="preserve">合并低钾血症、</w:t>
      </w:r>
      <w:r w:rsidRPr="000B5797">
        <w:rPr>
          <w:rFonts w:ascii="仿宋" w:eastAsia="仿宋" w:hAnsi="仿宋" w:cs="仿宋"/>
          <w:color w:val="000000"/>
          <w:sz w:val="36"/>
        </w:rPr>
        <w:t xml:space="preserve">双侧肢体血压差</w:t>
      </w:r>
      <w:r w:rsidRPr="000B5797">
        <w:rPr>
          <w:rFonts w:ascii="仿宋" w:eastAsia="仿宋" w:hAnsi="仿宋" w:cs="仿宋"/>
          <w:color w:val="000000"/>
          <w:sz w:val="36"/>
        </w:rPr>
        <w:t xml:space="preserve">≥20mmHg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、腹部血管杂音、肾萎缩、肾上腺占位者。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常见继发性高血压病因及筛查要点：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b/>
          <w:color w:val="000000"/>
          <w:sz w:val="36"/>
        </w:rPr>
        <w:t xml:space="preserve">原发性醛固酮增多症</w:t>
      </w:r>
      <w:r w:rsidRPr="000B5797">
        <w:rPr>
          <w:rFonts w:ascii="仿宋" w:eastAsia="仿宋" w:hAnsi="仿宋" w:cs="仿宋"/>
          <w:color w:val="000000"/>
          <w:sz w:val="36"/>
        </w:rPr>
        <w:t xml:space="preserve">：占继发性高血压的</w:t>
      </w:r>
      <w:r w:rsidRPr="000B5797">
        <w:rPr>
          <w:rFonts w:ascii="仿宋" w:eastAsia="仿宋" w:hAnsi="仿宋" w:cs="仿宋"/>
          <w:color w:val="000000"/>
          <w:sz w:val="36"/>
        </w:rPr>
        <w:t xml:space="preserve">20%</w:t>
      </w:r>
      <w:r w:rsidRPr="000B5797">
        <w:rPr>
          <w:rFonts w:ascii="仿宋" w:eastAsia="仿宋" w:hAnsi="仿宋" w:cs="仿宋"/>
          <w:color w:val="000000"/>
          <w:sz w:val="36"/>
        </w:rPr>
        <w:t xml:space="preserve">，筛查指标为血浆醛固酮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肾素活性比值（</w:t>
      </w:r>
      <w:r w:rsidRPr="000B5797">
        <w:rPr>
          <w:rFonts w:ascii="仿宋" w:eastAsia="仿宋" w:hAnsi="仿宋" w:cs="仿宋"/>
          <w:color w:val="000000"/>
          <w:sz w:val="36"/>
        </w:rPr>
        <w:t xml:space="preserve">ARR</w:t>
      </w:r>
      <w:r w:rsidRPr="000B5797">
        <w:rPr>
          <w:rFonts w:ascii="仿宋" w:eastAsia="仿宋" w:hAnsi="仿宋" w:cs="仿宋"/>
          <w:color w:val="000000"/>
          <w:sz w:val="36"/>
        </w:rPr>
        <w:t xml:space="preserve">），比值</w:t>
      </w:r>
      <w:r w:rsidRPr="000B5797">
        <w:rPr>
          <w:rFonts w:ascii="仿宋" w:eastAsia="仿宋" w:hAnsi="仿宋" w:cs="仿宋"/>
          <w:color w:val="000000"/>
          <w:sz w:val="36"/>
        </w:rPr>
        <w:t xml:space="preserve">≥30</w:t>
      </w:r>
      <w:r w:rsidRPr="000B5797">
        <w:rPr>
          <w:rFonts w:ascii="仿宋" w:eastAsia="仿宋" w:hAnsi="仿宋" w:cs="仿宋"/>
          <w:color w:val="000000"/>
          <w:sz w:val="36"/>
        </w:rPr>
        <w:t xml:space="preserve">提示可疑，结合盐水负荷试验、肾上腺</w:t>
      </w:r>
      <w:r w:rsidRPr="000B5797">
        <w:rPr>
          <w:rFonts w:ascii="仿宋" w:eastAsia="仿宋" w:hAnsi="仿宋" w:cs="仿宋"/>
          <w:color w:val="000000"/>
          <w:sz w:val="36"/>
        </w:rPr>
        <w:t xml:space="preserve">CT</w:t>
      </w:r>
      <w:r w:rsidRPr="000B5797">
        <w:rPr>
          <w:rFonts w:ascii="仿宋" w:eastAsia="仿宋" w:hAnsi="仿宋" w:cs="仿宋"/>
          <w:color w:val="000000"/>
          <w:sz w:val="36"/>
        </w:rPr>
        <w:t xml:space="preserve">确诊，腺瘤型首选手术治疗，特发性增生型首选螺内酯治疗。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b/>
          <w:color w:val="000000"/>
          <w:sz w:val="36"/>
        </w:rPr>
        <w:t xml:space="preserve">肾动脉狭窄</w:t>
      </w:r>
      <w:r w:rsidRPr="000B5797">
        <w:rPr>
          <w:rFonts w:ascii="仿宋" w:eastAsia="仿宋" w:hAnsi="仿宋" w:cs="仿宋"/>
          <w:color w:val="000000"/>
          <w:sz w:val="36"/>
        </w:rPr>
        <w:t xml:space="preserve">：多见于老年动脉粥样硬化或青年大动脉炎患者，筛查首选肾动脉超声，</w:t>
      </w:r>
      <w:r w:rsidRPr="000B5797">
        <w:rPr>
          <w:rFonts w:ascii="仿宋" w:eastAsia="仿宋" w:hAnsi="仿宋" w:cs="仿宋"/>
          <w:color w:val="000000"/>
          <w:sz w:val="36"/>
        </w:rPr>
        <w:t xml:space="preserve">CT</w:t>
      </w:r>
      <w:r w:rsidRPr="000B5797">
        <w:rPr>
          <w:rFonts w:ascii="仿宋" w:eastAsia="仿宋" w:hAnsi="仿宋" w:cs="仿宋"/>
          <w:color w:val="000000"/>
          <w:sz w:val="36"/>
        </w:rPr>
        <w:t xml:space="preserve">血管造影可明确狭窄程度，狭窄</w:t>
      </w:r>
      <w:r w:rsidRPr="000B5797">
        <w:rPr>
          <w:rFonts w:ascii="仿宋" w:eastAsia="仿宋" w:hAnsi="仿宋" w:cs="仿宋"/>
          <w:color w:val="000000"/>
          <w:sz w:val="36"/>
        </w:rPr>
        <w:t xml:space="preserve">≥70%</w:t>
      </w:r>
      <w:r w:rsidRPr="000B5797">
        <w:rPr>
          <w:rFonts w:ascii="仿宋" w:eastAsia="仿宋" w:hAnsi="仿宋" w:cs="仿宋"/>
          <w:color w:val="000000"/>
          <w:sz w:val="36"/>
        </w:rPr>
        <w:t xml:space="preserve">可行介入支架治疗。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b/>
          <w:color w:val="000000"/>
          <w:sz w:val="36"/>
        </w:rPr>
        <w:t xml:space="preserve">睡眠呼吸暂停综合征</w:t>
      </w:r>
      <w:r w:rsidRPr="000B5797">
        <w:rPr>
          <w:rFonts w:ascii="仿宋" w:eastAsia="仿宋" w:hAnsi="仿宋" w:cs="仿宋"/>
          <w:color w:val="000000"/>
          <w:sz w:val="36"/>
        </w:rPr>
        <w:t xml:space="preserve">：占中青年高血压的</w:t>
      </w:r>
      <w:r w:rsidRPr="000B5797">
        <w:rPr>
          <w:rFonts w:ascii="仿宋" w:eastAsia="仿宋" w:hAnsi="仿宋" w:cs="仿宋"/>
          <w:color w:val="000000"/>
          <w:sz w:val="36"/>
        </w:rPr>
        <w:t xml:space="preserve">30%</w:t>
      </w:r>
      <w:r w:rsidRPr="000B5797">
        <w:rPr>
          <w:rFonts w:ascii="仿宋" w:eastAsia="仿宋" w:hAnsi="仿宋" w:cs="仿宋"/>
          <w:color w:val="000000"/>
          <w:sz w:val="36"/>
        </w:rPr>
        <w:t xml:space="preserve">，多导睡眠监测是诊断金标准，轻度患者可采用减重、侧卧位睡眠改善，中重度患者佩戴无创呼吸机治疗。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b/>
          <w:color w:val="000000"/>
          <w:sz w:val="36"/>
        </w:rPr>
        <w:t xml:space="preserve">嗜铬细胞瘤</w:t>
      </w:r>
      <w:r w:rsidRPr="000B5797">
        <w:rPr>
          <w:rFonts w:ascii="仿宋" w:eastAsia="仿宋" w:hAnsi="仿宋" w:cs="仿宋"/>
          <w:color w:val="000000"/>
          <w:sz w:val="36"/>
        </w:rPr>
        <w:t xml:space="preserve">：典型表现为阵发性血压升高伴头痛、心悸、多汗，查血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尿儿茶酚胺及代谢产物、肾上腺</w:t>
      </w:r>
      <w:r w:rsidRPr="000B5797">
        <w:rPr>
          <w:rFonts w:ascii="仿宋" w:eastAsia="仿宋" w:hAnsi="仿宋" w:cs="仿宋"/>
          <w:color w:val="000000"/>
          <w:sz w:val="36"/>
        </w:rPr>
        <w:t xml:space="preserve">CT</w:t>
      </w:r>
      <w:r w:rsidRPr="000B5797">
        <w:rPr>
          <w:rFonts w:ascii="仿宋" w:eastAsia="仿宋" w:hAnsi="仿宋" w:cs="仿宋"/>
          <w:color w:val="000000"/>
          <w:sz w:val="36"/>
        </w:rPr>
        <w:t xml:space="preserve">定位，手术切除肿瘤可治愈。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8 </w:t>
      </w:r>
      <w:r w:rsidRPr="000B5797">
        <w:rPr>
          <w:rFonts w:ascii="仿宋" w:eastAsia="仿宋" w:hAnsi="仿宋" w:cs="仿宋"/>
          <w:color w:val="000000"/>
          <w:sz w:val="36"/>
        </w:rPr>
        <w:t xml:space="preserve">高血压管理与基层防控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8.1 </w:t>
      </w:r>
      <w:r w:rsidRPr="000B5797">
        <w:rPr>
          <w:rFonts w:ascii="仿宋" w:eastAsia="仿宋" w:hAnsi="仿宋" w:cs="仿宋"/>
          <w:color w:val="000000"/>
          <w:sz w:val="36"/>
        </w:rPr>
        <w:t xml:space="preserve">分级管理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根据患者风险分层实施分级随访管理：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低危患者：每</w:t>
      </w:r>
      <w:r w:rsidRPr="000B5797">
        <w:rPr>
          <w:rFonts w:ascii="仿宋" w:eastAsia="仿宋" w:hAnsi="仿宋" w:cs="仿宋"/>
          <w:color w:val="000000"/>
          <w:sz w:val="36"/>
        </w:rPr>
        <w:t xml:space="preserve">3</w:t>
      </w:r>
      <w:r w:rsidRPr="000B5797">
        <w:rPr>
          <w:rFonts w:ascii="仿宋" w:eastAsia="仿宋" w:hAnsi="仿宋" w:cs="仿宋"/>
          <w:color w:val="000000"/>
          <w:sz w:val="36"/>
        </w:rPr>
        <w:t xml:space="preserve">个月随访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次，监测血压，评估生活方式执行情况；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中危患者：每</w:t>
      </w: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个月随访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次，评估降压疗效，指导生活方式调整；</w:t>
      </w:r>
    </w:p>
    <w:p>
      <w:pPr>
        <w:pStyle w:val="ListBullet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高危</w:t>
      </w:r>
      <w:r w:rsidRPr="000B5797">
        <w:rPr>
          <w:rFonts w:ascii="仿宋" w:eastAsia="仿宋" w:hAnsi="仿宋" w:cs="仿宋"/>
          <w:color w:val="000000"/>
          <w:sz w:val="36"/>
        </w:rPr>
        <w:t xml:space="preserve">/</w:t>
      </w:r>
      <w:r w:rsidRPr="000B5797">
        <w:rPr>
          <w:rFonts w:ascii="仿宋" w:eastAsia="仿宋" w:hAnsi="仿宋" w:cs="仿宋"/>
          <w:color w:val="000000"/>
          <w:sz w:val="36"/>
        </w:rPr>
        <w:t xml:space="preserve">很高危患者：每月随访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次，血压未达标者每</w:t>
      </w:r>
      <w:r w:rsidRPr="000B5797">
        <w:rPr>
          <w:rFonts w:ascii="仿宋" w:eastAsia="仿宋" w:hAnsi="仿宋" w:cs="仿宋"/>
          <w:color w:val="000000"/>
          <w:sz w:val="36"/>
        </w:rPr>
        <w:t xml:space="preserve">2</w:t>
      </w:r>
      <w:r w:rsidRPr="000B5797">
        <w:rPr>
          <w:rFonts w:ascii="仿宋" w:eastAsia="仿宋" w:hAnsi="仿宋" w:cs="仿宋"/>
          <w:color w:val="000000"/>
          <w:sz w:val="36"/>
        </w:rPr>
        <w:t xml:space="preserve">周随访</w:t>
      </w:r>
      <w:r w:rsidRPr="000B5797">
        <w:rPr>
          <w:rFonts w:ascii="仿宋" w:eastAsia="仿宋" w:hAnsi="仿宋" w:cs="仿宋"/>
          <w:color w:val="000000"/>
          <w:sz w:val="36"/>
        </w:rPr>
        <w:t xml:space="preserve">1</w:t>
      </w:r>
      <w:r w:rsidRPr="000B5797">
        <w:rPr>
          <w:rFonts w:ascii="仿宋" w:eastAsia="仿宋" w:hAnsi="仿宋" w:cs="仿宋"/>
          <w:color w:val="000000"/>
          <w:sz w:val="36"/>
        </w:rPr>
        <w:t xml:space="preserve">次，监测靶器官损害进展，调整治疗方案。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8.2 </w:t>
      </w:r>
      <w:r w:rsidRPr="000B5797">
        <w:rPr>
          <w:rFonts w:ascii="仿宋" w:eastAsia="仿宋" w:hAnsi="仿宋" w:cs="仿宋"/>
          <w:color w:val="000000"/>
          <w:sz w:val="36"/>
        </w:rPr>
        <w:t xml:space="preserve">基层防控核心措施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落实</w:t>
      </w:r>
      <w:r w:rsidRPr="000B5797">
        <w:rPr>
          <w:rFonts w:ascii="仿宋" w:eastAsia="仿宋" w:hAnsi="仿宋" w:cs="仿宋"/>
          <w:color w:val="000000"/>
          <w:sz w:val="36"/>
        </w:rPr>
        <w:t xml:space="preserve">35</w:t>
      </w:r>
      <w:r w:rsidRPr="000B5797">
        <w:rPr>
          <w:rFonts w:ascii="仿宋" w:eastAsia="仿宋" w:hAnsi="仿宋" w:cs="仿宋"/>
          <w:color w:val="000000"/>
          <w:sz w:val="36"/>
        </w:rPr>
        <w:t xml:space="preserve">岁以上人群首诊测血压制度，所有医疗机构对首次就诊的</w:t>
      </w:r>
      <w:r w:rsidRPr="000B5797">
        <w:rPr>
          <w:rFonts w:ascii="仿宋" w:eastAsia="仿宋" w:hAnsi="仿宋" w:cs="仿宋"/>
          <w:color w:val="000000"/>
          <w:sz w:val="36"/>
        </w:rPr>
        <w:t xml:space="preserve">35</w:t>
      </w:r>
      <w:r w:rsidRPr="000B5797">
        <w:rPr>
          <w:rFonts w:ascii="仿宋" w:eastAsia="仿宋" w:hAnsi="仿宋" w:cs="仿宋"/>
          <w:color w:val="000000"/>
          <w:sz w:val="36"/>
        </w:rPr>
        <w:t xml:space="preserve">岁以上患者常规测量血压，提高高血压早期发现率；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color w:val="000000"/>
          <w:sz w:val="36"/>
        </w:rPr>
        <w:t xml:space="preserve">将高血压管理纳入基本公共卫生服务，对辖区高血压患者建立健康档案，实现签约家庭医生服务全覆盖，为患者提供长期随访、药物处方、生活方式指导一体化服务；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推进高血压患者县域内同质化治疗，优先将长效降压药物、单片复方制剂纳入基层药品配备目录及医保报销目录，降低患者用药负</w:t>
      </w:r>
      <w:r w:rsidRPr="000B5797">
        <w:rPr>
          <w:rFonts w:ascii="仿宋" w:eastAsia="仿宋" w:hAnsi="仿宋" w:cs="仿宋"/>
          <w:color w:val="000000"/>
          <w:sz w:val="36"/>
        </w:rPr>
        <w:t xml:space="preserve">担，提高治疗可及性；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4. </w:t>
      </w:r>
      <w:r w:rsidRPr="000B5797">
        <w:rPr>
          <w:rFonts w:ascii="仿宋" w:eastAsia="仿宋" w:hAnsi="仿宋" w:cs="仿宋"/>
          <w:color w:val="000000"/>
          <w:sz w:val="36"/>
        </w:rPr>
        <w:t xml:space="preserve">开展人群高血压防治健康教育，普及减盐、减重、定期测血压等健康知识，提高居民健康素养，推动高血压防控从疾病治疗向健康管理转变。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8.3 </w:t>
      </w:r>
      <w:r w:rsidRPr="000B5797">
        <w:rPr>
          <w:rFonts w:ascii="仿宋" w:eastAsia="仿宋" w:hAnsi="仿宋" w:cs="仿宋"/>
          <w:color w:val="000000"/>
          <w:sz w:val="36"/>
        </w:rPr>
        <w:t xml:space="preserve">转诊指征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基层医疗机构遇到以下情况需及时向上级医院转诊：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1. </w:t>
      </w:r>
      <w:r w:rsidRPr="000B5797">
        <w:rPr>
          <w:rFonts w:ascii="仿宋" w:eastAsia="仿宋" w:hAnsi="仿宋" w:cs="仿宋"/>
          <w:color w:val="000000"/>
          <w:sz w:val="36"/>
        </w:rPr>
        <w:t xml:space="preserve">血压显著升高</w:t>
      </w:r>
      <w:r w:rsidRPr="000B5797">
        <w:rPr>
          <w:rFonts w:ascii="仿宋" w:eastAsia="仿宋" w:hAnsi="仿宋" w:cs="仿宋"/>
          <w:color w:val="000000"/>
          <w:sz w:val="36"/>
        </w:rPr>
        <w:t xml:space="preserve">≥180/110mmHg</w:t>
      </w:r>
      <w:r w:rsidRPr="000B5797">
        <w:rPr>
          <w:rFonts w:ascii="仿宋" w:eastAsia="仿宋" w:hAnsi="仿宋" w:cs="仿宋"/>
          <w:color w:val="000000"/>
          <w:sz w:val="36"/>
        </w:rPr>
        <w:t xml:space="preserve">，伴头痛、呕吐、胸痛、意识障碍等高血压急症表现；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2. </w:t>
      </w:r>
      <w:r w:rsidRPr="000B5797">
        <w:rPr>
          <w:rFonts w:ascii="仿宋" w:eastAsia="仿宋" w:hAnsi="仿宋" w:cs="仿宋"/>
          <w:color w:val="000000"/>
          <w:sz w:val="36"/>
        </w:rPr>
        <w:t xml:space="preserve">怀疑继发性高血压，基层无筛查及诊断能力；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3. </w:t>
      </w:r>
      <w:r w:rsidRPr="000B5797">
        <w:rPr>
          <w:rFonts w:ascii="仿宋" w:eastAsia="仿宋" w:hAnsi="仿宋" w:cs="仿宋"/>
          <w:color w:val="000000"/>
          <w:sz w:val="36"/>
        </w:rPr>
        <w:t xml:space="preserve">难治性高血压经规范调整治疗方案</w:t>
      </w:r>
      <w:r w:rsidRPr="000B5797">
        <w:rPr>
          <w:rFonts w:ascii="仿宋" w:eastAsia="仿宋" w:hAnsi="仿宋" w:cs="仿宋"/>
          <w:color w:val="000000"/>
          <w:sz w:val="36"/>
        </w:rPr>
        <w:t xml:space="preserve">4</w:t>
      </w:r>
      <w:r w:rsidRPr="000B5797">
        <w:rPr>
          <w:rFonts w:ascii="仿宋" w:eastAsia="仿宋" w:hAnsi="仿宋" w:cs="仿宋"/>
          <w:color w:val="000000"/>
          <w:sz w:val="36"/>
        </w:rPr>
        <w:t xml:space="preserve">周仍未达标；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4. </w:t>
      </w:r>
      <w:r w:rsidRPr="000B5797">
        <w:rPr>
          <w:rFonts w:ascii="仿宋" w:eastAsia="仿宋" w:hAnsi="仿宋" w:cs="仿宋"/>
          <w:color w:val="000000"/>
          <w:sz w:val="36"/>
        </w:rPr>
        <w:t xml:space="preserve">出现严重靶器官损害或临床合并症，基层缺乏处理能力。</w:t>
      </w:r>
    </w:p>
    <w:p>
      <w:pPr>
        <w:spacing w:line="320"/>
        <w:ind w:firstLine="720" w:firstLineChars="200"/>
        <w:rPr>
          <w:rFonts w:ascii="仿宋" w:eastAsia="仿宋" w:hAnsi="仿宋"/>
          <w:sz w:val="36"/>
        </w:rPr>
      </w:pPr>
      <w:r w:rsidRPr="000B5797">
        <w:rPr>
          <w:rFonts w:ascii="仿宋" w:eastAsia="仿宋" w:hAnsi="仿宋" w:cs="仿宋"/>
          <w:color w:val="000000"/>
          <w:sz w:val="36"/>
        </w:rPr>
        <w:t xml:space="preserve">患者病情稳定后转回基层，按照上级医院制定的</w:t>
      </w:r>
      <w:r w:rsidRPr="000B5797">
        <w:rPr>
          <w:rFonts w:ascii="仿宋" w:eastAsia="仿宋" w:hAnsi="仿宋" w:cs="仿宋"/>
          <w:color w:val="000000"/>
          <w:sz w:val="36"/>
        </w:rPr>
        <w:t xml:space="preserve">方案继续长期管理。 </w:t>
      </w:r>
      <w:bookmarkStart w:id="0" w:name="_GoBack"/>
      <w:bookmarkEnd w:id="0"/>
    </w:p>
    <w:sectPr>
      <w:pgSz w:w="12240" w:h="15840" w:orient="portrait"/>
      <w:pgMar w:top="1440" w:right="1800" w:bottom="1440" w:left="1800" w:header="720" w:footer="720" w:gutter="0"/>
      <w:pgBorders/>
      <w:cols w:num="1" w:space="720">
        <w:col w:w="8640" w:space="720"/>
      </w:cols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pStyle w:val="ListBullet"/>
      <w:suff w:val="tab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1800"/>
        </w:tabs>
        <w:ind w:left="1800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1440"/>
        </w:tabs>
        <w:ind w:left="1440" w:hanging="360"/>
      </w:pPr>
      <w:rPr/>
    </w:lvl>
  </w:abstractNum>
  <w:abstractNum w:abstractNumId="5">
    <w:multiLevelType w:val="singleLevel"/>
    <w:lvl w:ilvl="0">
      <w:start w:val="1"/>
      <w:numFmt w:val="decimal"/>
      <w:pStyle w:val="ListNumber3"/>
      <w:suff w:val="tab"/>
      <w:lvlText w:val="%1."/>
      <w:lvlJc w:val="left"/>
      <w:pPr>
        <w:tabs>
          <w:tab w:val="num" w:pos="1080"/>
        </w:tabs>
        <w:ind w:left="1080" w:hanging="360"/>
      </w:pPr>
      <w:rPr/>
    </w:lvl>
  </w:abstractNum>
  <w:abstractNum w:abstractNumId="6">
    <w:multiLevelType w:val="singleLevel"/>
    <w:lvl w:ilvl="0">
      <w:start w:val="1"/>
      <w:numFmt w:val="decimal"/>
      <w:pStyle w:val="ListNumber2"/>
      <w:suff w:val="tab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7">
    <w:multiLevelType w:val="singleLevel"/>
    <w:lvl w:ilvl="0">
      <w:start w:val="1"/>
      <w:numFmt w:val="bullet"/>
      <w:suff w:val="tab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>
    <w:multiLevelType w:val="singleLevel"/>
    <w:lvl w:ilvl="0">
      <w:start w:val="1"/>
      <w:numFmt w:val="bullet"/>
      <w:pStyle w:val="ListBullet3"/>
      <w:suff w:val="tab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pStyle w:val="ListBullet2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singleLevel"/>
    <w:lvl w:ilvl="0">
      <w:start w:val="1"/>
      <w:numFmt w:val="decimal"/>
      <w:pStyle w:val="ListNumber"/>
      <w:suff w:val="tab"/>
      <w:lvlText w:val="%1."/>
      <w:lvlJc w:val="left"/>
      <w:pPr>
        <w:tabs>
          <w:tab w:val="num" w:pos="360"/>
        </w:tabs>
        <w:ind w:left="36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mc:Ignorable="w14">
  <w:zoom w:percent="93"/>
  <w:bordersDoNotSurroundFooter/>
  <w:bordersDoNotSurroundHeader/>
  <w:doNotTrackMoves/>
  <w:defaultTabStop w:val="720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ja-JP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asciiTheme="minorHAnsi" w:eastAsiaTheme="minorEastAsia" w:hAnsiTheme="minorHAnsi" w:cs="Arial" w:cstheme="minorBidi"/>
        <w:sz w:val="22"/>
        <w:szCs w:val="22"/>
        <w:lang w:val="en-US" w:eastAsia="en-US" w:bidi="ar-SA"/>
      </w:rPr>
    </w:rPrDefault>
    <w:pPrDefault>
      <w:pPr>
        <w:pBdr/>
        <w:shd w:val="clear" w:color="auto" w:fill="auto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4"/>
    </w:rPr>
  </w:style>
  <w:style w:type="paragraph" w:styleId="Heading1">
    <w:name w:val="Heading 1"/>
    <w:basedOn w:val="Normal"/>
    <w:next w:val="Normal"/>
    <w:link w:val="标题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标题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  <w:sz w:val="26"/>
      <w:szCs w:val="26"/>
    </w:r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3"/>
      </w:numPr>
      <w:contextualSpacing/>
    </w:pPr>
    <w:rPr/>
  </w:style>
  <w:style w:type="paragraph" w:styleId="Heading3">
    <w:name w:val="Heading 3"/>
    <w:basedOn w:val="Normal"/>
    <w:next w:val="Normal"/>
    <w:link w:val="标题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</w:rPr>
  </w:style>
  <w:style w:type="paragraph" w:styleId="Heading4">
    <w:name w:val="Heading 4"/>
    <w:basedOn w:val="Normal"/>
    <w:next w:val="Normal"/>
    <w:link w:val="标题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标题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ＭＳ ゴシック" w:hAnsi="Calibri" w:asciiTheme="majorHAnsi" w:eastAsiaTheme="majorEastAsia" w:hAnsiTheme="majorHAnsi" w:cs="Times New Roman" w:cstheme="majorBidi"/>
      <w:color w:val="243F60"/>
    </w:rPr>
  </w:style>
  <w:style w:type="paragraph" w:styleId="Heading6">
    <w:name w:val="Heading 6"/>
    <w:basedOn w:val="Normal"/>
    <w:next w:val="Normal"/>
    <w:link w:val="标题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243F60"/>
    </w:rPr>
  </w:style>
  <w:style w:type="paragraph" w:styleId="Heading7">
    <w:name w:val="Heading 7"/>
    <w:basedOn w:val="Normal"/>
    <w:next w:val="Normal"/>
    <w:link w:val="标题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</w:rPr>
  </w:style>
  <w:style w:type="paragraph" w:styleId="Heading8">
    <w:name w:val="Heading 8"/>
    <w:basedOn w:val="Normal"/>
    <w:next w:val="Normal"/>
    <w:link w:val="标题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ＭＳ ゴシック" w:hAnsi="Calibri" w:asciiTheme="majorHAnsi" w:eastAsiaTheme="majorEastAsia" w:hAnsiTheme="majorHAnsi" w:cs="Times New Roman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标题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paragraph" w:styleId="Header">
    <w:name w:val="Header"/>
    <w:basedOn w:val="Normal"/>
    <w:link w:val="页眉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页眉Char">
    <w:name w:val="页眉 Char"/>
    <w:basedOn w:val="DefaultParagraphFont"/>
    <w:link w:val="Header"/>
    <w:uiPriority w:val="99"/>
    <w:rsid w:val="00E618BF"/>
    <w:rPr/>
  </w:style>
  <w:style w:type="paragraph" w:styleId="Footer">
    <w:name w:val="Footer"/>
    <w:basedOn w:val="Normal"/>
    <w:link w:val="页脚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页脚Char">
    <w:name w:val="页脚 Char"/>
    <w:basedOn w:val="DefaultParagraphFont"/>
    <w:link w:val="Footer"/>
    <w:uiPriority w:val="99"/>
    <w:rsid w:val="00E618BF"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标题1Char">
    <w:name w:val="标题 1 Char"/>
    <w:basedOn w:val="DefaultParagraphFont"/>
    <w:link w:val="Heading1"/>
    <w:uiPriority w:val="9"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365F91"/>
      <w:sz w:val="28"/>
      <w:szCs w:val="28"/>
    </w:rPr>
  </w:style>
  <w:style w:type="character" w:customStyle="1" w:styleId="标题2Char">
    <w:name w:val="标题 2 Char"/>
    <w:basedOn w:val="DefaultParagraphFont"/>
    <w:link w:val="Heading2"/>
    <w:uiPriority w:val="9"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  <w:sz w:val="26"/>
      <w:szCs w:val="26"/>
    </w:rPr>
  </w:style>
  <w:style w:type="character" w:customStyle="1" w:styleId="标题3Char">
    <w:name w:val="标题 3 Char"/>
    <w:basedOn w:val="DefaultParagraphFont"/>
    <w:link w:val="Heading3"/>
    <w:uiPriority w:val="9"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</w:rPr>
  </w:style>
  <w:style w:type="paragraph" w:styleId="Title">
    <w:name w:val="Title"/>
    <w:basedOn w:val="Normal"/>
    <w:next w:val="Normal"/>
    <w:link w:val="标题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hAnsi="Calibri" w:asciiTheme="majorHAnsi" w:eastAsiaTheme="majorEastAsia" w:hAnsiTheme="majorHAnsi" w:cs="Times New Roman" w:cstheme="majorBidi"/>
      <w:color w:val="17365D"/>
      <w:spacing w:val="5"/>
      <w:kern w:val="28"/>
      <w:sz w:val="52"/>
      <w:szCs w:val="52"/>
    </w:rPr>
  </w:style>
  <w:style w:type="character" w:customStyle="1" w:styleId="标题Char">
    <w:name w:val="标题 Char"/>
    <w:basedOn w:val="DefaultParagraphFont"/>
    <w:link w:val="Title"/>
    <w:uiPriority w:val="10"/>
    <w:rsid w:val="00FC693F"/>
    <w:rPr>
      <w:rFonts w:ascii="Calibri" w:eastAsia="ＭＳ ゴシック" w:hAnsi="Calibri" w:asciiTheme="majorHAnsi" w:eastAsiaTheme="majorEastAsia" w:hAnsiTheme="majorHAnsi" w:cs="Times New Roman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副标题Char"/>
    <w:uiPriority w:val="11"/>
    <w:qFormat/>
    <w:rsid w:val="00FC693F"/>
    <w:pPr>
      <w:numPr>
        <w:ilvl w:val="1"/>
      </w:numPr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F81BD"/>
      <w:spacing w:val="15"/>
      <w:szCs w:val="24"/>
    </w:rPr>
  </w:style>
  <w:style w:type="character" w:customStyle="1" w:styleId="副标题Char">
    <w:name w:val="副标题 Char"/>
    <w:basedOn w:val="DefaultParagraphFont"/>
    <w:link w:val="Subtitle"/>
    <w:uiPriority w:val="11"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正文文本Char"/>
    <w:uiPriority w:val="99"/>
    <w:unhideWhenUsed/>
    <w:rsid w:val="00AA1D8D"/>
    <w:pPr>
      <w:spacing w:after="120"/>
    </w:pPr>
    <w:rPr/>
  </w:style>
  <w:style w:type="character" w:customStyle="1" w:styleId="正文文本Char">
    <w:name w:val="正文文本 Char"/>
    <w:basedOn w:val="DefaultParagraphFont"/>
    <w:link w:val="BodyText"/>
    <w:uiPriority w:val="99"/>
    <w:rsid w:val="00AA1D8D"/>
    <w:rPr/>
  </w:style>
  <w:style w:type="paragraph" w:styleId="BodyText2">
    <w:name w:val="Body Text 2"/>
    <w:basedOn w:val="Normal"/>
    <w:link w:val="正文文本2Char"/>
    <w:uiPriority w:val="99"/>
    <w:unhideWhenUsed/>
    <w:rsid w:val="00AA1D8D"/>
    <w:pPr>
      <w:spacing w:after="120" w:line="480" w:lineRule="auto"/>
    </w:pPr>
    <w:rPr/>
  </w:style>
  <w:style w:type="character" w:customStyle="1" w:styleId="正文文本2Char">
    <w:name w:val="正文文本 2 Char"/>
    <w:basedOn w:val="DefaultParagraphFont"/>
    <w:link w:val="BodyText2"/>
    <w:uiPriority w:val="99"/>
    <w:rsid w:val="00AA1D8D"/>
    <w:rPr/>
  </w:style>
  <w:style w:type="paragraph" w:styleId="BodyText3">
    <w:name w:val="Body Text 3"/>
    <w:basedOn w:val="Normal"/>
    <w:link w:val="正文文本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正文文本3Char">
    <w:name w:val="正文文本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">
    <w:name w:val="Macro"/>
    <w:link w:val="宏文本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宏文本Char">
    <w:name w:val="宏文本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引用Char"/>
    <w:uiPriority w:val="29"/>
    <w:qFormat/>
    <w:rsid w:val="00FC693F"/>
    <w:rPr>
      <w:i/>
      <w:iCs/>
      <w:color w:val="000000"/>
    </w:rPr>
  </w:style>
  <w:style w:type="character" w:customStyle="1" w:styleId="引用Char">
    <w:name w:val="引用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标题4Char">
    <w:name w:val="标题 4 Char"/>
    <w:basedOn w:val="DefaultParagraphFont"/>
    <w:link w:val="Heading4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i/>
      <w:iCs/>
      <w:color w:val="4F81BD"/>
    </w:rPr>
  </w:style>
  <w:style w:type="character" w:customStyle="1" w:styleId="标题5Char">
    <w:name w:val="标题 5 Char"/>
    <w:basedOn w:val="DefaultParagraphFont"/>
    <w:link w:val="Heading5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color w:val="243F60"/>
    </w:rPr>
  </w:style>
  <w:style w:type="character" w:customStyle="1" w:styleId="标题6Char">
    <w:name w:val="标题 6 Char"/>
    <w:basedOn w:val="DefaultParagraphFont"/>
    <w:link w:val="Heading6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243F60"/>
    </w:rPr>
  </w:style>
  <w:style w:type="character" w:customStyle="1" w:styleId="标题7Char">
    <w:name w:val="标题 7 Char"/>
    <w:basedOn w:val="DefaultParagraphFont"/>
    <w:link w:val="Heading7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</w:rPr>
  </w:style>
  <w:style w:type="character" w:customStyle="1" w:styleId="标题8Char">
    <w:name w:val="标题 8 Char"/>
    <w:basedOn w:val="DefaultParagraphFont"/>
    <w:link w:val="Heading8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color w:val="4F81BD"/>
      <w:sz w:val="20"/>
      <w:szCs w:val="20"/>
    </w:rPr>
  </w:style>
  <w:style w:type="character" w:customStyle="1" w:styleId="标题9Char">
    <w:name w:val="标题 9 Char"/>
    <w:basedOn w:val="DefaultParagraphFont"/>
    <w:link w:val="Heading9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明显引用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明显引用Char">
    <w:name w:val="明显引用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NormalTable"/>
    <w:uiPriority w:val="59"/>
    <w:rsid w:val="00FC693F"/>
    <w:pPr>
      <w:spacing w:after="0" w:line="240" w:lineRule="auto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uto" w:themeColor="text1"/>
          <w:left w:val="nil"/>
          <w:bottom w:val="single" w:sz="8" w:space="0" w:color="auto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uto" w:themeColor="text1"/>
          <w:left w:val="nil"/>
          <w:bottom w:val="single" w:sz="8" w:space="0" w:color="auto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NormalTable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Accent2">
    <w:name w:val="Light Shading Accent 2"/>
    <w:basedOn w:val="NormalTable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Accent3">
    <w:name w:val="Light Shading Accent 3"/>
    <w:basedOn w:val="NormalTable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Accent4">
    <w:name w:val="Light Shading Accent 4"/>
    <w:basedOn w:val="NormalTable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Accent5">
    <w:name w:val="Light Shading Accent 5"/>
    <w:basedOn w:val="NormalTable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Accent6">
    <w:name w:val="Light Shading Accent 6"/>
    <w:basedOn w:val="NormalTable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NormalTable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  <w:tblStylePr w:type="band1Horz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</w:style>
  <w:style w:type="table" w:styleId="LightListAccent1">
    <w:name w:val="Light List Accent 1"/>
    <w:basedOn w:val="NormalTable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auto" w:themeColor="text1"/>
          <w:left w:val="single" w:sz="8" w:space="0" w:color="auto" w:themeColor="text1"/>
          <w:bottom w:val="single" w:sz="18" w:space="0" w:color="auto" w:themeColor="text1"/>
          <w:right w:val="single" w:sz="8" w:space="0" w:color="auto" w:themeColor="text1"/>
          <w:insideH w:val="nil"/>
          <w:insideV w:val="single" w:sz="8" w:space="0" w:color="auto" w:themeColor="text1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  <w:insideH w:val="nil"/>
          <w:insideV w:val="single" w:sz="8" w:space="0" w:color="auto" w:themeColor="text1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  <w:tblStylePr w:type="band1Vert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  <w:shd w:val="clear" w:color="auto" w:fill="C0C0C0"/>
      </w:tcPr>
    </w:tblStylePr>
    <w:tblStylePr w:type="band1Horz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  <w:insideV w:val="single" w:sz="8" w:space="0" w:color="auto" w:themeColor="text1"/>
        </w:tcBorders>
        <w:shd w:val="clear" w:color="auto" w:fill="C0C0C0"/>
      </w:tcPr>
    </w:tblStylePr>
    <w:tblStylePr w:type="band2Horz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  <w:insideV w:val="single" w:sz="8" w:space="0" w:color="auto" w:themeColor="text1"/>
        </w:tcBorders>
      </w:tcPr>
    </w:tblStylePr>
  </w:style>
  <w:style w:type="table" w:styleId="LightGridAccent1">
    <w:name w:val="Light Grid Accent 1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/>
      </w:tcPr>
    </w:tblStylePr>
    <w:tblStylePr w:type="band1Horz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/>
      </w:tcPr>
    </w:tblStylePr>
    <w:tblStylePr w:type="band2Horz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/>
      </w:tcPr>
    </w:tblStylePr>
    <w:tblStylePr w:type="band1Horz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/>
      </w:tcPr>
    </w:tblStylePr>
    <w:tblStylePr w:type="band2Horz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/>
      </w:tcPr>
    </w:tblStylePr>
    <w:tblStylePr w:type="band1Horz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/>
      </w:tcPr>
    </w:tblStylePr>
    <w:tblStylePr w:type="band2Horz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C0C0C0"/>
      </w:tcPr>
    </w:tblStylePr>
    <w:tblStylePr w:type="band1Horz">
      <w:r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3DFEE"/>
      </w:tcPr>
    </w:tblStylePr>
    <w:tblStylePr w:type="band1Horz">
      <w:r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EFD3D2"/>
      </w:tcPr>
    </w:tblStylePr>
    <w:tblStylePr w:type="band1Horz">
      <w:r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E6EED5"/>
      </w:tcPr>
    </w:tblStylePr>
    <w:tblStylePr w:type="band1Horz">
      <w:r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FD8E8"/>
      </w:tcPr>
    </w:tblStylePr>
    <w:tblStylePr w:type="band1Horz">
      <w:r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2EAF1"/>
      </w:tcPr>
    </w:tblStylePr>
    <w:tblStylePr w:type="band1Horz">
      <w:r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FDE4D0"/>
      </w:tcPr>
    </w:tblStylePr>
    <w:tblStylePr w:type="band1Horz">
      <w:r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auto" w:themeColor="tex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auto" w:themeColor="text1"/>
          <w:bottom w:val="single" w:sz="8" w:space="0" w:color="auto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uto" w:themeColor="text1"/>
          <w:bottom w:val="single" w:sz="8" w:space="0" w:color="auto" w:themeColor="text1"/>
        </w:tcBorders>
      </w:tcPr>
    </w:tblStylePr>
    <w:tblStylePr w:type="band1Vert">
      <w:rPr/>
      <w:tcPr>
        <w:shd w:val="clear" w:color="auto" w:fill="C0C0C0"/>
      </w:tcPr>
    </w:tblStylePr>
    <w:tblStylePr w:type="band1Horz">
      <w:rPr/>
      <w:tcPr>
        <w:shd w:val="clear" w:color="auto" w:fill="C0C0C0"/>
      </w:tcPr>
    </w:tblStylePr>
  </w:style>
  <w:style w:type="table" w:styleId="MediumList1Accent1">
    <w:name w:val="Medium List 1 Accent 1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/>
      <w:tcPr>
        <w:shd w:val="clear" w:color="auto" w:fill="D3DFEE"/>
      </w:tcPr>
    </w:tblStylePr>
    <w:tblStylePr w:type="band1Horz">
      <w:rPr/>
      <w:tcPr>
        <w:shd w:val="clear" w:color="auto" w:fill="D3DFEE"/>
      </w:tcPr>
    </w:tblStylePr>
  </w:style>
  <w:style w:type="table" w:styleId="MediumList1Accent2">
    <w:name w:val="Medium List 1 Accent 2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rPr/>
      <w:tcPr>
        <w:shd w:val="clear" w:color="auto" w:fill="EFD3D2"/>
      </w:tcPr>
    </w:tblStylePr>
    <w:tblStylePr w:type="band1Horz">
      <w:rPr/>
      <w:tcPr>
        <w:shd w:val="clear" w:color="auto" w:fill="EFD3D2"/>
      </w:tcPr>
    </w:tblStylePr>
  </w:style>
  <w:style w:type="table" w:styleId="MediumList1Accent3">
    <w:name w:val="Medium List 1 Accent 3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rPr/>
      <w:tcPr>
        <w:shd w:val="clear" w:color="auto" w:fill="E6EED5"/>
      </w:tcPr>
    </w:tblStylePr>
    <w:tblStylePr w:type="band1Horz">
      <w:rPr/>
      <w:tcPr>
        <w:shd w:val="clear" w:color="auto" w:fill="E6EED5"/>
      </w:tcPr>
    </w:tblStylePr>
  </w:style>
  <w:style w:type="table" w:styleId="MediumList1Accent4">
    <w:name w:val="Medium List 1 Accent 4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rPr/>
      <w:tcPr>
        <w:shd w:val="clear" w:color="auto" w:fill="DFD8E8"/>
      </w:tcPr>
    </w:tblStylePr>
    <w:tblStylePr w:type="band1Horz">
      <w:rPr/>
      <w:tcPr>
        <w:shd w:val="clear" w:color="auto" w:fill="DFD8E8"/>
      </w:tcPr>
    </w:tblStylePr>
  </w:style>
  <w:style w:type="table" w:styleId="MediumList1Accent5">
    <w:name w:val="Medium List 1 Accent 5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rPr/>
      <w:tcPr>
        <w:shd w:val="clear" w:color="auto" w:fill="D2EAF1"/>
      </w:tcPr>
    </w:tblStylePr>
    <w:tblStylePr w:type="band1Horz">
      <w:rPr/>
      <w:tcPr>
        <w:shd w:val="clear" w:color="auto" w:fill="D2EAF1"/>
      </w:tcPr>
    </w:tblStylePr>
  </w:style>
  <w:style w:type="table" w:styleId="MediumList1Accent6">
    <w:name w:val="Medium List 1 Accent 6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rPr/>
      <w:tcPr>
        <w:shd w:val="clear" w:color="auto" w:fill="FDE4D0"/>
      </w:tcPr>
    </w:tblStylePr>
    <w:tblStylePr w:type="band1Horz">
      <w:rPr/>
      <w:tcPr>
        <w:shd w:val="clear" w:color="auto" w:fill="FDE4D0"/>
      </w:tcPr>
    </w:tblStylePr>
  </w:style>
  <w:style w:type="table" w:styleId="MediumList2">
    <w:name w:val="Medium List 2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auto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auto" w:themeColor="text1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auto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1">
    <w:name w:val="Medium List 2 Accent 1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2">
    <w:name w:val="Medium List 2 Accent 2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3">
    <w:name w:val="Medium List 2 Accent 3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4">
    <w:name w:val="Medium List 2 Accent 4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5">
    <w:name w:val="Medium List 2 Accent 5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6">
    <w:name w:val="Medium List 2 Accent 6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Grid1">
    <w:name w:val="Medium Grid 1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808080"/>
      </w:tcPr>
    </w:tblStylePr>
    <w:tblStylePr w:type="band1Horz">
      <w:rPr/>
      <w:tcPr>
        <w:shd w:val="clear" w:color="auto" w:fill="808080"/>
      </w:tcPr>
    </w:tblStylePr>
  </w:style>
  <w:style w:type="table" w:styleId="MediumGrid1Accent1">
    <w:name w:val="Medium Grid 1 Accent 1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A7BFDE"/>
      </w:tcPr>
    </w:tblStylePr>
    <w:tblStylePr w:type="band1Horz">
      <w:rPr/>
      <w:tcPr>
        <w:shd w:val="clear" w:color="auto" w:fill="A7BFDE"/>
      </w:tcPr>
    </w:tblStylePr>
  </w:style>
  <w:style w:type="table" w:styleId="MediumGrid1Accent2">
    <w:name w:val="Medium Grid 1 Accent 2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FA7A6"/>
      </w:tcPr>
    </w:tblStylePr>
    <w:tblStylePr w:type="band1Horz">
      <w:rPr/>
      <w:tcPr>
        <w:shd w:val="clear" w:color="auto" w:fill="DFA7A6"/>
      </w:tcPr>
    </w:tblStylePr>
  </w:style>
  <w:style w:type="table" w:styleId="MediumGrid1Accent3">
    <w:name w:val="Medium Grid 1 Accent 3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CDDDAC"/>
      </w:tcPr>
    </w:tblStylePr>
    <w:tblStylePr w:type="band1Horz">
      <w:rPr/>
      <w:tcPr>
        <w:shd w:val="clear" w:color="auto" w:fill="CDDDAC"/>
      </w:tcPr>
    </w:tblStylePr>
  </w:style>
  <w:style w:type="table" w:styleId="MediumGrid1Accent4">
    <w:name w:val="Medium Grid 1 Accent 4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BFB1D0"/>
      </w:tcPr>
    </w:tblStylePr>
    <w:tblStylePr w:type="band1Horz">
      <w:rPr/>
      <w:tcPr>
        <w:shd w:val="clear" w:color="auto" w:fill="BFB1D0"/>
      </w:tcPr>
    </w:tblStylePr>
  </w:style>
  <w:style w:type="table" w:styleId="MediumGrid1Accent5">
    <w:name w:val="Medium Grid 1 Accent 5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A5D5E2"/>
      </w:tcPr>
    </w:tblStylePr>
    <w:tblStylePr w:type="band1Horz">
      <w:rPr/>
      <w:tcPr>
        <w:shd w:val="clear" w:color="auto" w:fill="A5D5E2"/>
      </w:tcPr>
    </w:tblStylePr>
  </w:style>
  <w:style w:type="table" w:styleId="MediumGrid1Accent6">
    <w:name w:val="Medium Grid 1 Accent 6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FBCAA2"/>
      </w:tcPr>
    </w:tblStylePr>
    <w:tblStylePr w:type="band1Horz">
      <w:rPr/>
      <w:tcPr>
        <w:shd w:val="clear" w:color="auto" w:fill="FBCAA2"/>
      </w:tcPr>
    </w:tblStylePr>
  </w:style>
  <w:style w:type="table" w:styleId="MediumGrid2">
    <w:name w:val="Medium Grid 2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 w:themeColor="text1"/>
      </w:rPr>
      <w:tcPr>
        <w:shd w:val="clear" w:color="auto" w:fill="E6E6E6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/>
      <w:tcPr>
        <w:shd w:val="clear" w:color="auto" w:fill="808080"/>
      </w:tcPr>
    </w:tblStylePr>
    <w:tblStylePr w:type="band1Horz">
      <w:rPr/>
      <w:tcPr>
        <w:tcBorders>
          <w:insideH w:val="single" w:sz="6" w:space="0" w:color="auto" w:themeColor="text1"/>
          <w:insideV w:val="single" w:sz="6" w:space="0" w:color="auto" w:themeColor="text1"/>
        </w:tcBorders>
        <w:shd w:val="clear" w:color="auto" w:fill="808080"/>
      </w:tcPr>
    </w:tblStylePr>
    <w:tblStylePr w:type="nwCell">
      <w:rPr/>
      <w:tcPr>
        <w:shd w:val="clear" w:color="auto" w:fill="FFFFFF"/>
      </w:tcPr>
    </w:tblStylePr>
  </w:style>
  <w:style w:type="table" w:styleId="MediumGrid2Accent1">
    <w:name w:val="Medium Grid 2 Accent 1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 w:themeColor="text1"/>
      </w:rPr>
      <w:tcPr>
        <w:shd w:val="clear" w:color="auto" w:fill="EDF2F8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/>
      <w:tcPr>
        <w:shd w:val="clear" w:color="auto" w:fill="A7BFDE"/>
      </w:tcPr>
    </w:tblStylePr>
    <w:tblStylePr w:type="band1Horz">
      <w:r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/>
      </w:tcPr>
    </w:tblStylePr>
    <w:tblStylePr w:type="nwCell">
      <w:rPr/>
      <w:tcPr>
        <w:shd w:val="clear" w:color="auto" w:fill="FFFFFF"/>
      </w:tcPr>
    </w:tblStylePr>
  </w:style>
  <w:style w:type="table" w:styleId="MediumGrid2Accent2">
    <w:name w:val="Medium Grid 2 Accent 2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 w:themeColor="text1"/>
      </w:rPr>
      <w:tcPr>
        <w:shd w:val="clear" w:color="auto" w:fill="F8EDED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/>
      <w:tcPr>
        <w:shd w:val="clear" w:color="auto" w:fill="DFA7A6"/>
      </w:tcPr>
    </w:tblStylePr>
    <w:tblStylePr w:type="band1Horz">
      <w:r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rPr/>
      <w:tcPr>
        <w:shd w:val="clear" w:color="auto" w:fill="FFFFFF"/>
      </w:tcPr>
    </w:tblStylePr>
  </w:style>
  <w:style w:type="table" w:styleId="MediumGrid2Accent3">
    <w:name w:val="Medium Grid 2 Accent 3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 w:themeColor="text1"/>
      </w:rPr>
      <w:tcPr>
        <w:shd w:val="clear" w:color="auto" w:fill="F5F8EE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/>
      <w:tcPr>
        <w:shd w:val="clear" w:color="auto" w:fill="CDDDAC"/>
      </w:tcPr>
    </w:tblStylePr>
    <w:tblStylePr w:type="band1Horz">
      <w:r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rPr/>
      <w:tcPr>
        <w:shd w:val="clear" w:color="auto" w:fill="FFFFFF"/>
      </w:tcPr>
    </w:tblStylePr>
  </w:style>
  <w:style w:type="table" w:styleId="MediumGrid2Accent4">
    <w:name w:val="Medium Grid 2 Accent 4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 w:themeColor="text1"/>
      </w:rPr>
      <w:tcPr>
        <w:shd w:val="clear" w:color="auto" w:fill="F2EFF6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/>
      <w:tcPr>
        <w:shd w:val="clear" w:color="auto" w:fill="BFB1D0"/>
      </w:tcPr>
    </w:tblStylePr>
    <w:tblStylePr w:type="band1Horz">
      <w:r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/>
      </w:tcPr>
    </w:tblStylePr>
    <w:tblStylePr w:type="nwCell">
      <w:rPr/>
      <w:tcPr>
        <w:shd w:val="clear" w:color="auto" w:fill="FFFFFF"/>
      </w:tcPr>
    </w:tblStylePr>
  </w:style>
  <w:style w:type="table" w:styleId="MediumGrid2Accent5">
    <w:name w:val="Medium Grid 2 Accent 5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 w:themeColor="text1"/>
      </w:rPr>
      <w:tcPr>
        <w:shd w:val="clear" w:color="auto" w:fill="EDF6F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/>
      <w:tcPr>
        <w:shd w:val="clear" w:color="auto" w:fill="A5D5E2"/>
      </w:tcPr>
    </w:tblStylePr>
    <w:tblStylePr w:type="band1Horz">
      <w:r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/>
      </w:tcPr>
    </w:tblStylePr>
    <w:tblStylePr w:type="nwCell">
      <w:rPr/>
      <w:tcPr>
        <w:shd w:val="clear" w:color="auto" w:fill="FFFFFF"/>
      </w:tcPr>
    </w:tblStylePr>
  </w:style>
  <w:style w:type="table" w:styleId="MediumGrid2Accent6">
    <w:name w:val="Medium Grid 2 Accent 6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 w:themeColor="text1"/>
      </w:rPr>
      <w:tcPr>
        <w:shd w:val="clear" w:color="auto" w:fill="FEF4EC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/>
      <w:tcPr>
        <w:shd w:val="clear" w:color="auto" w:fill="FBCAA2"/>
      </w:tcPr>
    </w:tblStylePr>
    <w:tblStylePr w:type="band1Horz">
      <w:r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rPr/>
      <w:tcPr>
        <w:shd w:val="clear" w:color="auto" w:fill="FFFFFF"/>
      </w:tcPr>
    </w:tblStylePr>
  </w:style>
  <w:style w:type="table" w:styleId="MediumGrid3">
    <w:name w:val="Medium Grid 3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Accent1">
    <w:name w:val="Medium Grid 3 Accent 1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/>
      </w:tcPr>
    </w:tblStylePr>
  </w:style>
  <w:style w:type="table" w:styleId="MediumGrid3Accent2">
    <w:name w:val="Medium Grid 3 Accent 2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Accent3">
    <w:name w:val="Medium Grid 3 Accent 3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Accent4">
    <w:name w:val="Medium Grid 3 Accent 4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/>
      </w:tcPr>
    </w:tblStylePr>
  </w:style>
  <w:style w:type="table" w:styleId="MediumGrid3Accent5">
    <w:name w:val="Medium Grid 3 Accent 5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/>
      </w:tcPr>
    </w:tblStylePr>
  </w:style>
  <w:style w:type="table" w:styleId="MediumGrid3Accent6">
    <w:name w:val="Medium Grid 3 Accent 6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Accent2">
    <w:name w:val="Dark List Accent 2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Accent3">
    <w:name w:val="Dark List Accent 3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Accent4">
    <w:name w:val="Dark List Accent 4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Accent5">
    <w:name w:val="Dark List Accent 5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Accent6">
    <w:name w:val="Dark List Accent 6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auto"/>
        <w:bottom w:val="single" w:sz="4" w:space="0" w:color="auto"/>
        <w:right w:val="single" w:sz="4" w:space="0" w:color="auto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auto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shd w:val="clear" w:color="auto" w:fill="999999"/>
      </w:tcPr>
    </w:tblStylePr>
    <w:tblStylePr w:type="band1Horz">
      <w:r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C4C74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/>
      <w:tcPr>
        <w:shd w:val="clear" w:color="auto" w:fill="B8CCE4"/>
      </w:tcPr>
    </w:tblStylePr>
    <w:tblStylePr w:type="band1Horz">
      <w:rPr/>
      <w:tcPr>
        <w:shd w:val="clear" w:color="auto" w:fill="A7BFDE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/>
      <w:tcPr>
        <w:shd w:val="clear" w:color="auto" w:fill="E5B8B7"/>
      </w:tcPr>
    </w:tblStylePr>
    <w:tblStylePr w:type="band1Horz">
      <w:rPr/>
      <w:tcPr>
        <w:shd w:val="clear" w:color="auto" w:fill="DFA7A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/>
      <w:tcPr>
        <w:shd w:val="clear" w:color="auto" w:fill="D6E3BC"/>
      </w:tcPr>
    </w:tblStylePr>
    <w:tblStylePr w:type="band1Horz">
      <w:rPr/>
      <w:tcPr>
        <w:shd w:val="clear" w:color="auto" w:fill="CDDDAC"/>
      </w:tcPr>
    </w:tblStylePr>
  </w:style>
  <w:style w:type="table" w:styleId="ColorfulShadingAccent4">
    <w:name w:val="Colorful Shading Accent 4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4C3B62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/>
      <w:tcPr>
        <w:shd w:val="clear" w:color="auto" w:fill="CCC0D9"/>
      </w:tcPr>
    </w:tblStylePr>
    <w:tblStylePr w:type="band1Horz">
      <w:rPr/>
      <w:tcPr>
        <w:shd w:val="clear" w:color="auto" w:fill="BFB1D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76A7C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/>
      <w:tcPr>
        <w:shd w:val="clear" w:color="auto" w:fill="B6DDE8"/>
      </w:tcPr>
    </w:tblStylePr>
    <w:tblStylePr w:type="band1Horz">
      <w:rPr/>
      <w:tcPr>
        <w:shd w:val="clear" w:color="auto" w:fill="A5D5E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/>
      <w:tcPr>
        <w:shd w:val="clear" w:color="auto" w:fill="FBD4B4"/>
      </w:tcPr>
    </w:tblStylePr>
    <w:tblStylePr w:type="band1Horz">
      <w:rPr/>
      <w:tcPr>
        <w:shd w:val="clear" w:color="auto" w:fill="FBCAA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/>
      <w:tcPr>
        <w:shd w:val="clear" w:color="auto" w:fill="CCCCCC"/>
      </w:tcPr>
    </w:tblStylePr>
  </w:style>
  <w:style w:type="table" w:styleId="ColorfulListAccent1">
    <w:name w:val="Colorful List Accent 1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/>
      <w:tcPr>
        <w:shd w:val="clear" w:color="auto" w:fill="DBE5F1"/>
      </w:tcPr>
    </w:tblStylePr>
  </w:style>
  <w:style w:type="table" w:styleId="ColorfulListAccent2">
    <w:name w:val="Colorful List Accent 2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/>
      <w:tcPr>
        <w:shd w:val="clear" w:color="auto" w:fill="F2DBDB"/>
      </w:tcPr>
    </w:tblStylePr>
  </w:style>
  <w:style w:type="table" w:styleId="ColorfulListAccent3">
    <w:name w:val="Colorful List Accent 3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664E82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/>
      <w:tcPr>
        <w:shd w:val="clear" w:color="auto" w:fill="EAF1DD"/>
      </w:tcPr>
    </w:tblStylePr>
  </w:style>
  <w:style w:type="table" w:styleId="ColorfulListAccent4">
    <w:name w:val="Colorful List Accent 4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/>
      <w:tcPr>
        <w:shd w:val="clear" w:color="auto" w:fill="E5DFEC"/>
      </w:tcPr>
    </w:tblStylePr>
  </w:style>
  <w:style w:type="table" w:styleId="ColorfulListAccent5">
    <w:name w:val="Colorful List Accent 5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/>
      <w:tcPr>
        <w:shd w:val="clear" w:color="auto" w:fill="DAEEF3"/>
      </w:tcPr>
    </w:tblStylePr>
  </w:style>
  <w:style w:type="table" w:styleId="ColorfulListAccent6">
    <w:name w:val="Colorful List Accent 6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348DA5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/>
      <w:tcPr>
        <w:shd w:val="clear" w:color="auto" w:fill="FDE9D9"/>
      </w:tcPr>
    </w:tblStylePr>
  </w:style>
  <w:style w:type="table" w:styleId="ColorfulGrid">
    <w:name w:val="Colorful Grid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 w:themeColor="text1"/>
      </w:rPr>
      <w:tcPr>
        <w:shd w:val="clear" w:color="auto" w:fill="999999"/>
      </w:tcPr>
    </w:tblStylePr>
    <w:tblStylePr w:type="firstCol">
      <w:rPr>
        <w:color w:val="FFFFFF" w:themeColor="background1"/>
      </w:rPr>
      <w:tcPr>
        <w:shd w:val="clear" w:color="auto" w:fill="000000"/>
      </w:tcPr>
    </w:tblStylePr>
    <w:tblStylePr w:type="lastCol">
      <w:rPr>
        <w:color w:val="FFFFFF" w:themeColor="background1"/>
      </w:rPr>
      <w:tcPr>
        <w:shd w:val="clear" w:color="auto" w:fill="000000"/>
      </w:tcPr>
    </w:tblStylePr>
    <w:tblStylePr w:type="band1Vert">
      <w:rPr/>
      <w:tcPr>
        <w:shd w:val="clear" w:color="auto" w:fill="808080"/>
      </w:tcPr>
    </w:tblStylePr>
    <w:tblStylePr w:type="band1Horz">
      <w:rPr/>
      <w:tcPr>
        <w:shd w:val="clear" w:color="auto" w:fill="808080"/>
      </w:tcPr>
    </w:tblStylePr>
  </w:style>
  <w:style w:type="table" w:styleId="ColorfulGridAccent1">
    <w:name w:val="Colorful Grid Accent 1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 w:themeColor="text1"/>
      </w:rPr>
      <w:tcPr>
        <w:shd w:val="clear" w:color="auto" w:fill="B8CCE4"/>
      </w:tcPr>
    </w:tblStylePr>
    <w:tblStylePr w:type="firstCol">
      <w:rPr>
        <w:color w:val="FFFFFF" w:themeColor="background1"/>
      </w:rPr>
      <w:tcPr>
        <w:shd w:val="clear" w:color="auto" w:fill="365F91"/>
      </w:tcPr>
    </w:tblStylePr>
    <w:tblStylePr w:type="lastCol">
      <w:rPr>
        <w:color w:val="FFFFFF" w:themeColor="background1"/>
      </w:rPr>
      <w:tcPr>
        <w:shd w:val="clear" w:color="auto" w:fill="365F91"/>
      </w:tcPr>
    </w:tblStylePr>
    <w:tblStylePr w:type="band1Vert">
      <w:rPr/>
      <w:tcPr>
        <w:shd w:val="clear" w:color="auto" w:fill="A7BFDE"/>
      </w:tcPr>
    </w:tblStylePr>
    <w:tblStylePr w:type="band1Horz">
      <w:rPr/>
      <w:tcPr>
        <w:shd w:val="clear" w:color="auto" w:fill="A7BFDE"/>
      </w:tcPr>
    </w:tblStylePr>
  </w:style>
  <w:style w:type="table" w:styleId="ColorfulGridAccent2">
    <w:name w:val="Colorful Grid Accent 2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 w:themeColor="text1"/>
      </w:rPr>
      <w:tcPr>
        <w:shd w:val="clear" w:color="auto" w:fill="E5B8B7"/>
      </w:tcPr>
    </w:tblStylePr>
    <w:tblStylePr w:type="firstCol">
      <w:rPr>
        <w:color w:val="FFFFFF" w:themeColor="background1"/>
      </w:rPr>
      <w:tcPr>
        <w:shd w:val="clear" w:color="auto" w:fill="943634"/>
      </w:tcPr>
    </w:tblStylePr>
    <w:tblStylePr w:type="lastCol">
      <w:rPr>
        <w:color w:val="FFFFFF" w:themeColor="background1"/>
      </w:rPr>
      <w:tcPr>
        <w:shd w:val="clear" w:color="auto" w:fill="943634"/>
      </w:tcPr>
    </w:tblStylePr>
    <w:tblStylePr w:type="band1Vert">
      <w:rPr/>
      <w:tcPr>
        <w:shd w:val="clear" w:color="auto" w:fill="DFA7A6"/>
      </w:tcPr>
    </w:tblStylePr>
    <w:tblStylePr w:type="band1Horz">
      <w:rPr/>
      <w:tcPr>
        <w:shd w:val="clear" w:color="auto" w:fill="DFA7A6"/>
      </w:tcPr>
    </w:tblStylePr>
  </w:style>
  <w:style w:type="table" w:styleId="ColorfulGridAccent3">
    <w:name w:val="Colorful Grid Accent 3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 w:themeColor="text1"/>
      </w:rPr>
      <w:tcPr>
        <w:shd w:val="clear" w:color="auto" w:fill="D6E3BC"/>
      </w:tcPr>
    </w:tblStylePr>
    <w:tblStylePr w:type="firstCol">
      <w:rPr>
        <w:color w:val="FFFFFF" w:themeColor="background1"/>
      </w:rPr>
      <w:tcPr>
        <w:shd w:val="clear" w:color="auto" w:fill="76923C"/>
      </w:tcPr>
    </w:tblStylePr>
    <w:tblStylePr w:type="lastCol">
      <w:rPr>
        <w:color w:val="FFFFFF" w:themeColor="background1"/>
      </w:rPr>
      <w:tcPr>
        <w:shd w:val="clear" w:color="auto" w:fill="76923C"/>
      </w:tcPr>
    </w:tblStylePr>
    <w:tblStylePr w:type="band1Vert">
      <w:rPr/>
      <w:tcPr>
        <w:shd w:val="clear" w:color="auto" w:fill="CDDDAC"/>
      </w:tcPr>
    </w:tblStylePr>
    <w:tblStylePr w:type="band1Horz">
      <w:rPr/>
      <w:tcPr>
        <w:shd w:val="clear" w:color="auto" w:fill="CDDDAC"/>
      </w:tcPr>
    </w:tblStylePr>
  </w:style>
  <w:style w:type="table" w:styleId="ColorfulGridAccent4">
    <w:name w:val="Colorful Grid Accent 4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 w:themeColor="text1"/>
      </w:rPr>
      <w:tcPr>
        <w:shd w:val="clear" w:color="auto" w:fill="CCC0D9"/>
      </w:tcPr>
    </w:tblStylePr>
    <w:tblStylePr w:type="firstCol">
      <w:rPr>
        <w:color w:val="FFFFFF" w:themeColor="background1"/>
      </w:rPr>
      <w:tcPr>
        <w:shd w:val="clear" w:color="auto" w:fill="5F497A"/>
      </w:tcPr>
    </w:tblStylePr>
    <w:tblStylePr w:type="lastCol">
      <w:rPr>
        <w:color w:val="FFFFFF" w:themeColor="background1"/>
      </w:rPr>
      <w:tcPr>
        <w:shd w:val="clear" w:color="auto" w:fill="5F497A"/>
      </w:tcPr>
    </w:tblStylePr>
    <w:tblStylePr w:type="band1Vert">
      <w:rPr/>
      <w:tcPr>
        <w:shd w:val="clear" w:color="auto" w:fill="BFB1D0"/>
      </w:tcPr>
    </w:tblStylePr>
    <w:tblStylePr w:type="band1Horz">
      <w:rPr/>
      <w:tcPr>
        <w:shd w:val="clear" w:color="auto" w:fill="BFB1D0"/>
      </w:tcPr>
    </w:tblStylePr>
  </w:style>
  <w:style w:type="table" w:styleId="ColorfulGridAccent5">
    <w:name w:val="Colorful Grid Accent 5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 w:themeColor="text1"/>
      </w:rPr>
      <w:tcPr>
        <w:shd w:val="clear" w:color="auto" w:fill="B6DDE8"/>
      </w:tcPr>
    </w:tblStylePr>
    <w:tblStylePr w:type="firstCol">
      <w:rPr>
        <w:color w:val="FFFFFF" w:themeColor="background1"/>
      </w:rPr>
      <w:tcPr>
        <w:shd w:val="clear" w:color="auto" w:fill="31849B"/>
      </w:tcPr>
    </w:tblStylePr>
    <w:tblStylePr w:type="lastCol">
      <w:rPr>
        <w:color w:val="FFFFFF" w:themeColor="background1"/>
      </w:rPr>
      <w:tcPr>
        <w:shd w:val="clear" w:color="auto" w:fill="31849B"/>
      </w:tcPr>
    </w:tblStylePr>
    <w:tblStylePr w:type="band1Vert">
      <w:rPr/>
      <w:tcPr>
        <w:shd w:val="clear" w:color="auto" w:fill="A5D5E2"/>
      </w:tcPr>
    </w:tblStylePr>
    <w:tblStylePr w:type="band1Horz">
      <w:rPr/>
      <w:tcPr>
        <w:shd w:val="clear" w:color="auto" w:fill="A5D5E2"/>
      </w:tcPr>
    </w:tblStylePr>
  </w:style>
  <w:style w:type="table" w:styleId="ColorfulGridAccent6">
    <w:name w:val="Colorful Grid Accent 6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 w:themeColor="text1"/>
      </w:rPr>
      <w:tcPr>
        <w:shd w:val="clear" w:color="auto" w:fill="FBD4B4"/>
      </w:tcPr>
    </w:tblStylePr>
    <w:tblStylePr w:type="firstCol">
      <w:rPr>
        <w:color w:val="FFFFFF" w:themeColor="background1"/>
      </w:rPr>
      <w:tcPr>
        <w:shd w:val="clear" w:color="auto" w:fill="E36C0A"/>
      </w:tcPr>
    </w:tblStylePr>
    <w:tblStylePr w:type="lastCol">
      <w:rPr>
        <w:color w:val="FFFFFF" w:themeColor="background1"/>
      </w:rPr>
      <w:tcPr>
        <w:shd w:val="clear" w:color="auto" w:fill="E36C0A"/>
      </w:tcPr>
    </w:tblStylePr>
    <w:tblStylePr w:type="band1Vert">
      <w:rPr/>
      <w:tcPr>
        <w:shd w:val="clear" w:color="auto" w:fill="FBCAA2"/>
      </w:tcPr>
    </w:tblStylePr>
    <w:tblStylePr w:type="band1Horz">
      <w:r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numbering" Target="numbering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16</Pages>
  <Words>3613</Words>
  <Characters>4301</Characters>
  <Application>Microsoft Office Word</Application>
  <DocSecurity>0</DocSecurity>
  <Lines>165</Lines>
  <Paragraphs>158</Paragraphs>
  <CharactersWithSpaces>7756</CharactersWithSpaces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2026-07-17T17:58:00Z</dcterms:created>
  <dcterms:modified xsi:type="dcterms:W3CDTF">2026-08-01T16:50:00Z</dcterms:modified>
</cp:coreProperties>
</file>