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5c54136bee4328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示例单位2026年财务收支审计实施方案</w:t>
      </w:r>
    </w:p>
    <w:p>
      <w:pPr>
        <w:pStyle w:val="Subtitle"/>
      </w:pPr>
      <w:r>
        <w:t>项目编号：AUD-2026-0001</w:t>
      </w:r>
    </w:p>
    <w:p>
      <w:pPr>
        <w:jc w:val="center"/>
      </w:pPr>
      <w:r>
        <w:t>编制单位：审计处    编制日期：2026年7月</w:t>
      </w:r>
    </w:p>
    <w:p>
      <w:r>
        <w:br w:type="page"/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项目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内容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被审计单位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审计类型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财务收支审计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2026年4月1日至2026年7月31日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审计期间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2025年1月1日至2026年12月31日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方案审批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审计处负责人批准后执行</w:t>
            </w:r>
          </w:p>
        </w:tc>
      </w:tr>
    </w:tbl>
    <w:p>
      <w:pPr>
        <w:pStyle w:val="Heading1"/>
      </w:pPr>
      <w:r>
        <w:t>一、项目背景与基本情况</w:t>
      </w:r>
    </w:p>
    <w:p>
      <w:pPr>
        <w:ind w:firstLineChars="200"/>
        <w:autoSpaceDE/>
        <w:autoSpaceDN/>
      </w:pPr>
      <w:r>
        <w:t>根据学校2026年度审计项目计划，审计处决定对被审计单位开展财务收支审计。被审计单位本期纳入审计范围的资金及资产规模约6,800.00万元，业务涉及预算执行、财务收支、采购合同、资产管理和内部控制等事项。</w:t>
      </w:r>
    </w:p>
    <w:p>
      <w:pPr>
        <w:ind w:firstLineChars="200"/>
        <w:autoSpaceDE/>
        <w:autoSpaceDN/>
      </w:pPr>
      <w:r>
        <w:t>本项目现场审计自2026年4月1日开始，计划于2026年7月31日前完成报告出具和结果反馈。必要时对重大事项以前年度及关联单位进行延伸核查。</w:t>
      </w:r>
    </w:p>
    <w:p>
      <w:pPr>
        <w:pStyle w:val="Heading1"/>
      </w:pPr>
      <w:r>
        <w:t>二、审计目标</w:t>
      </w:r>
    </w:p>
    <w:sdt>
      <w:sdtPr/>
      <w:sdtContent>
        <w:p>
          <w:pPr>
            <w:ind w:left="360" w:hanging="360"/>
          </w:pPr>
          <w:r>
            <w:t>1. 核实财务收支和业务数据的真实性、完整性，确认重大事项账实相符。</w:t>
          </w:r>
        </w:p>
        <w:p>
          <w:pPr>
            <w:ind w:left="360" w:hanging="360"/>
          </w:pPr>
          <w:r>
            <w:t>2. 评价预算管理、决策审批和内部控制制度设计及执行的有效性。</w:t>
          </w:r>
        </w:p>
        <w:p>
          <w:pPr>
            <w:ind w:left="360" w:hanging="360"/>
          </w:pPr>
          <w:r>
            <w:t>3. 揭示资金、资产、工程或经营活动中的突出风险，明确问题责任和影响金额。</w:t>
          </w:r>
        </w:p>
        <w:p>
          <w:pPr>
            <w:ind w:left="360" w:hanging="360"/>
          </w:pPr>
          <w:r>
            <w:t>4. 提出可执行的整改建议，推动被审计单位完善长效机制。</w:t>
          </w:r>
        </w:p>
      </w:sdtContent>
    </w:sdt>
    <w:p>
      <w:pPr>
        <w:pStyle w:val="Heading1"/>
      </w:pPr>
      <w:r>
        <w:t>三、审计依据</w:t>
      </w:r>
    </w:p>
    <w:sdt>
      <w:sdtPr/>
      <w:sdtContent>
        <w:p>
          <w:pPr>
            <w:ind w:left="360" w:hanging="360"/>
          </w:pPr>
          <w:r>
            <w:t>1. 《中华人民共和国审计法》及其实施条例。</w:t>
          </w:r>
        </w:p>
        <w:p>
          <w:pPr>
            <w:ind w:left="360" w:hanging="360"/>
          </w:pPr>
          <w:r>
            <w:t>2. 《审计署关于内部审计工作的规定》《教育系统内部审计工作规定》。</w:t>
          </w:r>
        </w:p>
        <w:p>
          <w:pPr>
            <w:ind w:left="360" w:hanging="360"/>
          </w:pPr>
          <w:r>
            <w:t>3. 政府会计准则制度、学校预算管理办法、采购与合同管理办法及资产管理制度。</w:t>
          </w:r>
        </w:p>
        <w:p>
          <w:pPr>
            <w:ind w:left="360" w:hanging="360"/>
          </w:pPr>
          <w:r>
            <w:t>4. 学校2026年度审计项目计划、审计通知书及经批准的项目任务书。</w:t>
          </w:r>
        </w:p>
      </w:sdtContent>
    </w:sdt>
    <w:p>
      <w:pPr>
        <w:pStyle w:val="Heading1"/>
      </w:pPr>
      <w:r>
        <w:t>四、审计范围与重点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审计领域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主要风险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拟实施程序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责任人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预算及收支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预算调整依据不足、收入未及时入账、支出审批不完整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核对预算指标、总账明细账和大额凭证，实施截止性测试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采购与合同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采购方式规避、合同条款不完整、验收付款脱节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比对采购计划、评审记录、合同、验收单和付款信息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资产管理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账卡物不一致、资产闲置或处置程序缺失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抽盘重点资产，核对资产卡片、使用人和存放地点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内部控制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岗位不相容、授权边界不清、关键控制未留痕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穿行测试关键流程，检查制度执行证据和系统权限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</w:tr>
    </w:tbl>
    <w:p>
      <w:pPr>
        <w:pStyle w:val="Heading1"/>
      </w:pPr>
      <w:r>
        <w:t>五、人员分工</w:t>
      </w:r>
    </w:p>
    <w:p>
      <w:pPr>
        <w:ind w:firstLineChars="200"/>
        <w:autoSpaceDE/>
        <w:autoSpaceDN/>
      </w:pPr>
      <w:r>
        <w:t>人员分工由审计项目负责人依据审计人员专业能力确定，成员均为系统内已授权的审计人员；被审计单位联络员只负责资料报送和沟通，不参与审计结论形成。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角色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姓名及岗位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工作职责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成果要求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统筹实施、重大事项判断、复核底稿和沟通汇报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总体方案、审计报告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陈静（高级审计师）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预算、收支、凭证和往来款核查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财务审计底稿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刘婷（审计师）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采购、合同、项目执行和绩效核查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业务审计底稿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孙文（数据审计岗）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采集数据、规则筛查和异常样本核验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数据分析记录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质量复核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郭强（审计处副处长）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实施方案、重大问题和报告三级复核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复核意见单</w:t>
            </w:r>
          </w:p>
        </w:tc>
      </w:tr>
    </w:tbl>
    <w:p>
      <w:pPr>
        <w:pStyle w:val="Heading1"/>
      </w:pPr>
      <w:r>
        <w:t>六、实施进度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阶段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时间安排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主要任务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交付物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审前准备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送达通知、收集资料、访谈和风险评估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资料清单、访谈记录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现场实施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第1至第4周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数据分析、抽样核查、盘点及外部印证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审计工作底稿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第5周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事实核对、法规复核、征求被审计单位意见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问题确认单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报告阶段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2026年7月31日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形成报告、三级复核并提交审定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审计报告及整改清单</w:t>
            </w:r>
          </w:p>
        </w:tc>
      </w:tr>
    </w:tbl>
    <w:p>
      <w:pPr>
        <w:pStyle w:val="Heading1"/>
      </w:pPr>
      <w:r>
        <w:t>七、抽样与重要性水平</w:t>
      </w:r>
    </w:p>
    <w:p>
      <w:pPr>
        <w:ind w:firstLineChars="200"/>
        <w:autoSpaceDE/>
        <w:autoSpaceDN/>
      </w:pPr>
      <w:r>
        <w:t>以6,800.00万元为总体规模，初步重要性水平按总体金额的0.5%确定，即34.00万元。对单笔超过重要性水平、管理层交易、异常供应商、年末集中入账及制度明确要求全查的事项实施100%检查；其余事项采用金额单位抽样与判断抽样相结合。</w:t>
      </w:r>
    </w:p>
    <w:p>
      <w:pPr>
        <w:pStyle w:val="Heading1"/>
      </w:pPr>
      <w:r>
        <w:t>八、质量控制与廉政纪律</w:t>
      </w:r>
    </w:p>
    <w:sdt>
      <w:sdtPr/>
      <w:sdtContent>
        <w:p>
          <w:pPr>
            <w:ind w:left="360" w:hanging="360"/>
          </w:pPr>
          <w:r>
            <w:t>1. 严格执行审计工作底稿编制、交叉复核和项目负责人复核制度。</w:t>
          </w:r>
        </w:p>
        <w:p>
          <w:pPr>
            <w:ind w:left="360" w:hanging="360"/>
          </w:pPr>
          <w:r>
            <w:t>2. 重大问题实行事实、证据、定性、法规依据和责任主体“五要素”审核。</w:t>
          </w:r>
        </w:p>
        <w:p>
          <w:pPr>
            <w:ind w:left="360" w:hanging="360"/>
          </w:pPr>
          <w:r>
            <w:t>3. 审计人员不得接受宴请、礼品或影响独立性的安排，涉及利害关系的主动申请回避。</w:t>
          </w:r>
        </w:p>
        <w:p>
          <w:pPr>
            <w:ind w:left="360" w:hanging="360"/>
          </w:pPr>
          <w:r>
            <w:t>4. 电子资料在项目权限范围内使用，未经批准不得对外复制或传播。</w:t>
          </w:r>
        </w:p>
      </w:sdtContent>
    </w:sdt>
    <w:p>
      <w:pPr>
        <w:pStyle w:val="Heading1"/>
      </w:pPr>
      <w:r>
        <w:t>九、审批意见</w:t>
      </w:r>
    </w:p>
    <w:tbl>
      <w:tblPr>
        <w:tblW w:w="5000" w:type="pct"/>
        <w:tblBorders>
          <w:top w:val="single" w:color="A6A6A6" w:sz="6"/>
          <w:left w:val="single" w:color="A6A6A6" w:sz="4"/>
          <w:bottom w:val="single" w:color="A6A6A6" w:sz="6"/>
          <w:right w:val="single" w:color="A6A6A6" w:sz="4"/>
          <w:insideH w:val="single" w:color="D9D9D9" w:sz="4"/>
          <w:insideV w:val="single" w:color="D9D9D9" w:sz="4"/>
        </w:tblBorders>
        <w:tblCellMar>
          <w:top w:w="80" w:type="dxa"/>
          <w:left w:w="100" w:type="dxa"/>
          <w:bottom w:w="80" w:type="dxa"/>
          <w:right w:w="100" w:type="dxa"/>
        </w:tblCellMar>
      </w:tblPr>
      <w:tr>
        <w:trPr>
          <w:tblHeader/>
        </w:trPr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审批环节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审批意见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签名</w:t>
            </w:r>
          </w:p>
        </w:tc>
        <w:tc>
          <w:tcPr>
            <w:shd w:val="clear" w:fill="17365D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FFFFFF"/>
                <w:b/>
              </w:rPr>
              <w:t>日期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项目负责人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方案内容完整，建议按计划实施。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审计组组长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</w:tr>
      <w:tr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部门复核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同意实施，重大事项及时报告。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郭强</w:t>
            </w:r>
          </w:p>
        </w:tc>
        <w:tc>
          <w:tcPr>
            <w:shd w:val="clear" w:fill="F2F2F2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</w:tr>
      <w:tr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分管领导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批准。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王明远</w:t>
            </w:r>
          </w:p>
        </w:tc>
        <w:tc>
          <w:tcPr>
            <w:shd w:val="clear" w:fill="FFFFFF"/>
          </w:tcPr>
          <w:p>
            <w:pPr>
              <w:spacing w:after="0" w:line="240" w:lineRule="auto"/>
            </w:pPr>
            <w:r>
              <w:rPr>
                <w:rFonts w:eastAsia="Microsoft YaHei"/>
                <w:sz w:val="20"/>
                <w:color w:val="222222"/>
              </w:rPr>
              <w:t>2026年4月1日</w:t>
            </w:r>
          </w:p>
        </w:tc>
      </w:tr>
    </w:tbl>
    <w:sectPr>
      <w:pgSz w:w="11906" w:h="16838"/>
      <w:pgMar w:top="1440" w:right="1440" w:bottom="1440" w:left="1580" w:header="720" w:footer="720"/>
      <w:headerReference xmlns:r="http://schemas.openxmlformats.org/officeDocument/2006/relationships" w:type="default" r:id="R6a39d0cbf8bf416b"/>
      <w:footerReference xmlns:r="http://schemas.openxmlformats.org/officeDocument/2006/relationships" w:type="default" r:id="Rf848c0f5135c449a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>审计管理系统演示数据  |  第 </w:t>
    </w:r>
    <w:r>
      <w:fldChar w:fldCharType="begin"/>
    </w:r>
    <w:r>
      <w:instrText xml:space="preserve"> PAGE </w:instrText>
    </w:r>
    <w:r>
      <w:fldChar w:fldCharType="end"/>
    </w:r>
    <w:r>
      <w:t> 页</w:t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color="D9EAF7" w:sz="8"/>
      </w:pBdr>
    </w:pPr>
    <w:r>
      <w:rPr>
        <w:sz w:val="18"/>
        <w:color w:val="6B7A90"/>
      </w:rPr>
      <w:t>示例单位2026年财务收支审计实施方案</w:t>
    </w:r>
  </w:p>
</w:hd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lang w:val="zh-CN" w:eastAsia="zh-CN"/>
      </w:rPr>
    </w:rPrDefault>
    <w:pPrDefault>
      <w:pPr>
        <w:spacing w:after="120" w:line="276" w:lineRule="auto"/>
      </w:pPr>
    </w:pPrDefault>
  </w:docDefaults>
  <w:style w:type="paragraph" w:styleId="Normal" w:default="true">
    <w:name w:val="正文"/>
    <w:qFormat/>
    <w:pPr>
      <w:spacing w:after="120" w:line="276" w:lineRule="auto"/>
    </w:pPr>
    <w:rPr>
      <w:rFonts w:eastAsia="SimSun"/>
      <w:sz w:val="22"/>
      <w:color w:val="222222"/>
    </w:rPr>
  </w:style>
  <w:style w:type="paragraph" w:styleId="Title">
    <w:name w:val="标题"/>
    <w:basedOn w:val="Normal"/>
    <w:pPr>
      <w:jc w:val="center"/>
      <w:spacing w:before="200" w:after="260"/>
      <w:keepNext/>
    </w:pPr>
    <w:rPr>
      <w:rFonts w:eastAsia="Microsoft YaHei"/>
      <w:b/>
      <w:sz w:val="38"/>
      <w:color w:val="17365D"/>
    </w:rPr>
  </w:style>
  <w:style w:type="paragraph" w:styleId="Subtitle">
    <w:name w:val="副标题"/>
    <w:basedOn w:val="Normal"/>
    <w:pPr>
      <w:jc w:val="center"/>
      <w:spacing w:after="160"/>
    </w:pPr>
    <w:rPr>
      <w:rFonts w:eastAsia="Microsoft YaHei"/>
      <w:sz w:val="24"/>
      <w:color w:val="666666"/>
    </w:rPr>
  </w:style>
  <w:style w:type="paragraph" w:styleId="Heading1">
    <w:name w:val="标题 1"/>
    <w:basedOn w:val="Normal"/>
    <w:next w:val="Normal"/>
    <w:qFormat/>
    <w:pPr>
      <w:keepNext/>
      <w:keepLines/>
      <w:spacing w:before="360" w:after="100"/>
      <w:outlineLvl w:val="0"/>
    </w:pPr>
    <w:rPr>
      <w:rFonts w:eastAsia="Microsoft YaHei"/>
      <w:b/>
      <w:sz w:val="30"/>
      <w:color w:val="17365D"/>
    </w:rPr>
  </w:style>
  <w:style w:type="paragraph" w:styleId="Heading2">
    <w:name w:val="标题 2"/>
    <w:basedOn w:val="Normal"/>
    <w:next w:val="Normal"/>
    <w:qFormat/>
    <w:pPr>
      <w:keepNext/>
      <w:keepLines/>
      <w:spacing w:before="240" w:after="100"/>
      <w:outlineLvl w:val="1"/>
    </w:pPr>
    <w:rPr>
      <w:rFonts w:eastAsia="Microsoft YaHei"/>
      <w:b/>
      <w:sz w:val="26"/>
      <w:color w:val="2F75B5"/>
    </w:rPr>
  </w:style>
  <w:style w:type="paragraph" w:styleId="Heading3">
    <w:name w:val="标题 3"/>
    <w:basedOn w:val="Normal"/>
    <w:next w:val="Normal"/>
    <w:qFormat/>
    <w:pPr>
      <w:keepNext/>
      <w:keepLines/>
      <w:spacing w:before="240" w:after="100"/>
      <w:outlineLvl w:val="2"/>
    </w:pPr>
    <w:rPr>
      <w:rFonts w:eastAsia="Microsoft YaHei"/>
      <w:b/>
      <w:sz w:val="24"/>
      <w:color w:val="2F75B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1dc818cd7524f4b" /><Relationship Type="http://schemas.openxmlformats.org/officeDocument/2006/relationships/header" Target="/word/header1.xml" Id="R6a39d0cbf8bf416b" /><Relationship Type="http://schemas.openxmlformats.org/officeDocument/2006/relationships/footer" Target="/word/footer1.xml" Id="Rf848c0f5135c449a" /></Relationships>
</file>