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0"/>
      </w:pPr>
      <w:r>
        <w:t>个人博客项目</w:t>
      </w:r>
    </w:p>
    <w:p>
      <w:pPr>
        <w:keepLines/>
        <w:spacing w:after="40"/>
      </w:pPr>
      <w:r>
        <w:rPr>
          <w:rFonts w:ascii="微软雅黑" w:hAnsi="微软雅黑" w:eastAsia="微软雅黑"/>
          <w:color w:val="1E5CB8"/>
          <w:sz w:val="38"/>
        </w:rPr>
        <w:t>定义基线</w:t>
      </w:r>
    </w:p>
    <w:p>
      <w:pPr>
        <w:spacing w:before="40" w:after="40"/>
        <w:pBdr>
          <w:bottom w:val="single" w:sz="12" w:space="1" w:color="1E5CB8"/>
        </w:pBdr>
      </w:pPr>
    </w:p>
    <w:p>
      <w:pPr>
        <w:keepLines/>
      </w:pPr>
      <w:r>
        <w:rPr>
          <w:rFonts w:ascii="微软雅黑" w:hAnsi="微软雅黑" w:eastAsia="微软雅黑"/>
          <w:color w:val="6B7684"/>
          <w:sz w:val="21"/>
        </w:rPr>
        <w:t>Vue 3 + Axios + FastAPI + SQLite　单机云部署（4C4G / 3Mbps）</w:t>
      </w:r>
    </w:p>
    <w:p>
      <w:pPr>
        <w:keepLines/>
      </w:pPr>
      <w:r>
        <w:rPr>
          <w:rFonts w:ascii="微软雅黑" w:hAnsi="微软雅黑" w:eastAsia="微软雅黑"/>
          <w:color w:val="6B7684"/>
          <w:sz w:val="20"/>
        </w:rPr>
        <w:t>版本 v1.3（阶段二修订已回写）　|　阶段：定义　|　日期：2026-10-08</w:t>
      </w:r>
    </w:p>
    <w:p>
      <w:pPr>
        <w:keepLines/>
      </w:pPr>
      <w:r>
        <w:rPr>
          <w:rFonts w:ascii="微软雅黑" w:hAnsi="微软雅黑" w:eastAsia="微软雅黑"/>
          <w:color w:val="6B7684"/>
          <w:sz w:val="20"/>
        </w:rPr>
        <w:t>本文档严格按定义阶段的 14 项产出组织，只保留应该有的内容。v1.3 相对 v1.2 的变更集中在第 6、7、14 章：FR-22 降级、新增 NG-9 与 NFR-14，并补充第 14.4 节「设计阶段的修订回写」。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2436"/>
        <w:gridCol w:w="2436"/>
        <w:gridCol w:w="2436"/>
        <w:gridCol w:w="2436"/>
      </w:tblGrid>
      <w:tr>
        <w:trPr>
          <w:cantSplit/>
          <w:tblHeader w:val="true"/>
        </w:trPr>
        <w:tc>
          <w:tcPr>
            <w:tcW w:type="dxa" w:w="567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</w:p>
        </w:tc>
        <w:tc>
          <w:tcPr>
            <w:tcW w:type="dxa" w:w="3969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阶段一的 14 项产出</w:t>
            </w:r>
          </w:p>
        </w:tc>
        <w:tc>
          <w:tcPr>
            <w:tcW w:type="dxa" w:w="1701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章节</w:t>
            </w:r>
          </w:p>
        </w:tc>
        <w:tc>
          <w:tcPr>
            <w:tcW w:type="dxa" w:w="2551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状态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1</w:t>
            </w:r>
          </w:p>
        </w:tc>
        <w:tc>
          <w:tcPr>
            <w:tcW w:type="dxa" w:w="3969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项目背景与目标</w:t>
            </w:r>
          </w:p>
        </w:tc>
        <w:tc>
          <w:tcPr>
            <w:tcW w:type="dxa" w:w="170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第 1 章</w:t>
            </w:r>
          </w:p>
        </w:tc>
        <w:tc>
          <w:tcPr>
            <w:tcW w:type="dxa" w:w="255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已完成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2</w:t>
            </w:r>
          </w:p>
        </w:tc>
        <w:tc>
          <w:tcPr>
            <w:tcW w:type="dxa" w:w="3969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非目标清单</w:t>
            </w:r>
          </w:p>
        </w:tc>
        <w:tc>
          <w:tcPr>
            <w:tcW w:type="dxa" w:w="170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第 2 章</w:t>
            </w:r>
          </w:p>
        </w:tc>
        <w:tc>
          <w:tcPr>
            <w:tcW w:type="dxa" w:w="255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已完成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3</w:t>
            </w:r>
          </w:p>
        </w:tc>
        <w:tc>
          <w:tcPr>
            <w:tcW w:type="dxa" w:w="3969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用户角色与非目标用户</w:t>
            </w:r>
          </w:p>
        </w:tc>
        <w:tc>
          <w:tcPr>
            <w:tcW w:type="dxa" w:w="170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第 3 章</w:t>
            </w:r>
          </w:p>
        </w:tc>
        <w:tc>
          <w:tcPr>
            <w:tcW w:type="dxa" w:w="255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已完成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4</w:t>
            </w:r>
          </w:p>
        </w:tc>
        <w:tc>
          <w:tcPr>
            <w:tcW w:type="dxa" w:w="3969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关键用户旅程</w:t>
            </w:r>
          </w:p>
        </w:tc>
        <w:tc>
          <w:tcPr>
            <w:tcW w:type="dxa" w:w="170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第 4 章</w:t>
            </w:r>
          </w:p>
        </w:tc>
        <w:tc>
          <w:tcPr>
            <w:tcW w:type="dxa" w:w="255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已完成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5</w:t>
            </w:r>
          </w:p>
        </w:tc>
        <w:tc>
          <w:tcPr>
            <w:tcW w:type="dxa" w:w="3969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规模与流量假设</w:t>
            </w:r>
          </w:p>
        </w:tc>
        <w:tc>
          <w:tcPr>
            <w:tcW w:type="dxa" w:w="170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第 5 章</w:t>
            </w:r>
          </w:p>
        </w:tc>
        <w:tc>
          <w:tcPr>
            <w:tcW w:type="dxa" w:w="255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已完成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6</w:t>
            </w:r>
          </w:p>
        </w:tc>
        <w:tc>
          <w:tcPr>
            <w:tcW w:type="dxa" w:w="3969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功能需求</w:t>
            </w:r>
          </w:p>
        </w:tc>
        <w:tc>
          <w:tcPr>
            <w:tcW w:type="dxa" w:w="170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第 6 章</w:t>
            </w:r>
          </w:p>
        </w:tc>
        <w:tc>
          <w:tcPr>
            <w:tcW w:type="dxa" w:w="255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已完成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7</w:t>
            </w:r>
          </w:p>
        </w:tc>
        <w:tc>
          <w:tcPr>
            <w:tcW w:type="dxa" w:w="3969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非功能需求</w:t>
            </w:r>
          </w:p>
        </w:tc>
        <w:tc>
          <w:tcPr>
            <w:tcW w:type="dxa" w:w="170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第 7 章</w:t>
            </w:r>
          </w:p>
        </w:tc>
        <w:tc>
          <w:tcPr>
            <w:tcW w:type="dxa" w:w="255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已完成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8</w:t>
            </w:r>
          </w:p>
        </w:tc>
        <w:tc>
          <w:tcPr>
            <w:tcW w:type="dxa" w:w="3969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成功指标</w:t>
            </w:r>
          </w:p>
        </w:tc>
        <w:tc>
          <w:tcPr>
            <w:tcW w:type="dxa" w:w="170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第 8 章</w:t>
            </w:r>
          </w:p>
        </w:tc>
        <w:tc>
          <w:tcPr>
            <w:tcW w:type="dxa" w:w="255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已完成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9</w:t>
            </w:r>
          </w:p>
        </w:tc>
        <w:tc>
          <w:tcPr>
            <w:tcW w:type="dxa" w:w="3969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约束条件</w:t>
            </w:r>
          </w:p>
        </w:tc>
        <w:tc>
          <w:tcPr>
            <w:tcW w:type="dxa" w:w="170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第 9 章</w:t>
            </w:r>
          </w:p>
        </w:tc>
        <w:tc>
          <w:tcPr>
            <w:tcW w:type="dxa" w:w="255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已完成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10</w:t>
            </w:r>
          </w:p>
        </w:tc>
        <w:tc>
          <w:tcPr>
            <w:tcW w:type="dxa" w:w="3969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假设 / 风险 / 已决策项</w:t>
            </w:r>
          </w:p>
        </w:tc>
        <w:tc>
          <w:tcPr>
            <w:tcW w:type="dxa" w:w="170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第 10 章</w:t>
            </w:r>
          </w:p>
        </w:tc>
        <w:tc>
          <w:tcPr>
            <w:tcW w:type="dxa" w:w="255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已完成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11</w:t>
            </w:r>
          </w:p>
        </w:tc>
        <w:tc>
          <w:tcPr>
            <w:tcW w:type="dxa" w:w="3969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术语表</w:t>
            </w:r>
          </w:p>
        </w:tc>
        <w:tc>
          <w:tcPr>
            <w:tcW w:type="dxa" w:w="170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第 11 章</w:t>
            </w:r>
          </w:p>
        </w:tc>
        <w:tc>
          <w:tcPr>
            <w:tcW w:type="dxa" w:w="255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已完成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12</w:t>
            </w:r>
          </w:p>
        </w:tc>
        <w:tc>
          <w:tcPr>
            <w:tcW w:type="dxa" w:w="3969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竞品 / 参照物分析</w:t>
            </w:r>
          </w:p>
        </w:tc>
        <w:tc>
          <w:tcPr>
            <w:tcW w:type="dxa" w:w="170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第 12 章</w:t>
            </w:r>
          </w:p>
        </w:tc>
        <w:tc>
          <w:tcPr>
            <w:tcW w:type="dxa" w:w="255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已完成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13</w:t>
            </w:r>
          </w:p>
        </w:tc>
        <w:tc>
          <w:tcPr>
            <w:tcW w:type="dxa" w:w="3969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预算清单</w:t>
            </w:r>
          </w:p>
        </w:tc>
        <w:tc>
          <w:tcPr>
            <w:tcW w:type="dxa" w:w="170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第 13 章</w:t>
            </w:r>
          </w:p>
        </w:tc>
        <w:tc>
          <w:tcPr>
            <w:tcW w:type="dxa" w:w="255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已完成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14</w:t>
            </w:r>
          </w:p>
        </w:tc>
        <w:tc>
          <w:tcPr>
            <w:tcW w:type="dxa" w:w="3969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范围与里程碑</w:t>
            </w:r>
          </w:p>
        </w:tc>
        <w:tc>
          <w:tcPr>
            <w:tcW w:type="dxa" w:w="170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第 14 章</w:t>
            </w:r>
          </w:p>
        </w:tc>
        <w:tc>
          <w:tcPr>
            <w:tcW w:type="dxa" w:w="255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已完成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r>
        <w:br w:type="page"/>
      </w:r>
    </w:p>
    <w:p>
      <w:pPr>
        <w:spacing w:before="0" w:after="0" w:line="200" w:lineRule="exact"/>
      </w:pPr>
      <w:r>
        <w:rPr>
          <w:rFonts w:ascii="微软雅黑" w:hAnsi="微软雅黑" w:eastAsia="微软雅黑"/>
          <w:sz w:val="2"/>
        </w:rPr>
      </w:r>
    </w:p>
    <w:p>
      <w:pPr>
        <w:pStyle w:val="Heading1"/>
        <w:pBdr>
          <w:bottom w:val="single" w:sz="8" w:space="8" w:color="D8DEE6"/>
        </w:pBdr>
        <w:keepNext/>
      </w:pPr>
      <w:r>
        <w:rPr>
          <w:rFonts w:ascii="微软雅黑" w:hAnsi="微软雅黑" w:eastAsia="微软雅黑"/>
        </w:rPr>
        <w:t>1. 项目背景与目标</w:t>
      </w:r>
    </w:p>
    <w:p>
      <w:pPr>
        <w:keepLines/>
      </w:pPr>
      <w:r>
        <w:rPr>
          <w:rFonts w:ascii="微软雅黑" w:hAnsi="微软雅黑" w:eastAsia="微软雅黑"/>
        </w:rPr>
        <w:t>判断标准：能回答“为什么做”。</w:t>
      </w:r>
    </w:p>
    <w:p>
      <w:pPr>
        <w:pStyle w:val="Heading2"/>
        <w:keepNext/>
      </w:pPr>
      <w:r>
        <w:rPr>
          <w:rFonts w:ascii="微软雅黑" w:hAnsi="微软雅黑" w:eastAsia="微软雅黑"/>
        </w:rPr>
        <w:t>1.1 项目背景</w:t>
      </w:r>
    </w:p>
    <w:p>
      <w:pPr>
        <w:keepLines/>
      </w:pPr>
      <w:r>
        <w:rPr>
          <w:rFonts w:ascii="微软雅黑" w:hAnsi="微软雅黑" w:eastAsia="微软雅黑"/>
        </w:rPr>
        <w:t>本项目是以学习为首要目的的单人全栈项目，目标是在真实约束下（4G 内存、3Mbps 带宽、公网暴露）完成一个可用、可运维、可复述的个人博客网站。四项动机如下：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3249"/>
        <w:gridCol w:w="3249"/>
        <w:gridCol w:w="3249"/>
      </w:tblGrid>
      <w:tr>
        <w:trPr>
          <w:cantSplit/>
          <w:tblHeader w:val="true"/>
        </w:trPr>
        <w:tc>
          <w:tcPr>
            <w:tcW w:type="dxa" w:w="907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编号</w:t>
            </w:r>
          </w:p>
        </w:tc>
        <w:tc>
          <w:tcPr>
            <w:tcW w:type="dxa" w:w="2608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动机</w:t>
            </w:r>
          </w:p>
        </w:tc>
        <w:tc>
          <w:tcPr>
            <w:tcW w:type="dxa" w:w="5272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BG-1</w:t>
            </w:r>
          </w:p>
        </w:tc>
        <w:tc>
          <w:tcPr>
            <w:tcW w:type="dxa" w:w="260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把分散的知识串成一条完整链路</w:t>
            </w:r>
          </w:p>
        </w:tc>
        <w:tc>
          <w:tcPr>
            <w:tcW w:type="dxa" w:w="527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Vue、Axios、FastAPI、SQLite 此前都是分散学习，各自能写示例但从未端到端连通；知识点之间的关系只有在必须跑通的系统里才会显式化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BG-2</w:t>
            </w:r>
          </w:p>
        </w:tc>
        <w:tc>
          <w:tcPr>
            <w:tcW w:type="dxa" w:w="260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形成可持续的“学 → 写 → 被看到”闭环</w:t>
            </w:r>
          </w:p>
        </w:tc>
        <w:tc>
          <w:tcPr>
            <w:tcW w:type="dxa" w:w="5272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笔记只存在本地则没有形态、没有读者；做成公网网站后，写作从可选任务变成项目的一部分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BG-3</w:t>
            </w:r>
          </w:p>
        </w:tc>
        <w:tc>
          <w:tcPr>
            <w:tcW w:type="dxa" w:w="260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体验一次完整的工程交付</w:t>
            </w:r>
          </w:p>
        </w:tc>
        <w:tc>
          <w:tcPr>
            <w:tcW w:type="dxa" w:w="527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写代码只占软件项目的小部分；需求、分层、测试、部署、排障这些环节缺少真实约束时无法真正体会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BG-4</w:t>
            </w:r>
          </w:p>
        </w:tc>
        <w:tc>
          <w:tcPr>
            <w:tcW w:type="dxa" w:w="260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建立与 AI 协作的工程纪律</w:t>
            </w:r>
          </w:p>
        </w:tc>
        <w:tc>
          <w:tcPr>
            <w:tcW w:type="dxa" w:w="5272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AI 辅助能提速，但提速前提是你能判断它产出的对错；本项目刻意保留完整的定义—设计—验证—交付环节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pPr>
        <w:pStyle w:val="Heading2"/>
        <w:keepNext/>
      </w:pPr>
      <w:r>
        <w:rPr>
          <w:rFonts w:ascii="微软雅黑" w:hAnsi="微软雅黑" w:eastAsia="微软雅黑"/>
        </w:rPr>
        <w:t>1.2 学习目标（首要目标）</w:t>
      </w:r>
    </w:p>
    <w:p>
      <w:pPr>
        <w:keepLines/>
      </w:pPr>
      <w:r>
        <w:rPr>
          <w:rFonts w:ascii="微软雅黑" w:hAnsi="微软雅黑" w:eastAsia="微软雅黑"/>
        </w:rPr>
        <w:t>本项目的第一性质是学习载体，不是要运营的网站。当学习价值与产品体验冲突时，优先保学习价值。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3249"/>
        <w:gridCol w:w="3249"/>
        <w:gridCol w:w="3249"/>
      </w:tblGrid>
      <w:tr>
        <w:trPr>
          <w:cantSplit/>
          <w:tblHeader w:val="true"/>
        </w:trPr>
        <w:tc>
          <w:tcPr>
            <w:tcW w:type="dxa" w:w="907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编号</w:t>
            </w:r>
          </w:p>
        </w:tc>
        <w:tc>
          <w:tcPr>
            <w:tcW w:type="dxa" w:w="4082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学习目标</w:t>
            </w:r>
          </w:p>
        </w:tc>
        <w:tc>
          <w:tcPr>
            <w:tcW w:type="dxa" w:w="3798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可验证的完成标志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LG-1</w:t>
            </w:r>
          </w:p>
        </w:tc>
        <w:tc>
          <w:tcPr>
            <w:tcW w:type="dxa" w:w="408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掌握真实项目的完整交付链路：需求 → 设计 → 编码 → 测试 → 部署 → 运维</w:t>
            </w:r>
          </w:p>
        </w:tc>
        <w:tc>
          <w:tcPr>
            <w:tcW w:type="dxa" w:w="379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能独立完成一次从改代码到线上生效的全流程，并在无协助下重装一次环境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LG-2</w:t>
            </w:r>
          </w:p>
        </w:tc>
        <w:tc>
          <w:tcPr>
            <w:tcW w:type="dxa" w:w="4082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把 Vue 3 从“会写组件”推进到“理解数据流、路由、鉴权、构建产物”</w:t>
            </w:r>
          </w:p>
        </w:tc>
        <w:tc>
          <w:tcPr>
            <w:tcW w:type="dxa" w:w="379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能解释 SPA 构建产物如何被 Nginx 托管、前端如何安全携带鉴权信息访问后端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LG-3</w:t>
            </w:r>
          </w:p>
        </w:tc>
        <w:tc>
          <w:tcPr>
            <w:tcW w:type="dxa" w:w="408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掌握 Axios 在真实项目中的落地：拦截器、错误处理、取消请求、统一响应约定</w:t>
            </w:r>
          </w:p>
        </w:tc>
        <w:tc>
          <w:tcPr>
            <w:tcW w:type="dxa" w:w="379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请求层有唯一出口，业务组件不直接裸调 axios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LG-4</w:t>
            </w:r>
          </w:p>
        </w:tc>
        <w:tc>
          <w:tcPr>
            <w:tcW w:type="dxa" w:w="4082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掌握 FastAPI 的工程化用法：分层、依赖注入、参数校验、鉴权、分页、错误码</w:t>
            </w:r>
          </w:p>
        </w:tc>
        <w:tc>
          <w:tcPr>
            <w:tcW w:type="dxa" w:w="379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能讲清 ORM 模型 / Pydantic 模型 / API 层三者的边界与转换关系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LG-5</w:t>
            </w:r>
          </w:p>
        </w:tc>
        <w:tc>
          <w:tcPr>
            <w:tcW w:type="dxa" w:w="408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掌握关系型数据库建模与迁移：建表、索引、关联、Alembic 版本管理</w:t>
            </w:r>
          </w:p>
        </w:tc>
        <w:tc>
          <w:tcPr>
            <w:tcW w:type="dxa" w:w="379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数据库结构变更全部通过迁移脚本完成，不存在手工改表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LG-6</w:t>
            </w:r>
          </w:p>
        </w:tc>
        <w:tc>
          <w:tcPr>
            <w:tcW w:type="dxa" w:w="4082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掌握 Linux 单机部署与运维基本盘：Docker、Nginx 反代、HTTPS、备份、日志</w:t>
            </w:r>
          </w:p>
        </w:tc>
        <w:tc>
          <w:tcPr>
            <w:tcW w:type="dxa" w:w="379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能在全新服务器上仅依据部署手册完成上线，全程不需要口头补充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LG-7</w:t>
            </w:r>
          </w:p>
        </w:tc>
        <w:tc>
          <w:tcPr>
            <w:tcW w:type="dxa" w:w="408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建立 AI 辅助开发的工程规范：AI 只做受约束的实现，人做定义与验收</w:t>
            </w:r>
          </w:p>
        </w:tc>
        <w:tc>
          <w:tcPr>
            <w:tcW w:type="dxa" w:w="379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每个功能交付前都能说清验收标准是什么、用什么证据证明它成立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pPr>
        <w:pStyle w:val="Heading2"/>
        <w:keepNext/>
      </w:pPr>
      <w:r>
        <w:rPr>
          <w:rFonts w:ascii="微软雅黑" w:hAnsi="微软雅黑" w:eastAsia="微软雅黑"/>
        </w:rPr>
        <w:t>1.3 产品目标（支撑学习，不设商业指标）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3249"/>
        <w:gridCol w:w="3249"/>
        <w:gridCol w:w="3249"/>
      </w:tblGrid>
      <w:tr>
        <w:trPr>
          <w:cantSplit/>
          <w:tblHeader w:val="true"/>
        </w:trPr>
        <w:tc>
          <w:tcPr>
            <w:tcW w:type="dxa" w:w="907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编号</w:t>
            </w:r>
          </w:p>
        </w:tc>
        <w:tc>
          <w:tcPr>
            <w:tcW w:type="dxa" w:w="3628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产品目标</w:t>
            </w:r>
          </w:p>
        </w:tc>
        <w:tc>
          <w:tcPr>
            <w:tcW w:type="dxa" w:w="4252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AG-1</w:t>
            </w:r>
          </w:p>
        </w:tc>
        <w:tc>
          <w:tcPr>
            <w:tcW w:type="dxa" w:w="362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对外呈现一个可公开访问的个人技术主页</w:t>
            </w:r>
          </w:p>
        </w:tc>
        <w:tc>
          <w:tcPr>
            <w:tcW w:type="dxa" w:w="425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用于展示学习产出与个人履历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AG-2</w:t>
            </w:r>
          </w:p>
        </w:tc>
        <w:tc>
          <w:tcPr>
            <w:tcW w:type="dxa" w:w="362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提供低摩擦的写作与发布通道</w:t>
            </w:r>
          </w:p>
        </w:tc>
        <w:tc>
          <w:tcPr>
            <w:tcW w:type="dxa" w:w="4252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写作摩擦高的工具一定会被放弃，这是持续产出的前提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AG-3</w:t>
            </w:r>
          </w:p>
        </w:tc>
        <w:tc>
          <w:tcPr>
            <w:tcW w:type="dxa" w:w="362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形成可检索的个人知识库</w:t>
            </w:r>
          </w:p>
        </w:tc>
        <w:tc>
          <w:tcPr>
            <w:tcW w:type="dxa" w:w="425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自己回查旧笔记时能快速定位结论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r>
        <w:br w:type="page"/>
      </w:r>
    </w:p>
    <w:p>
      <w:pPr>
        <w:spacing w:before="0" w:after="0" w:line="200" w:lineRule="exact"/>
      </w:pPr>
      <w:r>
        <w:rPr>
          <w:rFonts w:ascii="微软雅黑" w:hAnsi="微软雅黑" w:eastAsia="微软雅黑"/>
          <w:sz w:val="2"/>
        </w:rPr>
      </w:r>
    </w:p>
    <w:p>
      <w:pPr>
        <w:pStyle w:val="Heading1"/>
        <w:pBdr>
          <w:bottom w:val="single" w:sz="8" w:space="8" w:color="D8DEE6"/>
        </w:pBdr>
        <w:keepNext/>
      </w:pPr>
      <w:r>
        <w:rPr>
          <w:rFonts w:ascii="微软雅黑" w:hAnsi="微软雅黑" w:eastAsia="微软雅黑"/>
        </w:rPr>
        <w:t>2. 非目标清单</w:t>
      </w:r>
    </w:p>
    <w:p>
      <w:pPr>
        <w:keepLines/>
      </w:pPr>
      <w:r>
        <w:rPr>
          <w:rFonts w:ascii="微软雅黑" w:hAnsi="微软雅黑" w:eastAsia="微软雅黑"/>
        </w:rPr>
        <w:t>判断标准：每条都有“为什么不做”，不是罗列。本章内容在 v1 阶段有效，任何越界想法先登记进愿望池，不直接进需求表。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3249"/>
        <w:gridCol w:w="3249"/>
        <w:gridCol w:w="3249"/>
      </w:tblGrid>
      <w:tr>
        <w:trPr>
          <w:cantSplit/>
          <w:tblHeader w:val="true"/>
        </w:trPr>
        <w:tc>
          <w:tcPr>
            <w:tcW w:type="dxa" w:w="907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编号</w:t>
            </w:r>
          </w:p>
        </w:tc>
        <w:tc>
          <w:tcPr>
            <w:tcW w:type="dxa" w:w="3175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明确不做的事</w:t>
            </w:r>
          </w:p>
        </w:tc>
        <w:tc>
          <w:tcPr>
            <w:tcW w:type="dxa" w:w="4706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为什么不做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NG-1</w:t>
            </w:r>
          </w:p>
        </w:tc>
        <w:tc>
          <w:tcPr>
            <w:tcW w:type="dxa" w:w="3175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多用户注册与复杂角色权限体系</w:t>
            </w:r>
          </w:p>
        </w:tc>
        <w:tc>
          <w:tcPr>
            <w:tcW w:type="dxa" w:w="4706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单人博客不存在多用户场景，引入后会产生与学习目标无关的大量复杂度（注册、找回密码、权限矩阵）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NG-2</w:t>
            </w:r>
          </w:p>
        </w:tc>
        <w:tc>
          <w:tcPr>
            <w:tcW w:type="dxa" w:w="3175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评论系统（含第三方评论插件）</w:t>
            </w:r>
          </w:p>
        </w:tc>
        <w:tc>
          <w:tcPr>
            <w:tcW w:type="dxa" w:w="4706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内容审核、垃圾过滤、合规风险都落在我一个人身上，而收益极低；需要交流可直接留邮箱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NG-3</w:t>
            </w:r>
          </w:p>
        </w:tc>
        <w:tc>
          <w:tcPr>
            <w:tcW w:type="dxa" w:w="3175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高并发架构（缓存集群、消息队列、读写分离、微服务）</w:t>
            </w:r>
          </w:p>
        </w:tc>
        <w:tc>
          <w:tcPr>
            <w:tcW w:type="dxa" w:w="4706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本项目的真实峰值并发不超过 5 个请求，4C4G 单机不存在该场景；做了也无处验证，违背“真实项目”原则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NG-4</w:t>
            </w:r>
          </w:p>
        </w:tc>
        <w:tc>
          <w:tcPr>
            <w:tcW w:type="dxa" w:w="3175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移动端 App 与小程序</w:t>
            </w:r>
          </w:p>
        </w:tc>
        <w:tc>
          <w:tcPr>
            <w:tcW w:type="dxa" w:w="4706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不在学习目标内；移动端阅读需求由响应式网页即可满足，另做客户端只会摊薄精力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NG-5</w:t>
            </w:r>
          </w:p>
        </w:tc>
        <w:tc>
          <w:tcPr>
            <w:tcW w:type="dxa" w:w="3175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付费、广告、会员体系</w:t>
            </w:r>
          </w:p>
        </w:tc>
        <w:tc>
          <w:tcPr>
            <w:tcW w:type="dxa" w:w="4706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本项目没有商业目标，接入后反而引入结算与合规负担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NG-6</w:t>
            </w:r>
          </w:p>
        </w:tc>
        <w:tc>
          <w:tcPr>
            <w:tcW w:type="dxa" w:w="3175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自研富文本编辑器</w:t>
            </w:r>
          </w:p>
        </w:tc>
        <w:tc>
          <w:tcPr>
            <w:tcW w:type="dxa" w:w="4706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成熟方案已足够，自研属于重复造轮子，且编辑器是最容易拖垮工期的一类组件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NG-7</w:t>
            </w:r>
          </w:p>
        </w:tc>
        <w:tc>
          <w:tcPr>
            <w:tcW w:type="dxa" w:w="3175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多租户与多语言（i18n）</w:t>
            </w:r>
          </w:p>
        </w:tc>
        <w:tc>
          <w:tcPr>
            <w:tcW w:type="dxa" w:w="4706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只有我一个人写作、只用中文，无此需求，纯属增加表面积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NG-8</w:t>
            </w:r>
          </w:p>
        </w:tc>
        <w:tc>
          <w:tcPr>
            <w:tcW w:type="dxa" w:w="3175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移动端原生适配与深色模式之外的皮肤体系</w:t>
            </w:r>
          </w:p>
        </w:tc>
        <w:tc>
          <w:tcPr>
            <w:tcW w:type="dxa" w:w="4706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对应需求等级为 C，v1 不做，列入愿望池</w:t>
            </w:r>
          </w:p>
        </w:tc>
      </w:tr>
      <w:tr>
        <w:tc>
          <w:tcPr>
            <w:tcW w:type="dxa" w:w="3249"/>
          </w:tcPr>
          <w:p>
            <w:r>
              <w:t>NG-9</w:t>
            </w:r>
          </w:p>
        </w:tc>
        <w:tc>
          <w:tcPr>
            <w:tcW w:type="dxa" w:w="3249"/>
          </w:tcPr>
          <w:p>
            <w:r>
              <w:t>搜索引擎收录与 SEO 优化</w:t>
            </w:r>
          </w:p>
        </w:tc>
        <w:tc>
          <w:tcPr>
            <w:tcW w:type="dxa" w:w="3249"/>
          </w:tcPr>
          <w:p>
            <w:r>
              <w:t>读者只有两类：我自己（站内检索或书签）与面试官（主动发链接），两者都不经过搜索引擎，SEO 是伪需求；做了也没有收益可以验证，反而会引入构建步骤或额外进程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r>
        <w:br w:type="page"/>
      </w:r>
    </w:p>
    <w:p>
      <w:pPr>
        <w:spacing w:before="0" w:after="0" w:line="200" w:lineRule="exact"/>
      </w:pPr>
      <w:r>
        <w:rPr>
          <w:rFonts w:ascii="微软雅黑" w:hAnsi="微软雅黑" w:eastAsia="微软雅黑"/>
          <w:sz w:val="2"/>
        </w:rPr>
      </w:r>
    </w:p>
    <w:p>
      <w:pPr>
        <w:pStyle w:val="Heading1"/>
        <w:pBdr>
          <w:bottom w:val="single" w:sz="8" w:space="8" w:color="D8DEE6"/>
        </w:pBdr>
        <w:keepNext/>
      </w:pPr>
      <w:r>
        <w:rPr>
          <w:rFonts w:ascii="微软雅黑" w:hAnsi="微软雅黑" w:eastAsia="微软雅黑"/>
        </w:rPr>
        <w:t>3. 用户角色与非目标用户</w:t>
      </w:r>
    </w:p>
    <w:p>
      <w:pPr>
        <w:keepLines/>
      </w:pPr>
      <w:r>
        <w:rPr>
          <w:rFonts w:ascii="微软雅黑" w:hAnsi="微软雅黑" w:eastAsia="微软雅黑"/>
        </w:rPr>
        <w:t>判断标准：每个角色对应一条真实诉求。</w:t>
      </w:r>
    </w:p>
    <w:p>
      <w:pPr>
        <w:pStyle w:val="Heading2"/>
        <w:keepNext/>
      </w:pPr>
      <w:r>
        <w:rPr>
          <w:rFonts w:ascii="微软雅黑" w:hAnsi="微软雅黑" w:eastAsia="微软雅黑"/>
        </w:rPr>
        <w:t>3.1 目标用户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1949"/>
        <w:gridCol w:w="1949"/>
        <w:gridCol w:w="1949"/>
        <w:gridCol w:w="1949"/>
        <w:gridCol w:w="1949"/>
      </w:tblGrid>
      <w:tr>
        <w:trPr>
          <w:cantSplit/>
          <w:tblHeader w:val="true"/>
        </w:trPr>
        <w:tc>
          <w:tcPr>
            <w:tcW w:type="dxa" w:w="1474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角色</w:t>
            </w:r>
          </w:p>
        </w:tc>
        <w:tc>
          <w:tcPr>
            <w:tcW w:type="dxa" w:w="1644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身份</w:t>
            </w:r>
          </w:p>
        </w:tc>
        <w:tc>
          <w:tcPr>
            <w:tcW w:type="dxa" w:w="1814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技术背景</w:t>
            </w:r>
          </w:p>
        </w:tc>
        <w:tc>
          <w:tcPr>
            <w:tcW w:type="dxa" w:w="2608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核心诉求</w:t>
            </w:r>
          </w:p>
        </w:tc>
        <w:tc>
          <w:tcPr>
            <w:tcW w:type="dxa" w:w="1247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使用频率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U1 作者（本人）</w:t>
            </w:r>
          </w:p>
        </w:tc>
        <w:tc>
          <w:tcPr>
            <w:tcW w:type="dxa" w:w="164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唯一内容生产者，同时是系统管理员</w:t>
            </w:r>
          </w:p>
        </w:tc>
        <w:tc>
          <w:tcPr>
            <w:tcW w:type="dxa" w:w="181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正在学习 Vue / FastAPI / SQLite，非资深</w:t>
            </w:r>
          </w:p>
        </w:tc>
        <w:tc>
          <w:tcPr>
            <w:tcW w:type="dxa" w:w="260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低摩擦写作、快速发布、能自己排查线上问题</w:t>
            </w:r>
          </w:p>
        </w:tc>
        <w:tc>
          <w:tcPr>
            <w:tcW w:type="dxa" w:w="124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每日至每周 1–3 次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U2 技术同行</w:t>
            </w:r>
          </w:p>
        </w:tc>
        <w:tc>
          <w:tcPr>
            <w:tcW w:type="dxa" w:w="164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同学、同事、社群中的开发者</w:t>
            </w:r>
          </w:p>
        </w:tc>
        <w:tc>
          <w:tcPr>
            <w:tcW w:type="dxa" w:w="181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熟悉技术，会带着问题点进来</w:t>
            </w:r>
          </w:p>
        </w:tc>
        <w:tc>
          <w:tcPr>
            <w:tcW w:type="dxa" w:w="260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快速判断文章是否有用、能读懂代码块、能分享链接</w:t>
            </w:r>
          </w:p>
        </w:tc>
        <w:tc>
          <w:tcPr>
            <w:tcW w:type="dxa" w:w="124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低频，多从搜索或分享链接进入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U3 雇主 / 面试官</w:t>
            </w:r>
          </w:p>
        </w:tc>
        <w:tc>
          <w:tcPr>
            <w:tcW w:type="dxa" w:w="164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潜在合作方</w:t>
            </w:r>
          </w:p>
        </w:tc>
        <w:tc>
          <w:tcPr>
            <w:tcW w:type="dxa" w:w="181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看结果不看过程</w:t>
            </w:r>
          </w:p>
        </w:tc>
        <w:tc>
          <w:tcPr>
            <w:tcW w:type="dxa" w:w="260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3 分钟内判断技术水平与工程素养</w:t>
            </w:r>
          </w:p>
        </w:tc>
        <w:tc>
          <w:tcPr>
            <w:tcW w:type="dxa" w:w="124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极低频但价值高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U4 未来的我</w:t>
            </w:r>
          </w:p>
        </w:tc>
        <w:tc>
          <w:tcPr>
            <w:tcW w:type="dxa" w:w="164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几个月后回查笔记的自己</w:t>
            </w:r>
          </w:p>
        </w:tc>
        <w:tc>
          <w:tcPr>
            <w:tcW w:type="dxa" w:w="181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已知背景</w:t>
            </w:r>
          </w:p>
        </w:tc>
        <w:tc>
          <w:tcPr>
            <w:tcW w:type="dxa" w:w="260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按主题检索旧笔记、快速定位结论</w:t>
            </w:r>
          </w:p>
        </w:tc>
        <w:tc>
          <w:tcPr>
            <w:tcW w:type="dxa" w:w="124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中频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pPr>
        <w:pStyle w:val="Heading2"/>
        <w:keepNext/>
      </w:pPr>
      <w:r>
        <w:rPr>
          <w:rFonts w:ascii="微软雅黑" w:hAnsi="微软雅黑" w:eastAsia="微软雅黑"/>
        </w:rPr>
        <w:t>3.2 非目标用户</w:t>
      </w:r>
    </w:p>
    <w:p>
      <w:pPr>
        <w:keepLines/>
      </w:pPr>
      <w:r>
        <w:rPr>
          <w:rFonts w:ascii="微软雅黑" w:hAnsi="微软雅黑" w:eastAsia="微软雅黑"/>
        </w:rPr>
        <w:t>明确写出“不为谁服务”，可以避免在设计时被不存在的场景牵着走。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4873"/>
        <w:gridCol w:w="4873"/>
      </w:tblGrid>
      <w:tr>
        <w:trPr>
          <w:cantSplit/>
          <w:tblHeader w:val="true"/>
        </w:trPr>
        <w:tc>
          <w:tcPr>
            <w:tcW w:type="dxa" w:w="2948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非目标用户</w:t>
            </w:r>
          </w:p>
        </w:tc>
        <w:tc>
          <w:tcPr>
            <w:tcW w:type="dxa" w:w="5839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为什么不需要为其设计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需要注册投稿的外部作者</w:t>
            </w:r>
          </w:p>
        </w:tc>
        <w:tc>
          <w:tcPr>
            <w:tcW w:type="dxa" w:w="5839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NG-1 已排除多用户体系，本站在可预见期内只有 1 个账号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手机端 App 用户</w:t>
            </w:r>
          </w:p>
        </w:tc>
        <w:tc>
          <w:tcPr>
            <w:tcW w:type="dxa" w:w="5839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NG-4 已排除客户端，仅保证响应式网页可读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在评论区互动的读者</w:t>
            </w:r>
          </w:p>
        </w:tc>
        <w:tc>
          <w:tcPr>
            <w:tcW w:type="dxa" w:w="5839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NG-2 已排除评论功能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需要付费阅读的用户</w:t>
            </w:r>
          </w:p>
        </w:tc>
        <w:tc>
          <w:tcPr>
            <w:tcW w:type="dxa" w:w="5839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NG-5 已排除商业化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自动化爬虫与批量抓取方</w:t>
            </w:r>
          </w:p>
        </w:tc>
        <w:tc>
          <w:tcPr>
            <w:tcW w:type="dxa" w:w="5839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不为其开放接口、不做特殊适配；仅做基础限流防滥用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r>
        <w:br w:type="page"/>
      </w:r>
    </w:p>
    <w:p>
      <w:pPr>
        <w:spacing w:before="0" w:after="0" w:line="200" w:lineRule="exact"/>
      </w:pPr>
      <w:r>
        <w:rPr>
          <w:rFonts w:ascii="微软雅黑" w:hAnsi="微软雅黑" w:eastAsia="微软雅黑"/>
          <w:sz w:val="2"/>
        </w:rPr>
      </w:r>
    </w:p>
    <w:p>
      <w:pPr>
        <w:pStyle w:val="Heading1"/>
        <w:pBdr>
          <w:bottom w:val="single" w:sz="8" w:space="8" w:color="D8DEE6"/>
        </w:pBdr>
        <w:keepNext/>
      </w:pPr>
      <w:r>
        <w:rPr>
          <w:rFonts w:ascii="微软雅黑" w:hAnsi="微软雅黑" w:eastAsia="微软雅黑"/>
        </w:rPr>
        <w:t>4. 关键用户旅程</w:t>
      </w:r>
    </w:p>
    <w:p>
      <w:pPr>
        <w:keepLines/>
      </w:pPr>
      <w:r>
        <w:rPr>
          <w:rFonts w:ascii="微软雅黑" w:hAnsi="微软雅黑" w:eastAsia="微软雅黑"/>
        </w:rPr>
        <w:t>判断标准：每步有成功标准，能据此设计页面。</w:t>
      </w:r>
    </w:p>
    <w:p>
      <w:pPr>
        <w:pStyle w:val="Heading2"/>
        <w:keepNext/>
      </w:pPr>
      <w:r>
        <w:rPr>
          <w:rFonts w:ascii="微软雅黑" w:hAnsi="微软雅黑" w:eastAsia="微软雅黑"/>
        </w:rPr>
        <w:t>4.1 旅程 A：作者发布一篇文章（最高频，必须最顺）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2436"/>
        <w:gridCol w:w="2436"/>
        <w:gridCol w:w="2436"/>
        <w:gridCol w:w="2436"/>
      </w:tblGrid>
      <w:tr>
        <w:trPr>
          <w:cantSplit/>
          <w:tblHeader w:val="true"/>
        </w:trPr>
        <w:tc>
          <w:tcPr>
            <w:tcW w:type="dxa" w:w="737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步骤</w:t>
            </w:r>
          </w:p>
        </w:tc>
        <w:tc>
          <w:tcPr>
            <w:tcW w:type="dxa" w:w="2381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动作</w:t>
            </w:r>
          </w:p>
        </w:tc>
        <w:tc>
          <w:tcPr>
            <w:tcW w:type="dxa" w:w="3628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成功标准</w:t>
            </w:r>
          </w:p>
        </w:tc>
        <w:tc>
          <w:tcPr>
            <w:tcW w:type="dxa" w:w="2041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风险点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A1</w:t>
            </w:r>
          </w:p>
        </w:tc>
        <w:tc>
          <w:tcPr>
            <w:tcW w:type="dxa" w:w="238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登录后台（单管理员账号）</w:t>
            </w:r>
          </w:p>
        </w:tc>
        <w:tc>
          <w:tcPr>
            <w:tcW w:type="dxa" w:w="362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登录后进入工作台；未登录访问后台被拦截</w:t>
            </w:r>
          </w:p>
        </w:tc>
        <w:tc>
          <w:tcPr>
            <w:tcW w:type="dxa" w:w="204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73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A2</w:t>
            </w:r>
          </w:p>
        </w:tc>
        <w:tc>
          <w:tcPr>
            <w:tcW w:type="dxa" w:w="238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新建文章，填写标题 / 标签 / 摘要</w:t>
            </w:r>
          </w:p>
        </w:tc>
        <w:tc>
          <w:tcPr>
            <w:tcW w:type="dxa" w:w="362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表单有校验，标题为空或重复能被拦下</w:t>
            </w:r>
          </w:p>
        </w:tc>
        <w:tc>
          <w:tcPr>
            <w:tcW w:type="dxa" w:w="204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A3</w:t>
            </w:r>
          </w:p>
        </w:tc>
        <w:tc>
          <w:tcPr>
            <w:tcW w:type="dxa" w:w="238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撰写正文（Markdown）</w:t>
            </w:r>
          </w:p>
        </w:tc>
        <w:tc>
          <w:tcPr>
            <w:tcW w:type="dxa" w:w="362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编辑过程中内容不丢失；支持代码块</w:t>
            </w:r>
          </w:p>
        </w:tc>
        <w:tc>
          <w:tcPr>
            <w:tcW w:type="dxa" w:w="204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编辑器体验差会直接导致放弃写作</w:t>
            </w:r>
          </w:p>
        </w:tc>
      </w:tr>
      <w:tr>
        <w:trPr>
          <w:cantSplit/>
        </w:trPr>
        <w:tc>
          <w:tcPr>
            <w:tcW w:type="dxa" w:w="73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A4</w:t>
            </w:r>
          </w:p>
        </w:tc>
        <w:tc>
          <w:tcPr>
            <w:tcW w:type="dxa" w:w="238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插入图片</w:t>
            </w:r>
          </w:p>
        </w:tc>
        <w:tc>
          <w:tcPr>
            <w:tcW w:type="dxa" w:w="362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图片上传成功且正文可正常显示</w:t>
            </w:r>
          </w:p>
        </w:tc>
        <w:tc>
          <w:tcPr>
            <w:tcW w:type="dxa" w:w="204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3Mbps 带宽下图片策略必须提前定（见第 9 章）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A5</w:t>
            </w:r>
          </w:p>
        </w:tc>
        <w:tc>
          <w:tcPr>
            <w:tcW w:type="dxa" w:w="238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预览</w:t>
            </w:r>
          </w:p>
        </w:tc>
        <w:tc>
          <w:tcPr>
            <w:tcW w:type="dxa" w:w="362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预览效果与发布后一致</w:t>
            </w:r>
          </w:p>
        </w:tc>
        <w:tc>
          <w:tcPr>
            <w:tcW w:type="dxa" w:w="204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预览与正式渲染若用两套逻辑，排版必然不一致</w:t>
            </w:r>
          </w:p>
        </w:tc>
      </w:tr>
      <w:tr>
        <w:trPr>
          <w:cantSplit/>
        </w:trPr>
        <w:tc>
          <w:tcPr>
            <w:tcW w:type="dxa" w:w="73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A6</w:t>
            </w:r>
          </w:p>
        </w:tc>
        <w:tc>
          <w:tcPr>
            <w:tcW w:type="dxa" w:w="238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发布 / 存草稿</w:t>
            </w:r>
          </w:p>
        </w:tc>
        <w:tc>
          <w:tcPr>
            <w:tcW w:type="dxa" w:w="362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草稿不出现在公开列表；发布后列表可见、详情可访问</w:t>
            </w:r>
          </w:p>
        </w:tc>
        <w:tc>
          <w:tcPr>
            <w:tcW w:type="dxa" w:w="204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A7</w:t>
            </w:r>
          </w:p>
        </w:tc>
        <w:tc>
          <w:tcPr>
            <w:tcW w:type="dxa" w:w="238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回看线上效果</w:t>
            </w:r>
          </w:p>
        </w:tc>
        <w:tc>
          <w:tcPr>
            <w:tcW w:type="dxa" w:w="362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能立即通过链接访问新文章</w:t>
            </w:r>
          </w:p>
        </w:tc>
        <w:tc>
          <w:tcPr>
            <w:tcW w:type="dxa" w:w="204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pPr>
        <w:pStyle w:val="Heading2"/>
        <w:keepNext/>
      </w:pPr>
      <w:r>
        <w:rPr>
          <w:rFonts w:ascii="微软雅黑" w:hAnsi="微软雅黑" w:eastAsia="微软雅黑"/>
        </w:rPr>
        <w:t>4.2 旅程 B：访客阅读与检索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2436"/>
        <w:gridCol w:w="2436"/>
        <w:gridCol w:w="2436"/>
        <w:gridCol w:w="2436"/>
      </w:tblGrid>
      <w:tr>
        <w:trPr>
          <w:cantSplit/>
          <w:tblHeader w:val="true"/>
        </w:trPr>
        <w:tc>
          <w:tcPr>
            <w:tcW w:type="dxa" w:w="737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步骤</w:t>
            </w:r>
          </w:p>
        </w:tc>
        <w:tc>
          <w:tcPr>
            <w:tcW w:type="dxa" w:w="2835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动作</w:t>
            </w:r>
          </w:p>
        </w:tc>
        <w:tc>
          <w:tcPr>
            <w:tcW w:type="dxa" w:w="3175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成功标准</w:t>
            </w:r>
          </w:p>
        </w:tc>
        <w:tc>
          <w:tcPr>
            <w:tcW w:type="dxa" w:w="2041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风险点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B1</w:t>
            </w:r>
          </w:p>
        </w:tc>
        <w:tc>
          <w:tcPr>
            <w:tcW w:type="dxa" w:w="2835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从搜索或分享链接进入文章详情</w:t>
            </w:r>
          </w:p>
        </w:tc>
        <w:tc>
          <w:tcPr>
            <w:tcW w:type="dxa" w:w="3175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打开即为完整内容</w:t>
            </w:r>
          </w:p>
        </w:tc>
        <w:tc>
          <w:tcPr>
            <w:tcW w:type="dxa" w:w="204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若内容依赖前端异步渲染，首屏与 SEO 都会受影响</w:t>
            </w:r>
          </w:p>
        </w:tc>
      </w:tr>
      <w:tr>
        <w:trPr>
          <w:cantSplit/>
        </w:trPr>
        <w:tc>
          <w:tcPr>
            <w:tcW w:type="dxa" w:w="73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B2</w:t>
            </w:r>
          </w:p>
        </w:tc>
        <w:tc>
          <w:tcPr>
            <w:tcW w:type="dxa" w:w="2835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阅读</w:t>
            </w:r>
          </w:p>
        </w:tc>
        <w:tc>
          <w:tcPr>
            <w:tcW w:type="dxa" w:w="3175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代码高亮正常、图片不超出屏幕、长文可读</w:t>
            </w:r>
          </w:p>
        </w:tc>
        <w:tc>
          <w:tcPr>
            <w:tcW w:type="dxa" w:w="204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移动端横向滚动是常见缺陷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B3</w:t>
            </w:r>
          </w:p>
        </w:tc>
        <w:tc>
          <w:tcPr>
            <w:tcW w:type="dxa" w:w="2835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按标签或关键词找相关内容</w:t>
            </w:r>
          </w:p>
        </w:tc>
        <w:tc>
          <w:tcPr>
            <w:tcW w:type="dxa" w:w="3175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能列出同标签全部文章；有进入其他文章的入口</w:t>
            </w:r>
          </w:p>
        </w:tc>
        <w:tc>
          <w:tcPr>
            <w:tcW w:type="dxa" w:w="204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73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B4</w:t>
            </w:r>
          </w:p>
        </w:tc>
        <w:tc>
          <w:tcPr>
            <w:tcW w:type="dxa" w:w="2835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分享或收藏</w:t>
            </w:r>
          </w:p>
        </w:tc>
        <w:tc>
          <w:tcPr>
            <w:tcW w:type="dxa" w:w="3175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链接可分享，页面标题与摘要正确</w:t>
            </w:r>
          </w:p>
        </w:tc>
        <w:tc>
          <w:tcPr>
            <w:tcW w:type="dxa" w:w="204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社交卡片元信息常被忽略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pPr>
        <w:pStyle w:val="Heading2"/>
        <w:keepNext/>
      </w:pPr>
      <w:r>
        <w:rPr>
          <w:rFonts w:ascii="微软雅黑" w:hAnsi="微软雅黑" w:eastAsia="微软雅黑"/>
        </w:rPr>
        <w:t>4.3 旅程 C：作者处理线上问题</w:t>
      </w:r>
    </w:p>
    <w:p>
      <w:pPr>
        <w:keepLines/>
      </w:pPr>
      <w:r>
        <w:rPr>
          <w:rFonts w:ascii="微软雅黑" w:hAnsi="微软雅黑" w:eastAsia="微软雅黑"/>
        </w:rPr>
        <w:t>这条旅程不属于产品功能，但属于“完备真实”的一部分，因此同样给出成功标准。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3249"/>
        <w:gridCol w:w="3249"/>
        <w:gridCol w:w="3249"/>
      </w:tblGrid>
      <w:tr>
        <w:trPr>
          <w:cantSplit/>
          <w:tblHeader w:val="true"/>
        </w:trPr>
        <w:tc>
          <w:tcPr>
            <w:tcW w:type="dxa" w:w="737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步骤</w:t>
            </w:r>
          </w:p>
        </w:tc>
        <w:tc>
          <w:tcPr>
            <w:tcW w:type="dxa" w:w="3402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动作</w:t>
            </w:r>
          </w:p>
        </w:tc>
        <w:tc>
          <w:tcPr>
            <w:tcW w:type="dxa" w:w="4649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成功标准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C1</w:t>
            </w:r>
          </w:p>
        </w:tc>
        <w:tc>
          <w:tcPr>
            <w:tcW w:type="dxa" w:w="340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收到异常反馈（页面打不开或接口报错）</w:t>
            </w:r>
          </w:p>
        </w:tc>
        <w:tc>
          <w:tcPr>
            <w:tcW w:type="dxa" w:w="4649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能从日志中定位到具体请求与错误堆栈</w:t>
            </w:r>
          </w:p>
        </w:tc>
      </w:tr>
      <w:tr>
        <w:trPr>
          <w:cantSplit/>
        </w:trPr>
        <w:tc>
          <w:tcPr>
            <w:tcW w:type="dxa" w:w="73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C2</w:t>
            </w:r>
          </w:p>
        </w:tc>
        <w:tc>
          <w:tcPr>
            <w:tcW w:type="dxa" w:w="3402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判断影响范围</w:t>
            </w:r>
          </w:p>
        </w:tc>
        <w:tc>
          <w:tcPr>
            <w:tcW w:type="dxa" w:w="4649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能确认是单点故障、数据问题还是依赖服务中断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C3</w:t>
            </w:r>
          </w:p>
        </w:tc>
        <w:tc>
          <w:tcPr>
            <w:tcW w:type="dxa" w:w="340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处置</w:t>
            </w:r>
          </w:p>
        </w:tc>
        <w:tc>
          <w:tcPr>
            <w:tcW w:type="dxa" w:w="4649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能通过重启服务、回滚版本或恢复备份使站点恢复</w:t>
            </w:r>
          </w:p>
        </w:tc>
      </w:tr>
      <w:tr>
        <w:trPr>
          <w:cantSplit/>
        </w:trPr>
        <w:tc>
          <w:tcPr>
            <w:tcW w:type="dxa" w:w="73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C4</w:t>
            </w:r>
          </w:p>
        </w:tc>
        <w:tc>
          <w:tcPr>
            <w:tcW w:type="dxa" w:w="3402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记录</w:t>
            </w:r>
          </w:p>
        </w:tc>
        <w:tc>
          <w:tcPr>
            <w:tcW w:type="dxa" w:w="4649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在变更记录中写明原因与后续改进项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r>
        <w:br w:type="page"/>
      </w:r>
    </w:p>
    <w:p>
      <w:pPr>
        <w:spacing w:before="0" w:after="0" w:line="200" w:lineRule="exact"/>
      </w:pPr>
      <w:r>
        <w:rPr>
          <w:rFonts w:ascii="微软雅黑" w:hAnsi="微软雅黑" w:eastAsia="微软雅黑"/>
          <w:sz w:val="2"/>
        </w:rPr>
      </w:r>
    </w:p>
    <w:p>
      <w:pPr>
        <w:pStyle w:val="Heading1"/>
        <w:pBdr>
          <w:bottom w:val="single" w:sz="8" w:space="8" w:color="D8DEE6"/>
        </w:pBdr>
        <w:keepNext/>
      </w:pPr>
      <w:r>
        <w:rPr>
          <w:rFonts w:ascii="微软雅黑" w:hAnsi="微软雅黑" w:eastAsia="微软雅黑"/>
        </w:rPr>
        <w:t>5. 规模与流量假设</w:t>
      </w:r>
    </w:p>
    <w:p>
      <w:pPr>
        <w:keepLines/>
      </w:pPr>
      <w:r>
        <w:rPr>
          <w:rFonts w:ascii="微软雅黑" w:hAnsi="微软雅黑" w:eastAsia="微软雅黑"/>
        </w:rPr>
        <w:t>判断标准：峰值并发是具体数字。本章所有数字都是后续架构取舍的依据——它们正是“不需要缓存集群、不需要微服务”的证据。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3249"/>
        <w:gridCol w:w="3249"/>
        <w:gridCol w:w="3249"/>
      </w:tblGrid>
      <w:tr>
        <w:trPr>
          <w:cantSplit/>
          <w:tblHeader w:val="true"/>
        </w:trPr>
        <w:tc>
          <w:tcPr>
            <w:tcW w:type="dxa" w:w="1701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维度</w:t>
            </w:r>
          </w:p>
        </w:tc>
        <w:tc>
          <w:tcPr>
            <w:tcW w:type="dxa" w:w="2494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假设值</w:t>
            </w:r>
          </w:p>
        </w:tc>
        <w:tc>
          <w:tcPr>
            <w:tcW w:type="dxa" w:w="4592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依据 / 说明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作者账号数</w:t>
            </w:r>
          </w:p>
        </w:tc>
        <w:tc>
          <w:tcPr>
            <w:tcW w:type="dxa" w:w="249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1 个（本人）</w:t>
            </w:r>
          </w:p>
        </w:tc>
        <w:tc>
          <w:tcPr>
            <w:tcW w:type="dxa" w:w="459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单人博客，无注册功能（NG-1）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日活跃访客</w:t>
            </w:r>
          </w:p>
        </w:tc>
        <w:tc>
          <w:tcPr>
            <w:tcW w:type="dxa" w:w="249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初期 0–20 人</w:t>
            </w:r>
          </w:p>
        </w:tc>
        <w:tc>
          <w:tcPr>
            <w:tcW w:type="dxa" w:w="4592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无推广，主要来自分享与搜索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峰值并发请求</w:t>
            </w:r>
          </w:p>
        </w:tc>
        <w:tc>
          <w:tcPr>
            <w:tcW w:type="dxa" w:w="249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≤ 5 个</w:t>
            </w:r>
          </w:p>
        </w:tc>
        <w:tc>
          <w:tcPr>
            <w:tcW w:type="dxa" w:w="459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个人博客的真实量级；该数字直接否定了高并发架构的必要性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文章规模</w:t>
            </w:r>
          </w:p>
        </w:tc>
        <w:tc>
          <w:tcPr>
            <w:tcW w:type="dxa" w:w="249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第 1 年 30–60 篇</w:t>
            </w:r>
          </w:p>
        </w:tc>
        <w:tc>
          <w:tcPr>
            <w:tcW w:type="dxa" w:w="4592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决定列表分页与搜索的实现复杂度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图片总量</w:t>
            </w:r>
          </w:p>
        </w:tc>
        <w:tc>
          <w:tcPr>
            <w:tcW w:type="dxa" w:w="249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第 1 年约 300–800 张，2–5 GB</w:t>
            </w:r>
          </w:p>
        </w:tc>
        <w:tc>
          <w:tcPr>
            <w:tcW w:type="dxa" w:w="459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决定存储与备份策略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数据库体量</w:t>
            </w:r>
          </w:p>
        </w:tc>
        <w:tc>
          <w:tcPr>
            <w:tcW w:type="dxa" w:w="249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累计 &lt; 500 MB</w:t>
            </w:r>
          </w:p>
        </w:tc>
        <w:tc>
          <w:tcPr>
            <w:tcW w:type="dxa" w:w="4592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该量级下 SQLite 完全够用，且零运维（见 10.3 的 A2 决策）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日带宽消耗</w:t>
            </w:r>
          </w:p>
        </w:tc>
        <w:tc>
          <w:tcPr>
            <w:tcW w:type="dxa" w:w="249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3Mbps 带宽下约 ≤ 30 GB/月为上限</w:t>
            </w:r>
          </w:p>
        </w:tc>
        <w:tc>
          <w:tcPr>
            <w:tcW w:type="dxa" w:w="459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带宽是硬顶，比流量费更先触达（见 13 章）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增长预期</w:t>
            </w:r>
          </w:p>
        </w:tc>
        <w:tc>
          <w:tcPr>
            <w:tcW w:type="dxa" w:w="249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第 1 年内不做爆发式增长假设</w:t>
            </w:r>
          </w:p>
        </w:tc>
        <w:tc>
          <w:tcPr>
            <w:tcW w:type="dxa" w:w="4592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若出现大幅增长，属于 v2 的范围重估触发条件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r>
        <w:br w:type="page"/>
      </w:r>
    </w:p>
    <w:p>
      <w:pPr>
        <w:spacing w:before="0" w:after="0" w:line="200" w:lineRule="exact"/>
      </w:pPr>
      <w:r>
        <w:rPr>
          <w:rFonts w:ascii="微软雅黑" w:hAnsi="微软雅黑" w:eastAsia="微软雅黑"/>
          <w:sz w:val="2"/>
        </w:rPr>
      </w:r>
    </w:p>
    <w:p>
      <w:pPr>
        <w:pStyle w:val="Heading1"/>
        <w:pBdr>
          <w:bottom w:val="single" w:sz="8" w:space="8" w:color="D8DEE6"/>
        </w:pBdr>
        <w:keepNext/>
      </w:pPr>
      <w:r>
        <w:rPr>
          <w:rFonts w:ascii="微软雅黑" w:hAnsi="微软雅黑" w:eastAsia="微软雅黑"/>
        </w:rPr>
        <w:t>6. 功能需求</w:t>
      </w:r>
    </w:p>
    <w:p>
      <w:pPr>
        <w:keepLines/>
      </w:pPr>
      <w:r>
        <w:rPr>
          <w:rFonts w:ascii="微软雅黑" w:hAnsi="微软雅黑" w:eastAsia="微软雅黑"/>
        </w:rPr>
        <w:t>判断标准：每条都能判定通过 / 不通过。构成：编号 + 优先级（MoSCoW）+ 描述 + 验收方式。</w:t>
      </w:r>
    </w:p>
    <w:p>
      <w:pPr>
        <w:pStyle w:val="Heading2"/>
        <w:keepNext/>
      </w:pPr>
      <w:r>
        <w:rPr>
          <w:rFonts w:ascii="微软雅黑" w:hAnsi="微软雅黑" w:eastAsia="微软雅黑"/>
        </w:rPr>
        <w:t>6.1 内容管理与发布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2436"/>
        <w:gridCol w:w="2436"/>
        <w:gridCol w:w="2436"/>
        <w:gridCol w:w="2436"/>
      </w:tblGrid>
      <w:tr>
        <w:trPr>
          <w:cantSplit/>
          <w:tblHeader w:val="true"/>
        </w:trPr>
        <w:tc>
          <w:tcPr>
            <w:tcW w:type="dxa" w:w="850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编号</w:t>
            </w:r>
          </w:p>
        </w:tc>
        <w:tc>
          <w:tcPr>
            <w:tcW w:type="dxa" w:w="737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级别</w:t>
            </w:r>
          </w:p>
        </w:tc>
        <w:tc>
          <w:tcPr>
            <w:tcW w:type="dxa" w:w="3798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需求描述</w:t>
            </w:r>
          </w:p>
        </w:tc>
        <w:tc>
          <w:tcPr>
            <w:tcW w:type="dxa" w:w="3402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验收方式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FR-01</w:t>
            </w:r>
          </w:p>
        </w:tc>
        <w:tc>
          <w:tcPr>
            <w:tcW w:type="dxa" w:w="73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M</w:t>
            </w:r>
          </w:p>
        </w:tc>
        <w:tc>
          <w:tcPr>
            <w:tcW w:type="dxa" w:w="379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管理员可登录后台，未登录访问管理接口被拒绝</w:t>
            </w:r>
          </w:p>
        </w:tc>
        <w:tc>
          <w:tcPr>
            <w:tcW w:type="dxa" w:w="340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未登录调用管理接口返回 401</w:t>
            </w:r>
          </w:p>
        </w:tc>
      </w:tr>
      <w:tr>
        <w:trPr>
          <w:cantSplit/>
        </w:trPr>
        <w:tc>
          <w:tcPr>
            <w:tcW w:type="dxa" w:w="850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FR-02</w:t>
            </w:r>
          </w:p>
        </w:tc>
        <w:tc>
          <w:tcPr>
            <w:tcW w:type="dxa" w:w="73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M</w:t>
            </w:r>
          </w:p>
        </w:tc>
        <w:tc>
          <w:tcPr>
            <w:tcW w:type="dxa" w:w="379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可创建文章，字段含标题、正文、摘要、标签、状态（草稿 / 已发布）</w:t>
            </w:r>
          </w:p>
        </w:tc>
        <w:tc>
          <w:tcPr>
            <w:tcW w:type="dxa" w:w="3402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创建后数据库记录字段正确，必填校验生效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FR-03</w:t>
            </w:r>
          </w:p>
        </w:tc>
        <w:tc>
          <w:tcPr>
            <w:tcW w:type="dxa" w:w="73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M</w:t>
            </w:r>
          </w:p>
        </w:tc>
        <w:tc>
          <w:tcPr>
            <w:tcW w:type="dxa" w:w="379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可编辑并保存已有文章</w:t>
            </w:r>
          </w:p>
        </w:tc>
        <w:tc>
          <w:tcPr>
            <w:tcW w:type="dxa" w:w="340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保存后重新打开内容一致，更新时间变化</w:t>
            </w:r>
          </w:p>
        </w:tc>
      </w:tr>
      <w:tr>
        <w:trPr>
          <w:cantSplit/>
        </w:trPr>
        <w:tc>
          <w:tcPr>
            <w:tcW w:type="dxa" w:w="850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FR-04</w:t>
            </w:r>
          </w:p>
        </w:tc>
        <w:tc>
          <w:tcPr>
            <w:tcW w:type="dxa" w:w="73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M</w:t>
            </w:r>
          </w:p>
        </w:tc>
        <w:tc>
          <w:tcPr>
            <w:tcW w:type="dxa" w:w="379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正文支持 Markdown 编写与渲染</w:t>
            </w:r>
          </w:p>
        </w:tc>
        <w:tc>
          <w:tcPr>
            <w:tcW w:type="dxa" w:w="3402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含标题 / 列表 / 代码块 / 链接 / 图片的样例文渲染正确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FR-05</w:t>
            </w:r>
          </w:p>
        </w:tc>
        <w:tc>
          <w:tcPr>
            <w:tcW w:type="dxa" w:w="73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M</w:t>
            </w:r>
          </w:p>
        </w:tc>
        <w:tc>
          <w:tcPr>
            <w:tcW w:type="dxa" w:w="379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支持草稿状态，草稿不出现在公开接口结果中</w:t>
            </w:r>
          </w:p>
        </w:tc>
        <w:tc>
          <w:tcPr>
            <w:tcW w:type="dxa" w:w="340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以访客身份请求列表，草稿不可见</w:t>
            </w:r>
          </w:p>
        </w:tc>
      </w:tr>
      <w:tr>
        <w:trPr>
          <w:cantSplit/>
        </w:trPr>
        <w:tc>
          <w:tcPr>
            <w:tcW w:type="dxa" w:w="850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FR-06</w:t>
            </w:r>
          </w:p>
        </w:tc>
        <w:tc>
          <w:tcPr>
            <w:tcW w:type="dxa" w:w="73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M</w:t>
            </w:r>
          </w:p>
        </w:tc>
        <w:tc>
          <w:tcPr>
            <w:tcW w:type="dxa" w:w="379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文章可软删除，误删可恢复</w:t>
            </w:r>
          </w:p>
        </w:tc>
        <w:tc>
          <w:tcPr>
            <w:tcW w:type="dxa" w:w="3402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删除后公开不可见，数据库中可恢复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FR-07</w:t>
            </w:r>
          </w:p>
        </w:tc>
        <w:tc>
          <w:tcPr>
            <w:tcW w:type="dxa" w:w="73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M</w:t>
            </w:r>
          </w:p>
        </w:tc>
        <w:tc>
          <w:tcPr>
            <w:tcW w:type="dxa" w:w="379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可上传图片用于正文并正常展示</w:t>
            </w:r>
          </w:p>
        </w:tc>
        <w:tc>
          <w:tcPr>
            <w:tcW w:type="dxa" w:w="340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上传后返回可访问 URL，正文图片正常加载</w:t>
            </w:r>
          </w:p>
        </w:tc>
      </w:tr>
      <w:tr>
        <w:trPr>
          <w:cantSplit/>
        </w:trPr>
        <w:tc>
          <w:tcPr>
            <w:tcW w:type="dxa" w:w="850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FR-08</w:t>
            </w:r>
          </w:p>
        </w:tc>
        <w:tc>
          <w:tcPr>
            <w:tcW w:type="dxa" w:w="73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S</w:t>
            </w:r>
          </w:p>
        </w:tc>
        <w:tc>
          <w:tcPr>
            <w:tcW w:type="dxa" w:w="379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发布前可预览，且与线上渲染一致</w:t>
            </w:r>
          </w:p>
        </w:tc>
        <w:tc>
          <w:tcPr>
            <w:tcW w:type="dxa" w:w="3402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同一篇文章的预览与发布后渲染结果一致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FR-09</w:t>
            </w:r>
          </w:p>
        </w:tc>
        <w:tc>
          <w:tcPr>
            <w:tcW w:type="dxa" w:w="73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S</w:t>
            </w:r>
          </w:p>
        </w:tc>
        <w:tc>
          <w:tcPr>
            <w:tcW w:type="dxa" w:w="379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文章可设置唯一 slug 用于友好链接</w:t>
            </w:r>
          </w:p>
        </w:tc>
        <w:tc>
          <w:tcPr>
            <w:tcW w:type="dxa" w:w="340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重复 slug 被拒绝或自动去重</w:t>
            </w:r>
          </w:p>
        </w:tc>
      </w:tr>
      <w:tr>
        <w:trPr>
          <w:cantSplit/>
        </w:trPr>
        <w:tc>
          <w:tcPr>
            <w:tcW w:type="dxa" w:w="850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FR-10</w:t>
            </w:r>
          </w:p>
        </w:tc>
        <w:tc>
          <w:tcPr>
            <w:tcW w:type="dxa" w:w="73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C</w:t>
            </w:r>
          </w:p>
        </w:tc>
        <w:tc>
          <w:tcPr>
            <w:tcW w:type="dxa" w:w="379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文章版本历史，可回滚到历史版本</w:t>
            </w:r>
          </w:p>
        </w:tc>
        <w:tc>
          <w:tcPr>
            <w:tcW w:type="dxa" w:w="3402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pPr>
        <w:pStyle w:val="Heading2"/>
        <w:keepNext/>
      </w:pPr>
      <w:r>
        <w:rPr>
          <w:rFonts w:ascii="微软雅黑" w:hAnsi="微软雅黑" w:eastAsia="微软雅黑"/>
        </w:rPr>
        <w:t>6.2 浏览与检索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2436"/>
        <w:gridCol w:w="2436"/>
        <w:gridCol w:w="2436"/>
        <w:gridCol w:w="2436"/>
      </w:tblGrid>
      <w:tr>
        <w:trPr>
          <w:cantSplit/>
          <w:tblHeader w:val="true"/>
        </w:trPr>
        <w:tc>
          <w:tcPr>
            <w:tcW w:type="dxa" w:w="850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编号</w:t>
            </w:r>
          </w:p>
        </w:tc>
        <w:tc>
          <w:tcPr>
            <w:tcW w:type="dxa" w:w="737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级别</w:t>
            </w:r>
          </w:p>
        </w:tc>
        <w:tc>
          <w:tcPr>
            <w:tcW w:type="dxa" w:w="3798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需求描述</w:t>
            </w:r>
          </w:p>
        </w:tc>
        <w:tc>
          <w:tcPr>
            <w:tcW w:type="dxa" w:w="3402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验收方式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FR-11</w:t>
            </w:r>
          </w:p>
        </w:tc>
        <w:tc>
          <w:tcPr>
            <w:tcW w:type="dxa" w:w="73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M</w:t>
            </w:r>
          </w:p>
        </w:tc>
        <w:tc>
          <w:tcPr>
            <w:tcW w:type="dxa" w:w="379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首页展示已发布文章列表，按发布时间倒序</w:t>
            </w:r>
          </w:p>
        </w:tc>
        <w:tc>
          <w:tcPr>
            <w:tcW w:type="dxa" w:w="340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列表顺序正确，仅含已发布文章</w:t>
            </w:r>
          </w:p>
        </w:tc>
      </w:tr>
      <w:tr>
        <w:trPr>
          <w:cantSplit/>
        </w:trPr>
        <w:tc>
          <w:tcPr>
            <w:tcW w:type="dxa" w:w="850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FR-12</w:t>
            </w:r>
          </w:p>
        </w:tc>
        <w:tc>
          <w:tcPr>
            <w:tcW w:type="dxa" w:w="73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M</w:t>
            </w:r>
          </w:p>
        </w:tc>
        <w:tc>
          <w:tcPr>
            <w:tcW w:type="dxa" w:w="379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列表分页，单页数量可配置</w:t>
            </w:r>
          </w:p>
        </w:tc>
        <w:tc>
          <w:tcPr>
            <w:tcW w:type="dxa" w:w="3402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页数与总数计算正确，边界页不报错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FR-13</w:t>
            </w:r>
          </w:p>
        </w:tc>
        <w:tc>
          <w:tcPr>
            <w:tcW w:type="dxa" w:w="73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M</w:t>
            </w:r>
          </w:p>
        </w:tc>
        <w:tc>
          <w:tcPr>
            <w:tcW w:type="dxa" w:w="379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文章详情可通过可读链接直接访问</w:t>
            </w:r>
          </w:p>
        </w:tc>
        <w:tc>
          <w:tcPr>
            <w:tcW w:type="dxa" w:w="340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直接访问 URL 打开对应文章，刷新不 404</w:t>
            </w:r>
          </w:p>
        </w:tc>
      </w:tr>
      <w:tr>
        <w:trPr>
          <w:cantSplit/>
        </w:trPr>
        <w:tc>
          <w:tcPr>
            <w:tcW w:type="dxa" w:w="850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FR-14</w:t>
            </w:r>
          </w:p>
        </w:tc>
        <w:tc>
          <w:tcPr>
            <w:tcW w:type="dxa" w:w="73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M</w:t>
            </w:r>
          </w:p>
        </w:tc>
        <w:tc>
          <w:tcPr>
            <w:tcW w:type="dxa" w:w="379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支持按标签筛选文章</w:t>
            </w:r>
          </w:p>
        </w:tc>
        <w:tc>
          <w:tcPr>
            <w:tcW w:type="dxa" w:w="3402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点击标签可列出该标签下全部已发布文章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FR-15</w:t>
            </w:r>
          </w:p>
        </w:tc>
        <w:tc>
          <w:tcPr>
            <w:tcW w:type="dxa" w:w="73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M</w:t>
            </w:r>
          </w:p>
        </w:tc>
        <w:tc>
          <w:tcPr>
            <w:tcW w:type="dxa" w:w="379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支持按关键词搜索文章（标题 + 正文）</w:t>
            </w:r>
          </w:p>
        </w:tc>
        <w:tc>
          <w:tcPr>
            <w:tcW w:type="dxa" w:w="340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搜索命中结果正确，含关键词的文章被返回</w:t>
            </w:r>
          </w:p>
        </w:tc>
      </w:tr>
      <w:tr>
        <w:trPr>
          <w:cantSplit/>
        </w:trPr>
        <w:tc>
          <w:tcPr>
            <w:tcW w:type="dxa" w:w="850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FR-16</w:t>
            </w:r>
          </w:p>
        </w:tc>
        <w:tc>
          <w:tcPr>
            <w:tcW w:type="dxa" w:w="73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S</w:t>
            </w:r>
          </w:p>
        </w:tc>
        <w:tc>
          <w:tcPr>
            <w:tcW w:type="dxa" w:w="379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按归档（时间）浏览</w:t>
            </w:r>
          </w:p>
        </w:tc>
        <w:tc>
          <w:tcPr>
            <w:tcW w:type="dxa" w:w="3402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可按年月列出文章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FR-17</w:t>
            </w:r>
          </w:p>
        </w:tc>
        <w:tc>
          <w:tcPr>
            <w:tcW w:type="dxa" w:w="73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S</w:t>
            </w:r>
          </w:p>
        </w:tc>
        <w:tc>
          <w:tcPr>
            <w:tcW w:type="dxa" w:w="379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展示文章阅读量</w:t>
            </w:r>
          </w:p>
        </w:tc>
        <w:tc>
          <w:tcPr>
            <w:tcW w:type="dxa" w:w="340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访问详情页后计数增加，且已说明防刷口径</w:t>
            </w:r>
          </w:p>
        </w:tc>
      </w:tr>
      <w:tr>
        <w:trPr>
          <w:cantSplit/>
        </w:trPr>
        <w:tc>
          <w:tcPr>
            <w:tcW w:type="dxa" w:w="850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FR-18</w:t>
            </w:r>
          </w:p>
        </w:tc>
        <w:tc>
          <w:tcPr>
            <w:tcW w:type="dxa" w:w="73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C</w:t>
            </w:r>
          </w:p>
        </w:tc>
        <w:tc>
          <w:tcPr>
            <w:tcW w:type="dxa" w:w="379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相关文章推荐 / 全文检索索引优化</w:t>
            </w:r>
          </w:p>
        </w:tc>
        <w:tc>
          <w:tcPr>
            <w:tcW w:type="dxa" w:w="3402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pPr>
        <w:pStyle w:val="Heading2"/>
        <w:keepNext/>
      </w:pPr>
      <w:r>
        <w:rPr>
          <w:rFonts w:ascii="微软雅黑" w:hAnsi="微软雅黑" w:eastAsia="微软雅黑"/>
        </w:rPr>
        <w:t>6.3 站点与个人展示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2436"/>
        <w:gridCol w:w="2436"/>
        <w:gridCol w:w="2436"/>
        <w:gridCol w:w="2436"/>
      </w:tblGrid>
      <w:tr>
        <w:trPr>
          <w:cantSplit/>
          <w:tblHeader w:val="true"/>
        </w:trPr>
        <w:tc>
          <w:tcPr>
            <w:tcW w:type="dxa" w:w="850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编号</w:t>
            </w:r>
          </w:p>
        </w:tc>
        <w:tc>
          <w:tcPr>
            <w:tcW w:type="dxa" w:w="737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级别</w:t>
            </w:r>
          </w:p>
        </w:tc>
        <w:tc>
          <w:tcPr>
            <w:tcW w:type="dxa" w:w="3798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需求描述</w:t>
            </w:r>
          </w:p>
        </w:tc>
        <w:tc>
          <w:tcPr>
            <w:tcW w:type="dxa" w:w="3402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验收方式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FR-19</w:t>
            </w:r>
          </w:p>
        </w:tc>
        <w:tc>
          <w:tcPr>
            <w:tcW w:type="dxa" w:w="73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M</w:t>
            </w:r>
          </w:p>
        </w:tc>
        <w:tc>
          <w:tcPr>
            <w:tcW w:type="dxa" w:w="379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关于我页面，展示个人简介与联系方式</w:t>
            </w:r>
          </w:p>
        </w:tc>
        <w:tc>
          <w:tcPr>
            <w:tcW w:type="dxa" w:w="340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页面可访问且内容正确</w:t>
            </w:r>
          </w:p>
        </w:tc>
      </w:tr>
      <w:tr>
        <w:trPr>
          <w:cantSplit/>
        </w:trPr>
        <w:tc>
          <w:tcPr>
            <w:tcW w:type="dxa" w:w="850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FR-20</w:t>
            </w:r>
          </w:p>
        </w:tc>
        <w:tc>
          <w:tcPr>
            <w:tcW w:type="dxa" w:w="73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M</w:t>
            </w:r>
          </w:p>
        </w:tc>
        <w:tc>
          <w:tcPr>
            <w:tcW w:type="dxa" w:w="379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站点信息（标题、副标题、备案号）可配置</w:t>
            </w:r>
          </w:p>
        </w:tc>
        <w:tc>
          <w:tcPr>
            <w:tcW w:type="dxa" w:w="3402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修改配置后前台展示同步变化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FR-21</w:t>
            </w:r>
          </w:p>
        </w:tc>
        <w:tc>
          <w:tcPr>
            <w:tcW w:type="dxa" w:w="73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S</w:t>
            </w:r>
          </w:p>
        </w:tc>
        <w:tc>
          <w:tcPr>
            <w:tcW w:type="dxa" w:w="379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RSS 订阅输出</w:t>
            </w:r>
          </w:p>
        </w:tc>
        <w:tc>
          <w:tcPr>
            <w:tcW w:type="dxa" w:w="340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订阅地址可被主流阅读器解析</w:t>
            </w:r>
          </w:p>
        </w:tc>
      </w:tr>
      <w:tr>
        <w:trPr>
          <w:cantSplit/>
        </w:trPr>
        <w:tc>
          <w:tcPr>
            <w:tcW w:type="dxa" w:w="850"/>
            <w:shd w:val="clear" w:color="auto" w:fill="F8FAFC"/>
          </w:tcPr>
          <w:p>
            <w:pPr>
              <w:spacing w:after="0" w:line="300" w:lineRule="auto"/>
            </w:pPr>
            <w:r>
              <w:t>FR-22</w:t>
            </w:r>
          </w:p>
        </w:tc>
        <w:tc>
          <w:tcPr>
            <w:tcW w:type="dxa" w:w="737"/>
            <w:shd w:val="clear" w:color="auto" w:fill="F8FAFC"/>
          </w:tcPr>
          <w:p>
            <w:pPr>
              <w:spacing w:after="0" w:line="300" w:lineRule="auto"/>
            </w:pPr>
            <w:r>
              <w:t>S</w:t>
            </w:r>
          </w:p>
        </w:tc>
        <w:tc>
          <w:tcPr>
            <w:tcW w:type="dxa" w:w="3798"/>
            <w:shd w:val="clear" w:color="auto" w:fill="F8FAFC"/>
          </w:tcPr>
          <w:p>
            <w:pPr>
              <w:spacing w:after="0" w:line="300" w:lineRule="auto"/>
            </w:pPr>
            <w:r>
              <w:t>页面 &lt;title&gt; 与 &lt;meta name="description"&gt; 正确设置（v1.3 修订：原「站点地图与基础 SEO，含 OG 标签」已降级——ADR-01 决定不做 SEO；OG 标签在纯 SPA 下对不执行 JS 的客户端无效）</w:t>
            </w:r>
          </w:p>
        </w:tc>
        <w:tc>
          <w:tcPr>
            <w:tcW w:type="dxa" w:w="3402"/>
            <w:shd w:val="clear" w:color="auto" w:fill="F8FAFC"/>
          </w:tcPr>
          <w:p>
            <w:pPr>
              <w:spacing w:after="0" w:line="300" w:lineRule="auto"/>
            </w:pPr>
            <w:r>
              <w:t>直接查看页面源代码，head 中的标题与描述随路由正确变化；不含站点地图与分享卡片承诺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FR-23</w:t>
            </w:r>
          </w:p>
        </w:tc>
        <w:tc>
          <w:tcPr>
            <w:tcW w:type="dxa" w:w="73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C</w:t>
            </w:r>
          </w:p>
        </w:tc>
        <w:tc>
          <w:tcPr>
            <w:tcW w:type="dxa" w:w="379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深色模式</w:t>
            </w:r>
          </w:p>
        </w:tc>
        <w:tc>
          <w:tcPr>
            <w:tcW w:type="dxa" w:w="340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850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FR-24</w:t>
            </w:r>
          </w:p>
        </w:tc>
        <w:tc>
          <w:tcPr>
            <w:tcW w:type="dxa" w:w="73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C</w:t>
            </w:r>
          </w:p>
        </w:tc>
        <w:tc>
          <w:tcPr>
            <w:tcW w:type="dxa" w:w="379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友情链接 / 访问统计接入</w:t>
            </w:r>
          </w:p>
        </w:tc>
        <w:tc>
          <w:tcPr>
            <w:tcW w:type="dxa" w:w="3402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pPr>
        <w:pStyle w:val="Heading2"/>
        <w:keepNext/>
      </w:pPr>
      <w:r>
        <w:rPr>
          <w:rFonts w:ascii="微软雅黑" w:hAnsi="微软雅黑" w:eastAsia="微软雅黑"/>
        </w:rPr>
        <w:t>6.4 需求统计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3249"/>
        <w:gridCol w:w="3249"/>
        <w:gridCol w:w="3249"/>
      </w:tblGrid>
      <w:tr>
        <w:trPr>
          <w:cantSplit/>
          <w:tblHeader w:val="true"/>
        </w:trPr>
        <w:tc>
          <w:tcPr>
            <w:tcW w:type="dxa" w:w="1701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优先级</w:t>
            </w:r>
          </w:p>
        </w:tc>
        <w:tc>
          <w:tcPr>
            <w:tcW w:type="dxa" w:w="1474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数量</w:t>
            </w:r>
          </w:p>
        </w:tc>
        <w:tc>
          <w:tcPr>
            <w:tcW w:type="dxa" w:w="5613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M（必须做）</w:t>
            </w:r>
          </w:p>
        </w:tc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13 条</w:t>
            </w:r>
          </w:p>
        </w:tc>
        <w:tc>
          <w:tcPr>
            <w:tcW w:type="dxa" w:w="5613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v1 范围，全部通过才算交付（FR-01~07、11~15、19~20 及部分站点项）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S（应该做）</w:t>
            </w:r>
          </w:p>
        </w:tc>
        <w:tc>
          <w:tcPr>
            <w:tcW w:type="dxa" w:w="147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7 条</w:t>
            </w:r>
          </w:p>
        </w:tc>
        <w:tc>
          <w:tcPr>
            <w:tcW w:type="dxa" w:w="5613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v1 尽量完成，允许延后到 v1.1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C（可以做）</w:t>
            </w:r>
          </w:p>
        </w:tc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4 条</w:t>
            </w:r>
          </w:p>
        </w:tc>
        <w:tc>
          <w:tcPr>
            <w:tcW w:type="dxa" w:w="5613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v1 不做，登记进愿望池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r>
        <w:br w:type="page"/>
      </w:r>
    </w:p>
    <w:p>
      <w:pPr>
        <w:spacing w:before="0" w:after="0" w:line="200" w:lineRule="exact"/>
      </w:pPr>
      <w:r>
        <w:rPr>
          <w:rFonts w:ascii="微软雅黑" w:hAnsi="微软雅黑" w:eastAsia="微软雅黑"/>
          <w:sz w:val="2"/>
        </w:rPr>
      </w:r>
    </w:p>
    <w:p>
      <w:pPr>
        <w:pStyle w:val="Heading1"/>
        <w:pBdr>
          <w:bottom w:val="single" w:sz="8" w:space="8" w:color="D8DEE6"/>
        </w:pBdr>
        <w:keepNext/>
      </w:pPr>
      <w:r>
        <w:rPr>
          <w:rFonts w:ascii="微软雅黑" w:hAnsi="微软雅黑" w:eastAsia="微软雅黑"/>
        </w:rPr>
        <w:t>7. 非功能需求</w:t>
      </w:r>
    </w:p>
    <w:p>
      <w:pPr>
        <w:keepLines/>
      </w:pPr>
      <w:r>
        <w:rPr>
          <w:rFonts w:ascii="微软雅黑" w:hAnsi="微软雅黑" w:eastAsia="微软雅黑"/>
        </w:rPr>
        <w:t>判断标准：有阈值或可检查的动作。本章用固定维度逐项过，避免漏项。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2436"/>
        <w:gridCol w:w="2436"/>
        <w:gridCol w:w="2436"/>
        <w:gridCol w:w="2436"/>
      </w:tblGrid>
      <w:tr>
        <w:trPr>
          <w:cantSplit/>
          <w:tblHeader w:val="true"/>
        </w:trPr>
        <w:tc>
          <w:tcPr>
            <w:tcW w:type="dxa" w:w="964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编号</w:t>
            </w:r>
          </w:p>
        </w:tc>
        <w:tc>
          <w:tcPr>
            <w:tcW w:type="dxa" w:w="907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类别</w:t>
            </w:r>
          </w:p>
        </w:tc>
        <w:tc>
          <w:tcPr>
            <w:tcW w:type="dxa" w:w="3572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要求</w:t>
            </w:r>
          </w:p>
        </w:tc>
        <w:tc>
          <w:tcPr>
            <w:tcW w:type="dxa" w:w="3345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验收方式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NFR-01</w:t>
            </w:r>
          </w:p>
        </w:tc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性能</w:t>
            </w:r>
          </w:p>
        </w:tc>
        <w:tc>
          <w:tcPr>
            <w:tcW w:type="dxa" w:w="357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文章详情页在 3Mbps 带宽下首屏可读内容 ≤ 2.5 秒；常规查询接口 P95 ≤ 300ms</w:t>
            </w:r>
          </w:p>
        </w:tc>
        <w:tc>
          <w:tcPr>
            <w:tcW w:type="dxa" w:w="3345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在真实服务器上用浏览器网络面板与后端日志实测</w:t>
            </w:r>
          </w:p>
        </w:tc>
      </w:tr>
      <w:tr>
        <w:trPr>
          <w:cantSplit/>
        </w:trPr>
        <w:tc>
          <w:tcPr>
            <w:tcW w:type="dxa" w:w="96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NFR-02</w:t>
            </w:r>
          </w:p>
        </w:tc>
        <w:tc>
          <w:tcPr>
            <w:tcW w:type="dxa" w:w="90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性能</w:t>
            </w:r>
          </w:p>
        </w:tc>
        <w:tc>
          <w:tcPr>
            <w:tcW w:type="dxa" w:w="3572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列表接口单页响应体 ≤ 100KB（不含图片资源）</w:t>
            </w:r>
          </w:p>
        </w:tc>
        <w:tc>
          <w:tcPr>
            <w:tcW w:type="dxa" w:w="3345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核对响应体大小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NFR-03</w:t>
            </w:r>
          </w:p>
        </w:tc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安全</w:t>
            </w:r>
          </w:p>
        </w:tc>
        <w:tc>
          <w:tcPr>
            <w:tcW w:type="dxa" w:w="357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全站 HTTPS；后台接口必须鉴权；密码哈希存储，禁止明文</w:t>
            </w:r>
          </w:p>
        </w:tc>
        <w:tc>
          <w:tcPr>
            <w:tcW w:type="dxa" w:w="3345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检查证书有效；未授权请求返回 401；数据库中无明文密码</w:t>
            </w:r>
          </w:p>
        </w:tc>
      </w:tr>
      <w:tr>
        <w:trPr>
          <w:cantSplit/>
        </w:trPr>
        <w:tc>
          <w:tcPr>
            <w:tcW w:type="dxa" w:w="96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NFR-04</w:t>
            </w:r>
          </w:p>
        </w:tc>
        <w:tc>
          <w:tcPr>
            <w:tcW w:type="dxa" w:w="90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安全</w:t>
            </w:r>
          </w:p>
        </w:tc>
        <w:tc>
          <w:tcPr>
            <w:tcW w:type="dxa" w:w="3572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写接口全部做服务端校验，不信任前端；参数化查询防注入</w:t>
            </w:r>
          </w:p>
        </w:tc>
        <w:tc>
          <w:tcPr>
            <w:tcW w:type="dxa" w:w="3345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构造非法输入被拒绝；代码审查无字符串拼接 SQL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NFR-05</w:t>
            </w:r>
          </w:p>
        </w:tc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安全</w:t>
            </w:r>
          </w:p>
        </w:tc>
        <w:tc>
          <w:tcPr>
            <w:tcW w:type="dxa" w:w="357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敏感配置（数据库密码等）通过环境变量注入，禁止提交仓库</w:t>
            </w:r>
          </w:p>
        </w:tc>
        <w:tc>
          <w:tcPr>
            <w:tcW w:type="dxa" w:w="3345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仓库中搜索无明文密钥；.env 已被忽略</w:t>
            </w:r>
          </w:p>
        </w:tc>
      </w:tr>
      <w:tr>
        <w:trPr>
          <w:cantSplit/>
        </w:trPr>
        <w:tc>
          <w:tcPr>
            <w:tcW w:type="dxa" w:w="96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NFR-06</w:t>
            </w:r>
          </w:p>
        </w:tc>
        <w:tc>
          <w:tcPr>
            <w:tcW w:type="dxa" w:w="90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安全</w:t>
            </w:r>
          </w:p>
        </w:tc>
        <w:tc>
          <w:tcPr>
            <w:tcW w:type="dxa" w:w="3572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上传接口限制类型与大小，禁止可执行文件</w:t>
            </w:r>
          </w:p>
        </w:tc>
        <w:tc>
          <w:tcPr>
            <w:tcW w:type="dxa" w:w="3345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上传非图片文件被拒绝；超大文件被拒绝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NFR-07</w:t>
            </w:r>
          </w:p>
        </w:tc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可靠性</w:t>
            </w:r>
          </w:p>
        </w:tc>
        <w:tc>
          <w:tcPr>
            <w:tcW w:type="dxa" w:w="357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数据库每日自动备份，保留最近 7 份，并完成至少一次恢复演练</w:t>
            </w:r>
          </w:p>
        </w:tc>
        <w:tc>
          <w:tcPr>
            <w:tcW w:type="dxa" w:w="3345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备份文件存在；按手册成功恢复过一次</w:t>
            </w:r>
          </w:p>
        </w:tc>
      </w:tr>
      <w:tr>
        <w:trPr>
          <w:cantSplit/>
        </w:trPr>
        <w:tc>
          <w:tcPr>
            <w:tcW w:type="dxa" w:w="96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NFR-08</w:t>
            </w:r>
          </w:p>
        </w:tc>
        <w:tc>
          <w:tcPr>
            <w:tcW w:type="dxa" w:w="90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可维护性</w:t>
            </w:r>
          </w:p>
        </w:tc>
        <w:tc>
          <w:tcPr>
            <w:tcW w:type="dxa" w:w="3572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后端分层清晰（路由 / 服务 / 模型 / 模式）；前端请求层有唯一出口</w:t>
            </w:r>
          </w:p>
        </w:tc>
        <w:tc>
          <w:tcPr>
            <w:tcW w:type="dxa" w:w="3345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代码审查通过；结构说明与实际一致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NFR-09</w:t>
            </w:r>
          </w:p>
        </w:tc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可观测性</w:t>
            </w:r>
          </w:p>
        </w:tc>
        <w:tc>
          <w:tcPr>
            <w:tcW w:type="dxa" w:w="357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后端结构化日志；错误可定位到请求与堆栈</w:t>
            </w:r>
          </w:p>
        </w:tc>
        <w:tc>
          <w:tcPr>
            <w:tcW w:type="dxa" w:w="3345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人为触发错误后能在日志中找到完整记录</w:t>
            </w:r>
          </w:p>
        </w:tc>
      </w:tr>
      <w:tr>
        <w:trPr>
          <w:cantSplit/>
        </w:trPr>
        <w:tc>
          <w:tcPr>
            <w:tcW w:type="dxa" w:w="96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NFR-10</w:t>
            </w:r>
          </w:p>
        </w:tc>
        <w:tc>
          <w:tcPr>
            <w:tcW w:type="dxa" w:w="90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可部署性</w:t>
            </w:r>
          </w:p>
        </w:tc>
        <w:tc>
          <w:tcPr>
            <w:tcW w:type="dxa" w:w="3572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一条命令完成发布；新服务器可依据手册完整复现</w:t>
            </w:r>
          </w:p>
        </w:tc>
        <w:tc>
          <w:tcPr>
            <w:tcW w:type="dxa" w:w="3345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在全新环境按手册执行成功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NFR-11</w:t>
            </w:r>
          </w:p>
        </w:tc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兼容性</w:t>
            </w:r>
          </w:p>
        </w:tc>
        <w:tc>
          <w:tcPr>
            <w:tcW w:type="dxa" w:w="357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支持主流现代浏览器最新版；移动端可正常阅读</w:t>
            </w:r>
          </w:p>
        </w:tc>
        <w:tc>
          <w:tcPr>
            <w:tcW w:type="dxa" w:w="3345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手机浏览器打开排版不错乱，正文无横向滚动</w:t>
            </w:r>
          </w:p>
        </w:tc>
      </w:tr>
      <w:tr>
        <w:trPr>
          <w:cantSplit/>
        </w:trPr>
        <w:tc>
          <w:tcPr>
            <w:tcW w:type="dxa" w:w="96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NFR-12</w:t>
            </w:r>
          </w:p>
        </w:tc>
        <w:tc>
          <w:tcPr>
            <w:tcW w:type="dxa" w:w="90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容量</w:t>
            </w:r>
          </w:p>
        </w:tc>
        <w:tc>
          <w:tcPr>
            <w:tcW w:type="dxa" w:w="3572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4C4G 内存下全套服务常驻内存 ≤ 3.2GB，留出安全余量</w:t>
            </w:r>
          </w:p>
        </w:tc>
        <w:tc>
          <w:tcPr>
            <w:tcW w:type="dxa" w:w="3345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用 docker stats / free -m 实测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NFR-13</w:t>
            </w:r>
          </w:p>
        </w:tc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合规</w:t>
            </w:r>
          </w:p>
        </w:tc>
        <w:tc>
          <w:tcPr>
            <w:tcW w:type="dxa" w:w="357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若服务器在中国大陆则必须完成 ICP 备案，否则改用境外节点</w:t>
            </w:r>
          </w:p>
        </w:tc>
        <w:tc>
          <w:tcPr>
            <w:tcW w:type="dxa" w:w="3345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备案号已下，或服务器位于境外</w:t>
            </w:r>
          </w:p>
        </w:tc>
      </w:tr>
      <w:tr>
        <w:tc>
          <w:tcPr>
            <w:tcW w:type="dxa" w:w="2436"/>
          </w:tcPr>
          <w:p>
            <w:r>
              <w:t>NFR-14</w:t>
            </w:r>
          </w:p>
        </w:tc>
        <w:tc>
          <w:tcPr>
            <w:tcW w:type="dxa" w:w="2436"/>
          </w:tcPr>
          <w:p>
            <w:r>
              <w:t>性能</w:t>
            </w:r>
          </w:p>
        </w:tc>
        <w:tc>
          <w:tcPr>
            <w:tcW w:type="dxa" w:w="2436"/>
          </w:tcPr>
          <w:p>
            <w:r>
              <w:t>首屏 HTML + CSS + JS（gzip 后）合计 ≤ 150 KB；后台相关代码必须路由懒加载，不得进入访客首屏包</w:t>
            </w:r>
          </w:p>
        </w:tc>
        <w:tc>
          <w:tcPr>
            <w:tcW w:type="dxa" w:w="2436"/>
          </w:tcPr>
          <w:p>
            <w:r>
              <w:t>以 npm run build 的产物体积为准；用构建分析工具确认后台代码不在首屏 chunk 中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r>
        <w:br w:type="page"/>
      </w:r>
    </w:p>
    <w:p>
      <w:pPr>
        <w:spacing w:before="0" w:after="0" w:line="200" w:lineRule="exact"/>
      </w:pPr>
      <w:r>
        <w:rPr>
          <w:rFonts w:ascii="微软雅黑" w:hAnsi="微软雅黑" w:eastAsia="微软雅黑"/>
          <w:sz w:val="2"/>
        </w:rPr>
      </w:r>
    </w:p>
    <w:p>
      <w:pPr>
        <w:pStyle w:val="Heading1"/>
        <w:pBdr>
          <w:bottom w:val="single" w:sz="8" w:space="8" w:color="D8DEE6"/>
        </w:pBdr>
        <w:keepNext/>
      </w:pPr>
      <w:r>
        <w:rPr>
          <w:rFonts w:ascii="微软雅黑" w:hAnsi="微软雅黑" w:eastAsia="微软雅黑"/>
        </w:rPr>
        <w:t>8. 成功指标</w:t>
      </w:r>
    </w:p>
    <w:p>
      <w:pPr>
        <w:keepLines/>
      </w:pPr>
      <w:r>
        <w:rPr>
          <w:rFonts w:ascii="微软雅黑" w:hAnsi="微软雅黑" w:eastAsia="微软雅黑"/>
        </w:rPr>
        <w:t>判断标准：每项有测量方式。指标分三层——做完没有（交付）、做得好不好（质量）、学到没有（学习）。</w:t>
      </w:r>
    </w:p>
    <w:p>
      <w:pPr>
        <w:pStyle w:val="Heading2"/>
        <w:keepNext/>
      </w:pPr>
      <w:r>
        <w:rPr>
          <w:rFonts w:ascii="微软雅黑" w:hAnsi="微软雅黑" w:eastAsia="微软雅黑"/>
        </w:rPr>
        <w:t>8.1 交付指标（完成的定义）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2436"/>
        <w:gridCol w:w="2436"/>
        <w:gridCol w:w="2436"/>
        <w:gridCol w:w="2436"/>
      </w:tblGrid>
      <w:tr>
        <w:trPr>
          <w:cantSplit/>
          <w:tblHeader w:val="true"/>
        </w:trPr>
        <w:tc>
          <w:tcPr>
            <w:tcW w:type="dxa" w:w="907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编号</w:t>
            </w:r>
          </w:p>
        </w:tc>
        <w:tc>
          <w:tcPr>
            <w:tcW w:type="dxa" w:w="2494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指标</w:t>
            </w:r>
          </w:p>
        </w:tc>
        <w:tc>
          <w:tcPr>
            <w:tcW w:type="dxa" w:w="2608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目标值</w:t>
            </w:r>
          </w:p>
        </w:tc>
        <w:tc>
          <w:tcPr>
            <w:tcW w:type="dxa" w:w="2778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测量方式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SM-01</w:t>
            </w:r>
          </w:p>
        </w:tc>
        <w:tc>
          <w:tcPr>
            <w:tcW w:type="dxa" w:w="249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全部 M 级功能需求可演示</w:t>
            </w:r>
          </w:p>
        </w:tc>
        <w:tc>
          <w:tcPr>
            <w:tcW w:type="dxa" w:w="260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100%（13 条 M 级全部通过）</w:t>
            </w:r>
          </w:p>
        </w:tc>
        <w:tc>
          <w:tcPr>
            <w:tcW w:type="dxa" w:w="277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按需求表逐条演示并留截图或录屏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SM-02</w:t>
            </w:r>
          </w:p>
        </w:tc>
        <w:tc>
          <w:tcPr>
            <w:tcW w:type="dxa" w:w="249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后端接口自动化测试覆盖核心路径</w:t>
            </w:r>
          </w:p>
        </w:tc>
        <w:tc>
          <w:tcPr>
            <w:tcW w:type="dxa" w:w="260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核心接口用例 ≥ 25 条</w:t>
            </w:r>
          </w:p>
        </w:tc>
        <w:tc>
          <w:tcPr>
            <w:tcW w:type="dxa" w:w="277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pytest 全部通过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SM-03</w:t>
            </w:r>
          </w:p>
        </w:tc>
        <w:tc>
          <w:tcPr>
            <w:tcW w:type="dxa" w:w="249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线上可用性</w:t>
            </w:r>
          </w:p>
        </w:tc>
        <w:tc>
          <w:tcPr>
            <w:tcW w:type="dxa" w:w="260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部署后连续 7 天无 5xx 服务中断（计划维护除外）</w:t>
            </w:r>
          </w:p>
        </w:tc>
        <w:tc>
          <w:tcPr>
            <w:tcW w:type="dxa" w:w="277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Nginx 日志核对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SM-04</w:t>
            </w:r>
          </w:p>
        </w:tc>
        <w:tc>
          <w:tcPr>
            <w:tcW w:type="dxa" w:w="249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部署可复现</w:t>
            </w:r>
          </w:p>
        </w:tc>
        <w:tc>
          <w:tcPr>
            <w:tcW w:type="dxa" w:w="260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在全新服务器上按部署手册从零到上线 ≤ 2 小时，无口头补充</w:t>
            </w:r>
          </w:p>
        </w:tc>
        <w:tc>
          <w:tcPr>
            <w:tcW w:type="dxa" w:w="277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实际新机器演练一次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SM-05</w:t>
            </w:r>
          </w:p>
        </w:tc>
        <w:tc>
          <w:tcPr>
            <w:tcW w:type="dxa" w:w="249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备份可恢复</w:t>
            </w:r>
          </w:p>
        </w:tc>
        <w:tc>
          <w:tcPr>
            <w:tcW w:type="dxa" w:w="260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成功从备份恢复过一次数据库</w:t>
            </w:r>
          </w:p>
        </w:tc>
        <w:tc>
          <w:tcPr>
            <w:tcW w:type="dxa" w:w="277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恢复演练记录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pPr>
        <w:pStyle w:val="Heading2"/>
        <w:keepNext/>
      </w:pPr>
      <w:r>
        <w:rPr>
          <w:rFonts w:ascii="微软雅黑" w:hAnsi="微软雅黑" w:eastAsia="微软雅黑"/>
        </w:rPr>
        <w:t>8.2 质量与体验指标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2436"/>
        <w:gridCol w:w="2436"/>
        <w:gridCol w:w="2436"/>
        <w:gridCol w:w="2436"/>
      </w:tblGrid>
      <w:tr>
        <w:trPr>
          <w:cantSplit/>
          <w:tblHeader w:val="true"/>
        </w:trPr>
        <w:tc>
          <w:tcPr>
            <w:tcW w:type="dxa" w:w="907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编号</w:t>
            </w:r>
          </w:p>
        </w:tc>
        <w:tc>
          <w:tcPr>
            <w:tcW w:type="dxa" w:w="2494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指标</w:t>
            </w:r>
          </w:p>
        </w:tc>
        <w:tc>
          <w:tcPr>
            <w:tcW w:type="dxa" w:w="2608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目标值</w:t>
            </w:r>
          </w:p>
        </w:tc>
        <w:tc>
          <w:tcPr>
            <w:tcW w:type="dxa" w:w="2778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测量方式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SM-06</w:t>
            </w:r>
          </w:p>
        </w:tc>
        <w:tc>
          <w:tcPr>
            <w:tcW w:type="dxa" w:w="249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首屏可读时间（3Mbps 模拟）</w:t>
            </w:r>
          </w:p>
        </w:tc>
        <w:tc>
          <w:tcPr>
            <w:tcW w:type="dxa" w:w="260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≤ 2.5 秒</w:t>
            </w:r>
          </w:p>
        </w:tc>
        <w:tc>
          <w:tcPr>
            <w:tcW w:type="dxa" w:w="277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浏览器网络限速实测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SM-07</w:t>
            </w:r>
          </w:p>
        </w:tc>
        <w:tc>
          <w:tcPr>
            <w:tcW w:type="dxa" w:w="249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Lighthouse 性能分（移动端）</w:t>
            </w:r>
          </w:p>
        </w:tc>
        <w:tc>
          <w:tcPr>
            <w:tcW w:type="dxa" w:w="260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≥ 80</w:t>
            </w:r>
          </w:p>
        </w:tc>
        <w:tc>
          <w:tcPr>
            <w:tcW w:type="dxa" w:w="277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Lighthouse 报告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SM-08</w:t>
            </w:r>
          </w:p>
        </w:tc>
        <w:tc>
          <w:tcPr>
            <w:tcW w:type="dxa" w:w="249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常见页面无控制台错误</w:t>
            </w:r>
          </w:p>
        </w:tc>
        <w:tc>
          <w:tcPr>
            <w:tcW w:type="dxa" w:w="260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0 个未捕获错误</w:t>
            </w:r>
          </w:p>
        </w:tc>
        <w:tc>
          <w:tcPr>
            <w:tcW w:type="dxa" w:w="277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浏览器控制台检查全部主页面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SM-09</w:t>
            </w:r>
          </w:p>
        </w:tc>
        <w:tc>
          <w:tcPr>
            <w:tcW w:type="dxa" w:w="249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移动端可用</w:t>
            </w:r>
          </w:p>
        </w:tc>
        <w:tc>
          <w:tcPr>
            <w:tcW w:type="dxa" w:w="260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正文无横向滚动、图片不溢出</w:t>
            </w:r>
          </w:p>
        </w:tc>
        <w:tc>
          <w:tcPr>
            <w:tcW w:type="dxa" w:w="277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真机或设备模拟检查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SM-10</w:t>
            </w:r>
          </w:p>
        </w:tc>
        <w:tc>
          <w:tcPr>
            <w:tcW w:type="dxa" w:w="249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服务端内存占用</w:t>
            </w:r>
          </w:p>
        </w:tc>
        <w:tc>
          <w:tcPr>
            <w:tcW w:type="dxa" w:w="260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常驻 ≤ 3.2GB</w:t>
            </w:r>
          </w:p>
        </w:tc>
        <w:tc>
          <w:tcPr>
            <w:tcW w:type="dxa" w:w="277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free -m / docker stats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SM-11</w:t>
            </w:r>
          </w:p>
        </w:tc>
        <w:tc>
          <w:tcPr>
            <w:tcW w:type="dxa" w:w="249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HTTPS 与安全基线</w:t>
            </w:r>
          </w:p>
        </w:tc>
        <w:tc>
          <w:tcPr>
            <w:tcW w:type="dxa" w:w="260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证书有效、HTTP 自动跳转 HTTPS、后台鉴权生效</w:t>
            </w:r>
          </w:p>
        </w:tc>
        <w:tc>
          <w:tcPr>
            <w:tcW w:type="dxa" w:w="277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在线 SSL 检测与未授权请求测试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pPr>
        <w:pStyle w:val="Heading2"/>
        <w:keepNext/>
      </w:pPr>
      <w:r>
        <w:rPr>
          <w:rFonts w:ascii="微软雅黑" w:hAnsi="微软雅黑" w:eastAsia="微软雅黑"/>
        </w:rPr>
        <w:t>8.3 学习指标（本项目的真正验收）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2436"/>
        <w:gridCol w:w="2436"/>
        <w:gridCol w:w="2436"/>
        <w:gridCol w:w="2436"/>
      </w:tblGrid>
      <w:tr>
        <w:trPr>
          <w:cantSplit/>
          <w:tblHeader w:val="true"/>
        </w:trPr>
        <w:tc>
          <w:tcPr>
            <w:tcW w:type="dxa" w:w="907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编号</w:t>
            </w:r>
          </w:p>
        </w:tc>
        <w:tc>
          <w:tcPr>
            <w:tcW w:type="dxa" w:w="2494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指标</w:t>
            </w:r>
          </w:p>
        </w:tc>
        <w:tc>
          <w:tcPr>
            <w:tcW w:type="dxa" w:w="2608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目标值</w:t>
            </w:r>
          </w:p>
        </w:tc>
        <w:tc>
          <w:tcPr>
            <w:tcW w:type="dxa" w:w="2778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测量方式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SM-12</w:t>
            </w:r>
          </w:p>
        </w:tc>
        <w:tc>
          <w:tcPr>
            <w:tcW w:type="dxa" w:w="249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能独立解释关键链路</w:t>
            </w:r>
          </w:p>
        </w:tc>
        <w:tc>
          <w:tcPr>
            <w:tcW w:type="dxa" w:w="260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不看代码讲解“浏览器请求 → Nginx → FastAPI → SQLite → 返回渲染”全过程</w:t>
            </w:r>
          </w:p>
        </w:tc>
        <w:tc>
          <w:tcPr>
            <w:tcW w:type="dxa" w:w="277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口头复述或写一篇讲清该链路的文章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SM-13</w:t>
            </w:r>
          </w:p>
        </w:tc>
        <w:tc>
          <w:tcPr>
            <w:tcW w:type="dxa" w:w="249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能独立排障</w:t>
            </w:r>
          </w:p>
        </w:tc>
        <w:tc>
          <w:tcPr>
            <w:tcW w:type="dxa" w:w="260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对接口 500、页面白屏、数据库连不上三类故障能独立定位原因</w:t>
            </w:r>
          </w:p>
        </w:tc>
        <w:tc>
          <w:tcPr>
            <w:tcW w:type="dxa" w:w="277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人为制造故障后限时排查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SM-14</w:t>
            </w:r>
          </w:p>
        </w:tc>
        <w:tc>
          <w:tcPr>
            <w:tcW w:type="dxa" w:w="249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能重建环境</w:t>
            </w:r>
          </w:p>
        </w:tc>
        <w:tc>
          <w:tcPr>
            <w:tcW w:type="dxa" w:w="260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独立完成一次从零部署，不照抄且能解释每条命令</w:t>
            </w:r>
          </w:p>
        </w:tc>
        <w:tc>
          <w:tcPr>
            <w:tcW w:type="dxa" w:w="277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新环境部署演练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SM-15</w:t>
            </w:r>
          </w:p>
        </w:tc>
        <w:tc>
          <w:tcPr>
            <w:tcW w:type="dxa" w:w="249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交付文档齐备</w:t>
            </w:r>
          </w:p>
        </w:tc>
        <w:tc>
          <w:tcPr>
            <w:tcW w:type="dxa" w:w="260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定义 / 设计 / 接口 / 部署 / 测试五类文档齐全且与实际系统一致</w:t>
            </w:r>
          </w:p>
        </w:tc>
        <w:tc>
          <w:tcPr>
            <w:tcW w:type="dxa" w:w="277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文档评审 + 抽查一致性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SM-16</w:t>
            </w:r>
          </w:p>
        </w:tc>
        <w:tc>
          <w:tcPr>
            <w:tcW w:type="dxa" w:w="249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学习记录产出</w:t>
            </w:r>
          </w:p>
        </w:tc>
        <w:tc>
          <w:tcPr>
            <w:tcW w:type="dxa" w:w="260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沉淀 ≥ 10 篇与项目相关的学习笔记</w:t>
            </w:r>
          </w:p>
        </w:tc>
        <w:tc>
          <w:tcPr>
            <w:tcW w:type="dxa" w:w="277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博客自身文章列表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r>
        <w:br w:type="page"/>
      </w:r>
    </w:p>
    <w:p>
      <w:pPr>
        <w:spacing w:before="0" w:after="0" w:line="200" w:lineRule="exact"/>
      </w:pPr>
      <w:r>
        <w:rPr>
          <w:rFonts w:ascii="微软雅黑" w:hAnsi="微软雅黑" w:eastAsia="微软雅黑"/>
          <w:sz w:val="2"/>
        </w:rPr>
      </w:r>
    </w:p>
    <w:p>
      <w:pPr>
        <w:pStyle w:val="Heading1"/>
        <w:pBdr>
          <w:bottom w:val="single" w:sz="8" w:space="8" w:color="D8DEE6"/>
        </w:pBdr>
        <w:keepNext/>
      </w:pPr>
      <w:r>
        <w:rPr>
          <w:rFonts w:ascii="微软雅黑" w:hAnsi="微软雅黑" w:eastAsia="微软雅黑"/>
        </w:rPr>
        <w:t>9. 约束条件</w:t>
      </w:r>
    </w:p>
    <w:p>
      <w:pPr>
        <w:keepLines/>
      </w:pPr>
      <w:r>
        <w:rPr>
          <w:rFonts w:ascii="微软雅黑" w:hAnsi="微软雅黑" w:eastAsia="微软雅黑"/>
        </w:rPr>
        <w:t>判断标准：约束写成数值，不是形容词。本章包含硬件、网络、合规、时间与运维五类约束，以及必选技术栈。</w:t>
      </w:r>
    </w:p>
    <w:p>
      <w:pPr>
        <w:pStyle w:val="Heading2"/>
        <w:keepNext/>
      </w:pPr>
      <w:r>
        <w:rPr>
          <w:rFonts w:ascii="微软雅黑" w:hAnsi="微软雅黑" w:eastAsia="微软雅黑"/>
        </w:rPr>
        <w:t>9.1 硬件与网络约束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3249"/>
        <w:gridCol w:w="3249"/>
        <w:gridCol w:w="3249"/>
      </w:tblGrid>
      <w:tr>
        <w:trPr>
          <w:cantSplit/>
          <w:tblHeader w:val="true"/>
        </w:trPr>
        <w:tc>
          <w:tcPr>
            <w:tcW w:type="dxa" w:w="1928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约束项</w:t>
            </w:r>
          </w:p>
        </w:tc>
        <w:tc>
          <w:tcPr>
            <w:tcW w:type="dxa" w:w="3061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数值 / 事实</w:t>
            </w:r>
          </w:p>
        </w:tc>
        <w:tc>
          <w:tcPr>
            <w:tcW w:type="dxa" w:w="3798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对设计的影响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服务器 CPU</w:t>
            </w:r>
          </w:p>
        </w:tc>
        <w:tc>
          <w:tcPr>
            <w:tcW w:type="dxa" w:w="306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4 核</w:t>
            </w:r>
          </w:p>
        </w:tc>
        <w:tc>
          <w:tcPr>
            <w:tcW w:type="dxa" w:w="379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Uvicorn worker 数量按核数配置，通常 2 个即可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服务器内存</w:t>
            </w:r>
          </w:p>
        </w:tc>
        <w:tc>
          <w:tcPr>
            <w:tcW w:type="dxa" w:w="306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4 GB</w:t>
            </w:r>
          </w:p>
        </w:tc>
        <w:tc>
          <w:tcPr>
            <w:tcW w:type="dxa" w:w="379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容量预算见 9.2；SQLite 方案下余量约 1.9GB，部署风险显著低于原 MySQL 方案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服务器带宽</w:t>
            </w:r>
          </w:p>
        </w:tc>
        <w:tc>
          <w:tcPr>
            <w:tcW w:type="dxa" w:w="306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3 Mbps ≈ 375 KB/s</w:t>
            </w:r>
          </w:p>
        </w:tc>
        <w:tc>
          <w:tcPr>
            <w:tcW w:type="dxa" w:w="379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图片是性能瓶颈主因，单张图片上限约 200KB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磁盘</w:t>
            </w:r>
          </w:p>
        </w:tc>
        <w:tc>
          <w:tcPr>
            <w:tcW w:type="dxa" w:w="306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按实际购买，需 ≥ 40 GB</w:t>
            </w:r>
          </w:p>
        </w:tc>
        <w:tc>
          <w:tcPr>
            <w:tcW w:type="dxa" w:w="379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需容纳数据库文件 + 图片 + 备份，备份不可只留本地一份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部署形态</w:t>
            </w:r>
          </w:p>
        </w:tc>
        <w:tc>
          <w:tcPr>
            <w:tcW w:type="dxa" w:w="306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单机，不使用分布式</w:t>
            </w:r>
          </w:p>
        </w:tc>
        <w:tc>
          <w:tcPr>
            <w:tcW w:type="dxa" w:w="379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全部组件（Nginx、后端、SQLite）同机容器化部署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服务器地理位置</w:t>
            </w:r>
          </w:p>
        </w:tc>
        <w:tc>
          <w:tcPr>
            <w:tcW w:type="dxa" w:w="306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待确认（影响备案，见 A8）</w:t>
            </w:r>
          </w:p>
        </w:tc>
        <w:tc>
          <w:tcPr>
            <w:tcW w:type="dxa" w:w="379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境内需备案；境外可免备案但访问延迟略高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pPr>
        <w:pStyle w:val="Heading2"/>
        <w:keepNext/>
      </w:pPr>
      <w:r>
        <w:rPr>
          <w:rFonts w:ascii="微软雅黑" w:hAnsi="微软雅黑" w:eastAsia="微软雅黑"/>
        </w:rPr>
        <w:t>9.2 内存分配预算（4GB 怎么分）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3249"/>
        <w:gridCol w:w="3249"/>
        <w:gridCol w:w="3249"/>
      </w:tblGrid>
      <w:tr>
        <w:trPr>
          <w:cantSplit/>
          <w:tblHeader w:val="true"/>
        </w:trPr>
        <w:tc>
          <w:tcPr>
            <w:tcW w:type="dxa" w:w="2835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组件</w:t>
            </w:r>
          </w:p>
        </w:tc>
        <w:tc>
          <w:tcPr>
            <w:tcW w:type="dxa" w:w="1928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建议内存</w:t>
            </w:r>
          </w:p>
        </w:tc>
        <w:tc>
          <w:tcPr>
            <w:tcW w:type="dxa" w:w="4025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备注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SQLite</w:t>
            </w:r>
          </w:p>
        </w:tc>
        <w:tc>
          <w:tcPr>
            <w:tcW w:type="dxa" w:w="192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50–100 MB</w:t>
            </w:r>
          </w:p>
        </w:tc>
        <w:tc>
          <w:tcPr>
            <w:tcW w:type="dxa" w:w="4025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单文件数据库，与应用同进程，几乎不占额外内存；开启 WAL 模式以支持读写并发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FastAPI（Uvicorn 1–2 worker）</w:t>
            </w:r>
          </w:p>
        </w:tc>
        <w:tc>
          <w:tcPr>
            <w:tcW w:type="dxa" w:w="192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300–500 MB</w:t>
            </w:r>
          </w:p>
        </w:tc>
        <w:tc>
          <w:tcPr>
            <w:tcW w:type="dxa" w:w="4025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worker 数量按 CPU 核数而非机械翻倍，避免内存翻倍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Nginx</w:t>
            </w:r>
          </w:p>
        </w:tc>
        <w:tc>
          <w:tcPr>
            <w:tcW w:type="dxa" w:w="192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≤ 80 MB</w:t>
            </w:r>
          </w:p>
        </w:tc>
        <w:tc>
          <w:tcPr>
            <w:tcW w:type="dxa" w:w="4025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前端静态产物</w:t>
            </w:r>
          </w:p>
        </w:tc>
        <w:tc>
          <w:tcPr>
            <w:tcW w:type="dxa" w:w="192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几乎不占内存</w:t>
            </w:r>
          </w:p>
        </w:tc>
        <w:tc>
          <w:tcPr>
            <w:tcW w:type="dxa" w:w="4025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构建在本地完成，服务器只托管产物，不在服务器上执行前端构建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操作系统与 Docker 自身</w:t>
            </w:r>
          </w:p>
        </w:tc>
        <w:tc>
          <w:tcPr>
            <w:tcW w:type="dxa" w:w="192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600–800 MB</w:t>
            </w:r>
          </w:p>
        </w:tc>
        <w:tc>
          <w:tcPr>
            <w:tcW w:type="dxa" w:w="4025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含 Docker daemon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预留余量</w:t>
            </w:r>
          </w:p>
        </w:tc>
        <w:tc>
          <w:tcPr>
            <w:tcW w:type="dxa" w:w="192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≈ 900 MB</w:t>
            </w:r>
          </w:p>
        </w:tc>
        <w:tc>
          <w:tcPr>
            <w:tcW w:type="dxa" w:w="4025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留给峰值、系统缓存与紧急排查空间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pPr>
        <w:keepLines/>
      </w:pPr>
      <w:r>
        <w:rPr>
          <w:rFonts w:ascii="微软雅黑" w:hAnsi="微软雅黑" w:eastAsia="微软雅黑"/>
        </w:rPr>
        <w:t>合计约 2.1GB，预留约 1.9GB。相比使用 MySQL（约 3.1GB），改选 SQLite 释放了 1GB 级内存，这是单机部署下最实际的收益。</w:t>
      </w:r>
    </w:p>
    <w:p>
      <w:pPr>
        <w:pStyle w:val="Heading2"/>
        <w:keepNext/>
      </w:pPr>
      <w:r>
        <w:rPr>
          <w:rFonts w:ascii="微软雅黑" w:hAnsi="微软雅黑" w:eastAsia="微软雅黑"/>
        </w:rPr>
        <w:t>9.3 带宽与图片约束</w:t>
      </w:r>
    </w:p>
    <w:p>
      <w:pPr>
        <w:keepLines/>
      </w:pPr>
      <w:r>
        <w:rPr>
          <w:rFonts w:ascii="微软雅黑" w:hAnsi="微软雅黑" w:eastAsia="微软雅黑"/>
        </w:rPr>
        <w:t>3Mbps ≈ 375 KB/s：一张 500KB 的图片约需 1.4 秒，一篇文章含 3 张未优化图片仅图片就需约 4 秒，首屏直接失败。因此以下三条是硬约束而非优化建议：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</w:rPr>
        <w:t>图片必须压缩并转 WebP，单张上限约 200KB；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</w:rPr>
        <w:t>图片由 Nginx 直接托管或使用对象存储 + CDN，不经应用服务器动态转发；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</w:rPr>
        <w:t>首屏做懒加载与骨架图，避免一次性加载全部图片。</w:t>
      </w:r>
    </w:p>
    <w:p>
      <w:pPr>
        <w:pStyle w:val="Heading2"/>
        <w:keepNext/>
      </w:pPr>
      <w:r>
        <w:rPr>
          <w:rFonts w:ascii="微软雅黑" w:hAnsi="微软雅黑" w:eastAsia="微软雅黑"/>
        </w:rPr>
        <w:t>9.4 合规与运维约束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3249"/>
        <w:gridCol w:w="3249"/>
        <w:gridCol w:w="3249"/>
      </w:tblGrid>
      <w:tr>
        <w:trPr>
          <w:cantSplit/>
          <w:tblHeader w:val="true"/>
        </w:trPr>
        <w:tc>
          <w:tcPr>
            <w:tcW w:type="dxa" w:w="1474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约束项</w:t>
            </w:r>
          </w:p>
        </w:tc>
        <w:tc>
          <w:tcPr>
            <w:tcW w:type="dxa" w:w="3742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内容</w:t>
            </w:r>
          </w:p>
        </w:tc>
        <w:tc>
          <w:tcPr>
            <w:tcW w:type="dxa" w:w="3572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后果 / 应对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ICP 备案</w:t>
            </w:r>
          </w:p>
        </w:tc>
        <w:tc>
          <w:tcPr>
            <w:tcW w:type="dxa" w:w="374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境内服务器必须备案，需 7–20 个工作日，多数云厂商要求服务器购买满一定时长</w:t>
            </w:r>
          </w:p>
        </w:tc>
        <w:tc>
          <w:tcPr>
            <w:tcW w:type="dxa" w:w="357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未备案无法通过 80/443 对外提供网站服务；应在买服务器前确认地域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HTTPS</w:t>
            </w:r>
          </w:p>
        </w:tc>
        <w:tc>
          <w:tcPr>
            <w:tcW w:type="dxa" w:w="3742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全站必须启用，证书用 Let's Encrypt 免费自动续期</w:t>
            </w:r>
          </w:p>
        </w:tc>
        <w:tc>
          <w:tcPr>
            <w:tcW w:type="dxa" w:w="3572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无 HTTPS 会有浏览器安全提示并影响可信度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备份</w:t>
            </w:r>
          </w:p>
        </w:tc>
        <w:tc>
          <w:tcPr>
            <w:tcW w:type="dxa" w:w="374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每日自动备份，最少保留 7 份，且已完成恢复演练</w:t>
            </w:r>
          </w:p>
        </w:tc>
        <w:tc>
          <w:tcPr>
            <w:tcW w:type="dxa" w:w="357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无备份的一次误操作即可毁掉全部内容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运维时间</w:t>
            </w:r>
          </w:p>
        </w:tc>
        <w:tc>
          <w:tcPr>
            <w:tcW w:type="dxa" w:w="3742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每周约 8–10 小时可投入</w:t>
            </w:r>
          </w:p>
        </w:tc>
        <w:tc>
          <w:tcPr>
            <w:tcW w:type="dxa" w:w="3572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决定里程碑工期（见第 14 章）；若低于此值需砍范围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成本</w:t>
            </w:r>
          </w:p>
        </w:tc>
        <w:tc>
          <w:tcPr>
            <w:tcW w:type="dxa" w:w="374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年度刚性支出约 400–1300 元</w:t>
            </w:r>
          </w:p>
        </w:tc>
        <w:tc>
          <w:tcPr>
            <w:tcW w:type="dxa" w:w="357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详见第 13 章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pPr>
        <w:pStyle w:val="Heading2"/>
        <w:keepNext/>
      </w:pPr>
      <w:r>
        <w:rPr>
          <w:rFonts w:ascii="微软雅黑" w:hAnsi="微软雅黑" w:eastAsia="微软雅黑"/>
        </w:rPr>
        <w:t>9.5 必选技术栈（约束项）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3249"/>
        <w:gridCol w:w="3249"/>
        <w:gridCol w:w="3249"/>
      </w:tblGrid>
      <w:tr>
        <w:trPr>
          <w:cantSplit/>
          <w:tblHeader w:val="true"/>
        </w:trPr>
        <w:tc>
          <w:tcPr>
            <w:tcW w:type="dxa" w:w="1361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层次</w:t>
            </w:r>
          </w:p>
        </w:tc>
        <w:tc>
          <w:tcPr>
            <w:tcW w:type="dxa" w:w="3061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选型</w:t>
            </w:r>
          </w:p>
        </w:tc>
        <w:tc>
          <w:tcPr>
            <w:tcW w:type="dxa" w:w="4365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前端框架</w:t>
            </w:r>
          </w:p>
        </w:tc>
        <w:tc>
          <w:tcPr>
            <w:tcW w:type="dxa" w:w="306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Vue 3（Composition API）+ Vite</w:t>
            </w:r>
          </w:p>
        </w:tc>
        <w:tc>
          <w:tcPr>
            <w:tcW w:type="dxa" w:w="4365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学习目标要求；构建产物由 Nginx 托管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前端请求</w:t>
            </w:r>
          </w:p>
        </w:tc>
        <w:tc>
          <w:tcPr>
            <w:tcW w:type="dxa" w:w="306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Axios（统一封装：拦截器、错误码、超时）</w:t>
            </w:r>
          </w:p>
        </w:tc>
        <w:tc>
          <w:tcPr>
            <w:tcW w:type="dxa" w:w="4365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学习目标要求；必须收敛到唯一请求出口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后端框架</w:t>
            </w:r>
          </w:p>
        </w:tc>
        <w:tc>
          <w:tcPr>
            <w:tcW w:type="dxa" w:w="306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FastAPI + Uvicorn + Pydantic</w:t>
            </w:r>
          </w:p>
        </w:tc>
        <w:tc>
          <w:tcPr>
            <w:tcW w:type="dxa" w:w="4365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学习目标要求；自带接口文档，便于学习与联调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ORM / 迁移</w:t>
            </w:r>
          </w:p>
        </w:tc>
        <w:tc>
          <w:tcPr>
            <w:tcW w:type="dxa" w:w="306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SQLAlchemy 2.x + Alembic</w:t>
            </w:r>
          </w:p>
        </w:tc>
        <w:tc>
          <w:tcPr>
            <w:tcW w:type="dxa" w:w="4365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补充项：数据库结构变更必须走迁移，禁止手工改表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数据库</w:t>
            </w:r>
          </w:p>
        </w:tc>
        <w:tc>
          <w:tcPr>
            <w:tcW w:type="dxa" w:w="306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SQLite（配 SQLAlchemy + Alembic）</w:t>
            </w:r>
          </w:p>
        </w:tc>
        <w:tc>
          <w:tcPr>
            <w:tcW w:type="dxa" w:w="4365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4C4G / 峰值并发 ≤ 5 的真实量级下，SQLite 零运维、零额外内存；见 10.3 的 A2 决策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反向代理</w:t>
            </w:r>
          </w:p>
        </w:tc>
        <w:tc>
          <w:tcPr>
            <w:tcW w:type="dxa" w:w="306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Nginx（HTTPS + 静态托管 + 转发 /api）</w:t>
            </w:r>
          </w:p>
        </w:tc>
        <w:tc>
          <w:tcPr>
            <w:tcW w:type="dxa" w:w="4365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单机部署标准组合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容器化</w:t>
            </w:r>
          </w:p>
        </w:tc>
        <w:tc>
          <w:tcPr>
            <w:tcW w:type="dxa" w:w="306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Docker + Docker Compose</w:t>
            </w:r>
          </w:p>
        </w:tc>
        <w:tc>
          <w:tcPr>
            <w:tcW w:type="dxa" w:w="4365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降低环境差异，便于迁移重建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操作系统</w:t>
            </w:r>
          </w:p>
        </w:tc>
        <w:tc>
          <w:tcPr>
            <w:tcW w:type="dxa" w:w="306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Linux（Ubuntu 22.04 或 Alma / Rocky 9）</w:t>
            </w:r>
          </w:p>
        </w:tc>
        <w:tc>
          <w:tcPr>
            <w:tcW w:type="dxa" w:w="4365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待确认 A6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静态资源</w:t>
            </w:r>
          </w:p>
        </w:tc>
        <w:tc>
          <w:tcPr>
            <w:tcW w:type="dxa" w:w="306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图片存储策略待定（本地磁盘 / 对象存储）</w:t>
            </w:r>
          </w:p>
        </w:tc>
        <w:tc>
          <w:tcPr>
            <w:tcW w:type="dxa" w:w="4365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待确认 A4，直接影响带宽与成本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r>
        <w:br w:type="page"/>
      </w:r>
    </w:p>
    <w:p>
      <w:pPr>
        <w:spacing w:before="0" w:after="0" w:line="200" w:lineRule="exact"/>
      </w:pPr>
      <w:r>
        <w:rPr>
          <w:rFonts w:ascii="微软雅黑" w:hAnsi="微软雅黑" w:eastAsia="微软雅黑"/>
          <w:sz w:val="2"/>
        </w:rPr>
      </w:r>
    </w:p>
    <w:p>
      <w:pPr>
        <w:pStyle w:val="Heading1"/>
        <w:pBdr>
          <w:bottom w:val="single" w:sz="8" w:space="8" w:color="D8DEE6"/>
        </w:pBdr>
        <w:keepNext/>
      </w:pPr>
      <w:r>
        <w:rPr>
          <w:rFonts w:ascii="微软雅黑" w:hAnsi="微软雅黑" w:eastAsia="微软雅黑"/>
        </w:rPr>
        <w:t>10. 假设 / 风险 / 已决策项</w:t>
      </w:r>
    </w:p>
    <w:p>
      <w:pPr>
        <w:keepLines/>
      </w:pPr>
      <w:r>
        <w:rPr>
          <w:rFonts w:ascii="微软雅黑" w:hAnsi="微软雅黑" w:eastAsia="微软雅黑"/>
        </w:rPr>
        <w:t>判断标准：待确认项附建议选项。本章三项内容缺一不可：假设不成立要改设计，风险要提前有应对。10.3 的八项决策已于 2026-10-08 全部关闭，无遗留待确认项。</w:t>
      </w:r>
    </w:p>
    <w:p>
      <w:pPr>
        <w:pStyle w:val="Heading2"/>
        <w:keepNext/>
      </w:pPr>
      <w:r>
        <w:rPr>
          <w:rFonts w:ascii="微软雅黑" w:hAnsi="微软雅黑" w:eastAsia="微软雅黑"/>
        </w:rPr>
        <w:t>10.1 关键假设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3249"/>
        <w:gridCol w:w="3249"/>
        <w:gridCol w:w="3249"/>
      </w:tblGrid>
      <w:tr>
        <w:trPr>
          <w:cantSplit/>
          <w:tblHeader w:val="true"/>
        </w:trPr>
        <w:tc>
          <w:tcPr>
            <w:tcW w:type="dxa" w:w="907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编号</w:t>
            </w:r>
          </w:p>
        </w:tc>
        <w:tc>
          <w:tcPr>
            <w:tcW w:type="dxa" w:w="3969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假设</w:t>
            </w:r>
          </w:p>
        </w:tc>
        <w:tc>
          <w:tcPr>
            <w:tcW w:type="dxa" w:w="3912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若不成立的后果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AS-1</w:t>
            </w:r>
          </w:p>
        </w:tc>
        <w:tc>
          <w:tcPr>
            <w:tcW w:type="dxa" w:w="3969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服务器为 4 核 / 4G 内存 / 3Mbps 带宽（“3M”指带宽，不是 3G 内存）</w:t>
            </w:r>
          </w:p>
        </w:tc>
        <w:tc>
          <w:tcPr>
            <w:tcW w:type="dxa" w:w="391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内存若低于 3G，容量预算需重算并调整 Swap 策略；带宽若低于 3Mbps，图片上限须进一步下调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AS-2</w:t>
            </w:r>
          </w:p>
        </w:tc>
        <w:tc>
          <w:tcPr>
            <w:tcW w:type="dxa" w:w="3969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只需单个管理员账号，无需对外开放注册</w:t>
            </w:r>
          </w:p>
        </w:tc>
        <w:tc>
          <w:tcPr>
            <w:tcW w:type="dxa" w:w="3912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若有注册需求，安全与合规工作量将显著增加（与 NG-1 冲突）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AS-3</w:t>
            </w:r>
          </w:p>
        </w:tc>
        <w:tc>
          <w:tcPr>
            <w:tcW w:type="dxa" w:w="3969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内容以中文技术文章为主，含代码块与图片</w:t>
            </w:r>
          </w:p>
        </w:tc>
        <w:tc>
          <w:tcPr>
            <w:tcW w:type="dxa" w:w="391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影响编辑器选型与渲染方案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AS-4</w:t>
            </w:r>
          </w:p>
        </w:tc>
        <w:tc>
          <w:tcPr>
            <w:tcW w:type="dxa" w:w="3969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服务器在境外，或已完成 ICP 备案</w:t>
            </w:r>
          </w:p>
        </w:tc>
        <w:tc>
          <w:tcPr>
            <w:tcW w:type="dxa" w:w="3912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未备案的境内服务器无法通过 80/443 对外提供网站服务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AS-5</w:t>
            </w:r>
          </w:p>
        </w:tc>
        <w:tc>
          <w:tcPr>
            <w:tcW w:type="dxa" w:w="3969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本人具备基础 Linux 命令行操作能力</w:t>
            </w:r>
          </w:p>
        </w:tc>
        <w:tc>
          <w:tcPr>
            <w:tcW w:type="dxa" w:w="391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否则部署阶段需补充基础教学，工期会延长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AS-6</w:t>
            </w:r>
          </w:p>
        </w:tc>
        <w:tc>
          <w:tcPr>
            <w:tcW w:type="dxa" w:w="3969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每周可稳定投入 8–10 小时</w:t>
            </w:r>
          </w:p>
        </w:tc>
        <w:tc>
          <w:tcPr>
            <w:tcW w:type="dxa" w:w="3912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低于该投入时，v1 范围必须下调（把部分 M 降为 S）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pPr>
        <w:pStyle w:val="Heading2"/>
        <w:keepNext/>
      </w:pPr>
      <w:r>
        <w:rPr>
          <w:rFonts w:ascii="微软雅黑" w:hAnsi="微软雅黑" w:eastAsia="微软雅黑"/>
        </w:rPr>
        <w:t>10.2 主要风险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2436"/>
        <w:gridCol w:w="2436"/>
        <w:gridCol w:w="2436"/>
        <w:gridCol w:w="2436"/>
      </w:tblGrid>
      <w:tr>
        <w:trPr>
          <w:cantSplit/>
          <w:tblHeader w:val="true"/>
        </w:trPr>
        <w:tc>
          <w:tcPr>
            <w:tcW w:type="dxa" w:w="794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编号</w:t>
            </w:r>
          </w:p>
        </w:tc>
        <w:tc>
          <w:tcPr>
            <w:tcW w:type="dxa" w:w="2041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风险</w:t>
            </w:r>
          </w:p>
        </w:tc>
        <w:tc>
          <w:tcPr>
            <w:tcW w:type="dxa" w:w="2381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影响</w:t>
            </w:r>
          </w:p>
        </w:tc>
        <w:tc>
          <w:tcPr>
            <w:tcW w:type="dxa" w:w="3572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应对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R-1</w:t>
            </w:r>
          </w:p>
        </w:tc>
        <w:tc>
          <w:tcPr>
            <w:tcW w:type="dxa" w:w="204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SQLite 并发写入受限（写操作会锁库）</w:t>
            </w:r>
          </w:p>
        </w:tc>
        <w:tc>
          <w:tcPr>
            <w:tcW w:type="dxa" w:w="238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同一时刻的并发写入请求可能失败或排队</w:t>
            </w:r>
          </w:p>
        </w:tc>
        <w:tc>
          <w:tcPr>
            <w:tcW w:type="dxa" w:w="357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开启 WAL 模式；写操作保持短事务；管理操作天然串行，实际风险低</w:t>
            </w:r>
          </w:p>
        </w:tc>
      </w:tr>
      <w:tr>
        <w:trPr>
          <w:cantSplit/>
        </w:trPr>
        <w:tc>
          <w:tcPr>
            <w:tcW w:type="dxa" w:w="79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R-2</w:t>
            </w:r>
          </w:p>
        </w:tc>
        <w:tc>
          <w:tcPr>
            <w:tcW w:type="dxa" w:w="204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3Mbps 带宽导致页面打开缓慢</w:t>
            </w:r>
          </w:p>
        </w:tc>
        <w:tc>
          <w:tcPr>
            <w:tcW w:type="dxa" w:w="238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访客流失，SM-06 不达标</w:t>
            </w:r>
          </w:p>
        </w:tc>
        <w:tc>
          <w:tcPr>
            <w:tcW w:type="dxa" w:w="3572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图片压缩并转 WebP；静态资源由 Nginx 托管并开启 gzip / Brotli；必要时上 CDN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R-3</w:t>
            </w:r>
          </w:p>
        </w:tc>
        <w:tc>
          <w:tcPr>
            <w:tcW w:type="dxa" w:w="204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缺少迁移管理，改表导致数据丢失</w:t>
            </w:r>
          </w:p>
        </w:tc>
        <w:tc>
          <w:tcPr>
            <w:tcW w:type="dxa" w:w="238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内容损坏且难以回滚</w:t>
            </w:r>
          </w:p>
        </w:tc>
        <w:tc>
          <w:tcPr>
            <w:tcW w:type="dxa" w:w="357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引入 Alembic 管理 SQLite 结构变更，禁止手工改表文件</w:t>
            </w:r>
          </w:p>
        </w:tc>
      </w:tr>
      <w:tr>
        <w:trPr>
          <w:cantSplit/>
        </w:trPr>
        <w:tc>
          <w:tcPr>
            <w:tcW w:type="dxa" w:w="79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R-4</w:t>
            </w:r>
          </w:p>
        </w:tc>
        <w:tc>
          <w:tcPr>
            <w:tcW w:type="dxa" w:w="204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未备案导致域名无法访问</w:t>
            </w:r>
          </w:p>
        </w:tc>
        <w:tc>
          <w:tcPr>
            <w:tcW w:type="dxa" w:w="238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上线时间被不可控地推迟</w:t>
            </w:r>
          </w:p>
        </w:tc>
        <w:tc>
          <w:tcPr>
            <w:tcW w:type="dxa" w:w="3572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买服务器前确认地域与备案要求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R-5</w:t>
            </w:r>
          </w:p>
        </w:tc>
        <w:tc>
          <w:tcPr>
            <w:tcW w:type="dxa" w:w="204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范围蔓延（不断加功能）</w:t>
            </w:r>
          </w:p>
        </w:tc>
        <w:tc>
          <w:tcPr>
            <w:tcW w:type="dxa" w:w="238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永远无法完工，学习目标也达不成</w:t>
            </w:r>
          </w:p>
        </w:tc>
        <w:tc>
          <w:tcPr>
            <w:tcW w:type="dxa" w:w="357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严格执行非目标清单，新想法进愿望池</w:t>
            </w:r>
          </w:p>
        </w:tc>
      </w:tr>
      <w:tr>
        <w:trPr>
          <w:cantSplit/>
        </w:trPr>
        <w:tc>
          <w:tcPr>
            <w:tcW w:type="dxa" w:w="79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R-6</w:t>
            </w:r>
          </w:p>
        </w:tc>
        <w:tc>
          <w:tcPr>
            <w:tcW w:type="dxa" w:w="204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过度依赖 AI 生成代码而不理解</w:t>
            </w:r>
          </w:p>
        </w:tc>
        <w:tc>
          <w:tcPr>
            <w:tcW w:type="dxa" w:w="238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学习指标 SM-12~14 不达标，项目变成黑盒</w:t>
            </w:r>
          </w:p>
        </w:tc>
        <w:tc>
          <w:tcPr>
            <w:tcW w:type="dxa" w:w="3572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每个模块要求能独立复述与排障；关键代码要求逐行解释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R-7</w:t>
            </w:r>
          </w:p>
        </w:tc>
        <w:tc>
          <w:tcPr>
            <w:tcW w:type="dxa" w:w="204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无备份或无恢复演练</w:t>
            </w:r>
          </w:p>
        </w:tc>
        <w:tc>
          <w:tcPr>
            <w:tcW w:type="dxa" w:w="238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一次误操作毁掉全部内容</w:t>
            </w:r>
          </w:p>
        </w:tc>
        <w:tc>
          <w:tcPr>
            <w:tcW w:type="dxa" w:w="357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SQLite 单文件数据库每日自动备份（或直接冷拷贝），并完成至少一次恢复演练</w:t>
            </w:r>
          </w:p>
        </w:tc>
      </w:tr>
      <w:tr>
        <w:trPr>
          <w:cantSplit/>
        </w:trPr>
        <w:tc>
          <w:tcPr>
            <w:tcW w:type="dxa" w:w="79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R-8</w:t>
            </w:r>
          </w:p>
        </w:tc>
        <w:tc>
          <w:tcPr>
            <w:tcW w:type="dxa" w:w="204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投入时间不稳定导致中途停滞</w:t>
            </w:r>
          </w:p>
        </w:tc>
        <w:tc>
          <w:tcPr>
            <w:tcW w:type="dxa" w:w="238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项目烂尾，前期文档与设计作废</w:t>
            </w:r>
          </w:p>
        </w:tc>
        <w:tc>
          <w:tcPr>
            <w:tcW w:type="dxa" w:w="3572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按里程碑交付，每个里程碑都可独立演示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pPr>
        <w:pStyle w:val="Heading2"/>
        <w:keepNext/>
      </w:pPr>
      <w:r>
        <w:rPr>
          <w:rFonts w:ascii="微软雅黑" w:hAnsi="微软雅黑" w:eastAsia="微软雅黑"/>
        </w:rPr>
        <w:t>10.3 已决策项（A1–A8，2026-10-08 关闭）</w:t>
      </w:r>
    </w:p>
    <w:p>
      <w:pPr>
        <w:keepLines/>
      </w:pPr>
      <w:r>
        <w:rPr>
          <w:rFonts w:ascii="微软雅黑" w:hAnsi="微软雅黑" w:eastAsia="微软雅黑"/>
        </w:rPr>
        <w:t>以下八项已全部决策，无遗留待确认项，设计阶段可据此启动。决策记录保留原始建议，以便日后回看时能判断当时的取舍依据。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2436"/>
        <w:gridCol w:w="2436"/>
        <w:gridCol w:w="2436"/>
        <w:gridCol w:w="2436"/>
      </w:tblGrid>
      <w:tr>
        <w:trPr>
          <w:cantSplit/>
          <w:tblHeader w:val="true"/>
        </w:trPr>
        <w:tc>
          <w:tcPr>
            <w:tcW w:type="dxa" w:w="737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编号</w:t>
            </w:r>
          </w:p>
        </w:tc>
        <w:tc>
          <w:tcPr>
            <w:tcW w:type="dxa" w:w="2608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决策问题</w:t>
            </w:r>
          </w:p>
        </w:tc>
        <w:tc>
          <w:tcPr>
            <w:tcW w:type="dxa" w:w="3005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结论</w:t>
            </w:r>
          </w:p>
        </w:tc>
        <w:tc>
          <w:tcPr>
            <w:tcW w:type="dxa" w:w="2438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依据 / 备注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A1</w:t>
            </w:r>
          </w:p>
        </w:tc>
        <w:tc>
          <w:tcPr>
            <w:tcW w:type="dxa" w:w="260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服务器真实内存与带宽是多少？</w:t>
            </w:r>
          </w:p>
        </w:tc>
        <w:tc>
          <w:tcPr>
            <w:tcW w:type="dxa" w:w="3005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4 核 / 4G 内存 / 3Mbps 带宽</w:t>
            </w:r>
          </w:p>
        </w:tc>
        <w:tc>
          <w:tcPr>
            <w:tcW w:type="dxa" w:w="243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“4H4G3M”中的 3M 指带宽；容量预算（见 9.2）据此成立</w:t>
            </w:r>
          </w:p>
        </w:tc>
      </w:tr>
      <w:tr>
        <w:trPr>
          <w:cantSplit/>
        </w:trPr>
        <w:tc>
          <w:tcPr>
            <w:tcW w:type="dxa" w:w="73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A2</w:t>
            </w:r>
          </w:p>
        </w:tc>
        <w:tc>
          <w:tcPr>
            <w:tcW w:type="dxa" w:w="260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数据库选 MySQL 还是 SQLite？</w:t>
            </w:r>
          </w:p>
        </w:tc>
        <w:tc>
          <w:tcPr>
            <w:tcW w:type="dxa" w:w="3005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SQLite</w:t>
            </w:r>
            <w:r>
              <w:rPr>
                <w:rFonts w:ascii="微软雅黑" w:hAnsi="微软雅黑" w:eastAsia="微软雅黑"/>
                <w:sz w:val="18"/>
              </w:rPr>
              <w:t>（改选，原建议为 MySQL）</w:t>
            </w:r>
          </w:p>
        </w:tc>
        <w:tc>
          <w:tcPr>
            <w:tcW w:type="dxa" w:w="243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数据量 &lt; 500MB、峰值并发 ≤ 5，MySQL 的内存与运维开销换不来任何收益；省下的 1GB 级内存直接提升部署稳定性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A3</w:t>
            </w:r>
          </w:p>
        </w:tc>
        <w:tc>
          <w:tcPr>
            <w:tcW w:type="dxa" w:w="260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内容编辑方式如何选？</w:t>
            </w:r>
          </w:p>
        </w:tc>
        <w:tc>
          <w:tcPr>
            <w:tcW w:type="dxa" w:w="3005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Markdown</w:t>
            </w:r>
          </w:p>
        </w:tc>
        <w:tc>
          <w:tcPr>
            <w:tcW w:type="dxa" w:w="243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与 NG-6（不自研编辑器）一致；Markdown 便于长期维护与迁移</w:t>
            </w:r>
          </w:p>
        </w:tc>
      </w:tr>
      <w:tr>
        <w:trPr>
          <w:cantSplit/>
        </w:trPr>
        <w:tc>
          <w:tcPr>
            <w:tcW w:type="dxa" w:w="73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A4</w:t>
            </w:r>
          </w:p>
        </w:tc>
        <w:tc>
          <w:tcPr>
            <w:tcW w:type="dxa" w:w="260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图片存储位置如何选？</w:t>
            </w:r>
          </w:p>
        </w:tc>
        <w:tc>
          <w:tcPr>
            <w:tcW w:type="dxa" w:w="3005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v1 用 Nginx 托管服务器本地目录，预留对象存储接口</w:t>
            </w:r>
          </w:p>
        </w:tc>
        <w:tc>
          <w:tcPr>
            <w:tcW w:type="dxa" w:w="243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本地零成本；代价是占用带宽与磁盘（见第 13 章）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A5</w:t>
            </w:r>
          </w:p>
        </w:tc>
        <w:tc>
          <w:tcPr>
            <w:tcW w:type="dxa" w:w="260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鉴权方案选 Session-Cookie 还是 JWT？</w:t>
            </w:r>
          </w:p>
        </w:tc>
        <w:tc>
          <w:tcPr>
            <w:tcW w:type="dxa" w:w="3005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单管理员后台用 HttpOnly Cookie</w:t>
            </w:r>
          </w:p>
        </w:tc>
        <w:tc>
          <w:tcPr>
            <w:tcW w:type="dxa" w:w="243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更简单，且天然防脚本读取；JWT 的收益在多端场景才显现，本项目没有该场景</w:t>
            </w:r>
          </w:p>
        </w:tc>
      </w:tr>
      <w:tr>
        <w:trPr>
          <w:cantSplit/>
        </w:trPr>
        <w:tc>
          <w:tcPr>
            <w:tcW w:type="dxa" w:w="73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A6</w:t>
            </w:r>
          </w:p>
        </w:tc>
        <w:tc>
          <w:tcPr>
            <w:tcW w:type="dxa" w:w="260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操作系统与是否使用 Docker？</w:t>
            </w:r>
          </w:p>
        </w:tc>
        <w:tc>
          <w:tcPr>
            <w:tcW w:type="dxa" w:w="3005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Ubuntu 22.04 + Docker Compose</w:t>
            </w:r>
          </w:p>
        </w:tc>
        <w:tc>
          <w:tcPr>
            <w:tcW w:type="dxa" w:w="243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容器化便于重建环境，直接服务于 SM-04 与 SM-14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A7</w:t>
            </w:r>
          </w:p>
        </w:tc>
        <w:tc>
          <w:tcPr>
            <w:tcW w:type="dxa" w:w="260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在本站写作还是从本地笔记导入？</w:t>
            </w:r>
          </w:p>
        </w:tc>
        <w:tc>
          <w:tcPr>
            <w:tcW w:type="dxa" w:w="3005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后台编辑器只做轻量编辑，优先支持从本地 Markdown 导入</w:t>
            </w:r>
          </w:p>
        </w:tc>
        <w:tc>
          <w:tcPr>
            <w:tcW w:type="dxa" w:w="243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重复写作会被放弃；该决策决定了后台不投入做重编辑器</w:t>
            </w:r>
          </w:p>
        </w:tc>
      </w:tr>
      <w:tr>
        <w:trPr>
          <w:cantSplit/>
        </w:trPr>
        <w:tc>
          <w:tcPr>
            <w:tcW w:type="dxa" w:w="73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A8</w:t>
            </w:r>
          </w:p>
        </w:tc>
        <w:tc>
          <w:tcPr>
            <w:tcW w:type="dxa" w:w="260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域名与备案如何处理？</w:t>
            </w:r>
          </w:p>
        </w:tc>
        <w:tc>
          <w:tcPr>
            <w:tcW w:type="dxa" w:w="3005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域名使用 .com；先确认服务器地域，再决定是否备案</w:t>
            </w:r>
          </w:p>
        </w:tc>
        <w:tc>
          <w:tcPr>
            <w:tcW w:type="dxa" w:w="243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备案是上线时间最不可控的外部依赖，须优先确认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CellMar>
          <w:top w:w="100" w:type="dxa"/>
          <w:left w:w="160" w:type="dxa"/>
          <w:bottom w:w="100" w:type="dxa"/>
          <w:right w:w="160" w:type="dxa"/>
        </w:tblCellMar>
        <w:tblBorders>
          <w:top w:val="none" w:sz="0"/>
          <w:bottom w:val="none" w:sz="0"/>
          <w:right w:val="none" w:sz="0"/>
          <w:insideH w:val="none" w:sz="0"/>
          <w:insideV w:val="none" w:sz="0"/>
          <w:left w:val="single" w:sz="18" w:color="1E5CB8"/>
        </w:tblBorders>
      </w:tblPr>
      <w:tblGrid>
        <w:gridCol w:w="9746"/>
      </w:tblGrid>
      <w:tr>
        <w:tc>
          <w:tcPr>
            <w:tcW w:type="dxa" w:w="9746"/>
            <w:shd w:val="clear" w:color="auto" w:fill="F2F6FB"/>
          </w:tcPr>
          <w:p>
            <w:pPr>
              <w:spacing w:after="0" w:line="336" w:lineRule="auto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A2 改选 SQLite 的连带影响（已在本文档同步修订）：</w:t>
            </w:r>
            <w:r>
              <w:rPr>
                <w:rFonts w:ascii="微软雅黑" w:hAnsi="微软雅黑" w:eastAsia="微软雅黑"/>
                <w:sz w:val="19"/>
              </w:rPr>
              <w:t xml:space="preserve"> 第 9.2 节内存预算中 MySQL 的 1000–1200MB 已释放，改由 SQLite 占用 50–100MB，余量从 0.9GB 提升到约 1.9GB；第 9.5 节技术栈已将数据库改为 SQLite 并保留 SQLAlchemy + Alembic；附录术语表中的 MySQL 相关条目同步调整为 SQLite 说明。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CellMar>
          <w:top w:w="100" w:type="dxa"/>
          <w:left w:w="160" w:type="dxa"/>
          <w:bottom w:w="100" w:type="dxa"/>
          <w:right w:w="160" w:type="dxa"/>
        </w:tblCellMar>
        <w:tblBorders>
          <w:top w:val="none" w:sz="0"/>
          <w:bottom w:val="none" w:sz="0"/>
          <w:right w:val="none" w:sz="0"/>
          <w:insideH w:val="none" w:sz="0"/>
          <w:insideV w:val="none" w:sz="0"/>
          <w:left w:val="single" w:sz="18" w:color="1E5CB8"/>
        </w:tblBorders>
      </w:tblPr>
      <w:tblGrid>
        <w:gridCol w:w="9746"/>
      </w:tblGrid>
      <w:tr>
        <w:tc>
          <w:tcPr>
            <w:tcW w:type="dxa" w:w="9746"/>
            <w:shd w:val="clear" w:color="auto" w:fill="F2F6FB"/>
          </w:tcPr>
          <w:p>
            <w:pPr>
              <w:spacing w:after="0" w:line="336" w:lineRule="auto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A7 的判断：</w:t>
            </w:r>
            <w:r>
              <w:rPr>
                <w:rFonts w:ascii="微软雅黑" w:hAnsi="微软雅黑" w:eastAsia="微软雅黑"/>
                <w:sz w:val="19"/>
              </w:rPr>
              <w:t xml:space="preserve"> 你已在用 Obsidian 记录学习笔记（参见 obsidian-learning-sync 仓库），因此“在本站重新写一遍”几乎必然失败。后台的定位是内容管理与发布，而不是写作工具——这显著减少了前端工作量，也让 v1 的 M4 里程碑（内容闭环）更轻。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r>
        <w:br w:type="page"/>
      </w:r>
    </w:p>
    <w:p>
      <w:pPr>
        <w:spacing w:before="0" w:after="0" w:line="200" w:lineRule="exact"/>
      </w:pPr>
      <w:r>
        <w:rPr>
          <w:rFonts w:ascii="微软雅黑" w:hAnsi="微软雅黑" w:eastAsia="微软雅黑"/>
          <w:sz w:val="2"/>
        </w:rPr>
      </w:r>
    </w:p>
    <w:p>
      <w:pPr>
        <w:pStyle w:val="Heading1"/>
        <w:pBdr>
          <w:bottom w:val="single" w:sz="8" w:space="8" w:color="D8DEE6"/>
        </w:pBdr>
        <w:keepNext/>
      </w:pPr>
      <w:r>
        <w:rPr>
          <w:rFonts w:ascii="微软雅黑" w:hAnsi="微软雅黑" w:eastAsia="微软雅黑"/>
        </w:rPr>
        <w:t>11. 术语表</w:t>
      </w:r>
    </w:p>
    <w:p>
      <w:pPr>
        <w:keepLines/>
      </w:pPr>
      <w:r>
        <w:rPr>
          <w:rFonts w:ascii="微软雅黑" w:hAnsi="微软雅黑" w:eastAsia="微软雅黑"/>
        </w:rPr>
        <w:t>判断标准：下次回看不用查词典。仅收录本项目会用到的缩写与名词。</w:t>
      </w:r>
    </w:p>
    <w:p>
      <w:pPr>
        <w:pStyle w:val="Heading2"/>
        <w:keepNext/>
      </w:pPr>
      <w:r>
        <w:rPr>
          <w:rFonts w:ascii="微软雅黑" w:hAnsi="微软雅黑" w:eastAsia="微软雅黑"/>
        </w:rPr>
        <w:t>11.1 本文档编号体系（自定义，非行业标准）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2436"/>
        <w:gridCol w:w="2436"/>
        <w:gridCol w:w="2436"/>
        <w:gridCol w:w="2436"/>
      </w:tblGrid>
      <w:tr>
        <w:trPr>
          <w:cantSplit/>
          <w:tblHeader w:val="true"/>
        </w:trPr>
        <w:tc>
          <w:tcPr>
            <w:tcW w:type="dxa" w:w="1020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缩写</w:t>
            </w:r>
          </w:p>
        </w:tc>
        <w:tc>
          <w:tcPr>
            <w:tcW w:type="dxa" w:w="2494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完整英文</w:t>
            </w:r>
          </w:p>
        </w:tc>
        <w:tc>
          <w:tcPr>
            <w:tcW w:type="dxa" w:w="1814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中文含义</w:t>
            </w:r>
          </w:p>
        </w:tc>
        <w:tc>
          <w:tcPr>
            <w:tcW w:type="dxa" w:w="3458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BG</w:t>
            </w:r>
          </w:p>
        </w:tc>
        <w:tc>
          <w:tcPr>
            <w:tcW w:type="dxa" w:w="249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Background</w:t>
            </w:r>
          </w:p>
        </w:tc>
        <w:tc>
          <w:tcPr>
            <w:tcW w:type="dxa" w:w="181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背景动机</w:t>
            </w:r>
          </w:p>
        </w:tc>
        <w:tc>
          <w:tcPr>
            <w:tcW w:type="dxa" w:w="345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BG-1~4，第 1 章</w:t>
            </w:r>
          </w:p>
        </w:tc>
      </w:tr>
      <w:tr>
        <w:trPr>
          <w:cantSplit/>
        </w:trPr>
        <w:tc>
          <w:tcPr>
            <w:tcW w:type="dxa" w:w="1020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LG</w:t>
            </w:r>
          </w:p>
        </w:tc>
        <w:tc>
          <w:tcPr>
            <w:tcW w:type="dxa" w:w="249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Learning Goal</w:t>
            </w:r>
          </w:p>
        </w:tc>
        <w:tc>
          <w:tcPr>
            <w:tcW w:type="dxa" w:w="181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学习目标</w:t>
            </w:r>
          </w:p>
        </w:tc>
        <w:tc>
          <w:tcPr>
            <w:tcW w:type="dxa" w:w="345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LG-1~7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AG</w:t>
            </w:r>
          </w:p>
        </w:tc>
        <w:tc>
          <w:tcPr>
            <w:tcW w:type="dxa" w:w="249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Application Goal</w:t>
            </w:r>
          </w:p>
        </w:tc>
        <w:tc>
          <w:tcPr>
            <w:tcW w:type="dxa" w:w="181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应用目标（产品目标）</w:t>
            </w:r>
          </w:p>
        </w:tc>
        <w:tc>
          <w:tcPr>
            <w:tcW w:type="dxa" w:w="345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AG-1~3</w:t>
            </w:r>
          </w:p>
        </w:tc>
      </w:tr>
      <w:tr>
        <w:trPr>
          <w:cantSplit/>
        </w:trPr>
        <w:tc>
          <w:tcPr>
            <w:tcW w:type="dxa" w:w="1020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NG</w:t>
            </w:r>
          </w:p>
        </w:tc>
        <w:tc>
          <w:tcPr>
            <w:tcW w:type="dxa" w:w="249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Non-Goal</w:t>
            </w:r>
          </w:p>
        </w:tc>
        <w:tc>
          <w:tcPr>
            <w:tcW w:type="dxa" w:w="181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非目标（明确不做）</w:t>
            </w:r>
          </w:p>
        </w:tc>
        <w:tc>
          <w:tcPr>
            <w:tcW w:type="dxa" w:w="345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NG-1~8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U</w:t>
            </w:r>
          </w:p>
        </w:tc>
        <w:tc>
          <w:tcPr>
            <w:tcW w:type="dxa" w:w="249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User</w:t>
            </w:r>
          </w:p>
        </w:tc>
        <w:tc>
          <w:tcPr>
            <w:tcW w:type="dxa" w:w="181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用户角色</w:t>
            </w:r>
          </w:p>
        </w:tc>
        <w:tc>
          <w:tcPr>
            <w:tcW w:type="dxa" w:w="345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U1~U4</w:t>
            </w:r>
          </w:p>
        </w:tc>
      </w:tr>
      <w:tr>
        <w:trPr>
          <w:cantSplit/>
        </w:trPr>
        <w:tc>
          <w:tcPr>
            <w:tcW w:type="dxa" w:w="1020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FR</w:t>
            </w:r>
          </w:p>
        </w:tc>
        <w:tc>
          <w:tcPr>
            <w:tcW w:type="dxa" w:w="249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Functional Requirement</w:t>
            </w:r>
          </w:p>
        </w:tc>
        <w:tc>
          <w:tcPr>
            <w:tcW w:type="dxa" w:w="181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功能需求</w:t>
            </w:r>
          </w:p>
        </w:tc>
        <w:tc>
          <w:tcPr>
            <w:tcW w:type="dxa" w:w="345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FR-01~24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NFR</w:t>
            </w:r>
          </w:p>
        </w:tc>
        <w:tc>
          <w:tcPr>
            <w:tcW w:type="dxa" w:w="249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Non-Functional Requirement</w:t>
            </w:r>
          </w:p>
        </w:tc>
        <w:tc>
          <w:tcPr>
            <w:tcW w:type="dxa" w:w="181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非功能需求</w:t>
            </w:r>
          </w:p>
        </w:tc>
        <w:tc>
          <w:tcPr>
            <w:tcW w:type="dxa" w:w="345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NFR-01~13</w:t>
            </w:r>
          </w:p>
        </w:tc>
      </w:tr>
      <w:tr>
        <w:trPr>
          <w:cantSplit/>
        </w:trPr>
        <w:tc>
          <w:tcPr>
            <w:tcW w:type="dxa" w:w="1020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SM</w:t>
            </w:r>
          </w:p>
        </w:tc>
        <w:tc>
          <w:tcPr>
            <w:tcW w:type="dxa" w:w="249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Success Metric</w:t>
            </w:r>
          </w:p>
        </w:tc>
        <w:tc>
          <w:tcPr>
            <w:tcW w:type="dxa" w:w="181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成功指标</w:t>
            </w:r>
          </w:p>
        </w:tc>
        <w:tc>
          <w:tcPr>
            <w:tcW w:type="dxa" w:w="345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SM-01~16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AS</w:t>
            </w:r>
          </w:p>
        </w:tc>
        <w:tc>
          <w:tcPr>
            <w:tcW w:type="dxa" w:w="249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Assumption</w:t>
            </w:r>
          </w:p>
        </w:tc>
        <w:tc>
          <w:tcPr>
            <w:tcW w:type="dxa" w:w="181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假设</w:t>
            </w:r>
          </w:p>
        </w:tc>
        <w:tc>
          <w:tcPr>
            <w:tcW w:type="dxa" w:w="345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AS-1~6</w:t>
            </w:r>
          </w:p>
        </w:tc>
      </w:tr>
      <w:tr>
        <w:trPr>
          <w:cantSplit/>
        </w:trPr>
        <w:tc>
          <w:tcPr>
            <w:tcW w:type="dxa" w:w="1020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R</w:t>
            </w:r>
          </w:p>
        </w:tc>
        <w:tc>
          <w:tcPr>
            <w:tcW w:type="dxa" w:w="249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Risk</w:t>
            </w:r>
          </w:p>
        </w:tc>
        <w:tc>
          <w:tcPr>
            <w:tcW w:type="dxa" w:w="181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风险</w:t>
            </w:r>
          </w:p>
        </w:tc>
        <w:tc>
          <w:tcPr>
            <w:tcW w:type="dxa" w:w="345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R-1~8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A</w:t>
            </w:r>
          </w:p>
        </w:tc>
        <w:tc>
          <w:tcPr>
            <w:tcW w:type="dxa" w:w="249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to be confirmed</w:t>
            </w:r>
          </w:p>
        </w:tc>
        <w:tc>
          <w:tcPr>
            <w:tcW w:type="dxa" w:w="181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待确认决策项</w:t>
            </w:r>
          </w:p>
        </w:tc>
        <w:tc>
          <w:tcPr>
            <w:tcW w:type="dxa" w:w="345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A1~A8</w:t>
            </w:r>
          </w:p>
        </w:tc>
      </w:tr>
      <w:tr>
        <w:trPr>
          <w:cantSplit/>
        </w:trPr>
        <w:tc>
          <w:tcPr>
            <w:tcW w:type="dxa" w:w="1020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M0–M6</w:t>
            </w:r>
          </w:p>
        </w:tc>
        <w:tc>
          <w:tcPr>
            <w:tcW w:type="dxa" w:w="249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Milestone</w:t>
            </w:r>
          </w:p>
        </w:tc>
        <w:tc>
          <w:tcPr>
            <w:tcW w:type="dxa" w:w="181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里程碑</w:t>
            </w:r>
          </w:p>
        </w:tc>
        <w:tc>
          <w:tcPr>
            <w:tcW w:type="dxa" w:w="345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第 14 章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MoSCoW</w:t>
            </w:r>
          </w:p>
        </w:tc>
        <w:tc>
          <w:tcPr>
            <w:tcW w:type="dxa" w:w="249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Must / Should / Could / Won't have</w:t>
            </w:r>
          </w:p>
        </w:tc>
        <w:tc>
          <w:tcPr>
            <w:tcW w:type="dxa" w:w="181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需求优先级四档</w:t>
            </w:r>
          </w:p>
        </w:tc>
        <w:tc>
          <w:tcPr>
            <w:tcW w:type="dxa" w:w="345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M 必须、S 应该、C 可以、W 不做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pPr>
        <w:pStyle w:val="Heading2"/>
        <w:keepNext/>
      </w:pPr>
      <w:r>
        <w:rPr>
          <w:rFonts w:ascii="微软雅黑" w:hAnsi="微软雅黑" w:eastAsia="微软雅黑"/>
        </w:rPr>
        <w:t>11.2 流程与工程术语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2436"/>
        <w:gridCol w:w="2436"/>
        <w:gridCol w:w="2436"/>
        <w:gridCol w:w="2436"/>
      </w:tblGrid>
      <w:tr>
        <w:trPr>
          <w:cantSplit/>
          <w:tblHeader w:val="true"/>
        </w:trPr>
        <w:tc>
          <w:tcPr>
            <w:tcW w:type="dxa" w:w="1020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缩写</w:t>
            </w:r>
          </w:p>
        </w:tc>
        <w:tc>
          <w:tcPr>
            <w:tcW w:type="dxa" w:w="2608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完整英文</w:t>
            </w:r>
          </w:p>
        </w:tc>
        <w:tc>
          <w:tcPr>
            <w:tcW w:type="dxa" w:w="1814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中文含义</w:t>
            </w:r>
          </w:p>
        </w:tc>
        <w:tc>
          <w:tcPr>
            <w:tcW w:type="dxa" w:w="3345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一句话解释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ADR</w:t>
            </w:r>
          </w:p>
        </w:tc>
        <w:tc>
          <w:tcPr>
            <w:tcW w:type="dxa" w:w="260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Architecture Decision Record</w:t>
            </w:r>
          </w:p>
        </w:tc>
        <w:tc>
          <w:tcPr>
            <w:tcW w:type="dxa" w:w="181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架构决策记录</w:t>
            </w:r>
          </w:p>
        </w:tc>
        <w:tc>
          <w:tcPr>
            <w:tcW w:type="dxa" w:w="3345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把“为什么选 A 不选 B”写成一条短记录，日后无需重新纠结</w:t>
            </w:r>
          </w:p>
        </w:tc>
      </w:tr>
      <w:tr>
        <w:trPr>
          <w:cantSplit/>
        </w:trPr>
        <w:tc>
          <w:tcPr>
            <w:tcW w:type="dxa" w:w="1020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API</w:t>
            </w:r>
          </w:p>
        </w:tc>
        <w:tc>
          <w:tcPr>
            <w:tcW w:type="dxa" w:w="260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Application Programming Interface</w:t>
            </w:r>
          </w:p>
        </w:tc>
        <w:tc>
          <w:tcPr>
            <w:tcW w:type="dxa" w:w="181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应用编程接口</w:t>
            </w:r>
          </w:p>
        </w:tc>
        <w:tc>
          <w:tcPr>
            <w:tcW w:type="dxa" w:w="3345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前后端约定好的调用契约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CRUD</w:t>
            </w:r>
          </w:p>
        </w:tc>
        <w:tc>
          <w:tcPr>
            <w:tcW w:type="dxa" w:w="260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Create, Read, Update, Delete</w:t>
            </w:r>
          </w:p>
        </w:tc>
        <w:tc>
          <w:tcPr>
            <w:tcW w:type="dxa" w:w="181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增、查、改、删</w:t>
            </w:r>
          </w:p>
        </w:tc>
        <w:tc>
          <w:tcPr>
            <w:tcW w:type="dxa" w:w="3345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最基础的四类数据操作</w:t>
            </w:r>
          </w:p>
        </w:tc>
      </w:tr>
      <w:tr>
        <w:trPr>
          <w:cantSplit/>
        </w:trPr>
        <w:tc>
          <w:tcPr>
            <w:tcW w:type="dxa" w:w="1020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ORM</w:t>
            </w:r>
          </w:p>
        </w:tc>
        <w:tc>
          <w:tcPr>
            <w:tcW w:type="dxa" w:w="260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Object-Relational Mapping</w:t>
            </w:r>
          </w:p>
        </w:tc>
        <w:tc>
          <w:tcPr>
            <w:tcW w:type="dxa" w:w="181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对象关系映射</w:t>
            </w:r>
          </w:p>
        </w:tc>
        <w:tc>
          <w:tcPr>
            <w:tcW w:type="dxa" w:w="3345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用代码类操作数据库表，如 SQLAlchemy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SPA</w:t>
            </w:r>
          </w:p>
        </w:tc>
        <w:tc>
          <w:tcPr>
            <w:tcW w:type="dxa" w:w="260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Single Page Application</w:t>
            </w:r>
          </w:p>
        </w:tc>
        <w:tc>
          <w:tcPr>
            <w:tcW w:type="dxa" w:w="181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单页应用</w:t>
            </w:r>
          </w:p>
        </w:tc>
        <w:tc>
          <w:tcPr>
            <w:tcW w:type="dxa" w:w="3345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Vue 构建产物的形态，整站只有一个 HTML 入口</w:t>
            </w:r>
          </w:p>
        </w:tc>
      </w:tr>
      <w:tr>
        <w:trPr>
          <w:cantSplit/>
        </w:trPr>
        <w:tc>
          <w:tcPr>
            <w:tcW w:type="dxa" w:w="1020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SSR</w:t>
            </w:r>
          </w:p>
        </w:tc>
        <w:tc>
          <w:tcPr>
            <w:tcW w:type="dxa" w:w="260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Server-Side Rendering</w:t>
            </w:r>
          </w:p>
        </w:tc>
        <w:tc>
          <w:tcPr>
            <w:tcW w:type="dxa" w:w="181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服务端渲染</w:t>
            </w:r>
          </w:p>
        </w:tc>
        <w:tc>
          <w:tcPr>
            <w:tcW w:type="dxa" w:w="3345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服务器先渲染好 HTML 再返回，利于首屏与 SEO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SEO</w:t>
            </w:r>
          </w:p>
        </w:tc>
        <w:tc>
          <w:tcPr>
            <w:tcW w:type="dxa" w:w="260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Search Engine Optimization</w:t>
            </w:r>
          </w:p>
        </w:tc>
        <w:tc>
          <w:tcPr>
            <w:tcW w:type="dxa" w:w="181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搜索引擎优化</w:t>
            </w:r>
          </w:p>
        </w:tc>
        <w:tc>
          <w:tcPr>
            <w:tcW w:type="dxa" w:w="3345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让文章更容易被搜索到</w:t>
            </w:r>
          </w:p>
        </w:tc>
      </w:tr>
      <w:tr>
        <w:trPr>
          <w:cantSplit/>
        </w:trPr>
        <w:tc>
          <w:tcPr>
            <w:tcW w:type="dxa" w:w="1020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RSS</w:t>
            </w:r>
          </w:p>
        </w:tc>
        <w:tc>
          <w:tcPr>
            <w:tcW w:type="dxa" w:w="260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Really Simple Syndication</w:t>
            </w:r>
          </w:p>
        </w:tc>
        <w:tc>
          <w:tcPr>
            <w:tcW w:type="dxa" w:w="181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简易信息聚合</w:t>
            </w:r>
          </w:p>
        </w:tc>
        <w:tc>
          <w:tcPr>
            <w:tcW w:type="dxa" w:w="3345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让阅读器订阅你更新的标准格式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DOM</w:t>
            </w:r>
          </w:p>
        </w:tc>
        <w:tc>
          <w:tcPr>
            <w:tcW w:type="dxa" w:w="260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Document Object Model</w:t>
            </w:r>
          </w:p>
        </w:tc>
        <w:tc>
          <w:tcPr>
            <w:tcW w:type="dxa" w:w="181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文档对象模型</w:t>
            </w:r>
          </w:p>
        </w:tc>
        <w:tc>
          <w:tcPr>
            <w:tcW w:type="dxa" w:w="3345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浏览器中页面的树状结构表示</w:t>
            </w:r>
          </w:p>
        </w:tc>
      </w:tr>
      <w:tr>
        <w:trPr>
          <w:cantSplit/>
        </w:trPr>
        <w:tc>
          <w:tcPr>
            <w:tcW w:type="dxa" w:w="1020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JSON</w:t>
            </w:r>
          </w:p>
        </w:tc>
        <w:tc>
          <w:tcPr>
            <w:tcW w:type="dxa" w:w="260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JavaScript Object Notation</w:t>
            </w:r>
          </w:p>
        </w:tc>
        <w:tc>
          <w:tcPr>
            <w:tcW w:type="dxa" w:w="181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JS 对象表示法</w:t>
            </w:r>
          </w:p>
        </w:tc>
        <w:tc>
          <w:tcPr>
            <w:tcW w:type="dxa" w:w="3345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前后端传输数据最常用的格式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HTTP</w:t>
            </w:r>
          </w:p>
        </w:tc>
        <w:tc>
          <w:tcPr>
            <w:tcW w:type="dxa" w:w="260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HyperText Transfer Protocol</w:t>
            </w:r>
          </w:p>
        </w:tc>
        <w:tc>
          <w:tcPr>
            <w:tcW w:type="dxa" w:w="181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超文本传输协议</w:t>
            </w:r>
          </w:p>
        </w:tc>
        <w:tc>
          <w:tcPr>
            <w:tcW w:type="dxa" w:w="3345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浏览器与服务器通信的协议</w:t>
            </w:r>
          </w:p>
        </w:tc>
      </w:tr>
      <w:tr>
        <w:trPr>
          <w:cantSplit/>
        </w:trPr>
        <w:tc>
          <w:tcPr>
            <w:tcW w:type="dxa" w:w="1020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HTTPS</w:t>
            </w:r>
          </w:p>
        </w:tc>
        <w:tc>
          <w:tcPr>
            <w:tcW w:type="dxa" w:w="260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HyperText Transfer Protocol Secure</w:t>
            </w:r>
          </w:p>
        </w:tc>
        <w:tc>
          <w:tcPr>
            <w:tcW w:type="dxa" w:w="181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超文本传输协议安全版</w:t>
            </w:r>
          </w:p>
        </w:tc>
        <w:tc>
          <w:tcPr>
            <w:tcW w:type="dxa" w:w="3345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HTTP 加密版本，网址前的锁标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REST</w:t>
            </w:r>
          </w:p>
        </w:tc>
        <w:tc>
          <w:tcPr>
            <w:tcW w:type="dxa" w:w="260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Representational State Transfer</w:t>
            </w:r>
          </w:p>
        </w:tc>
        <w:tc>
          <w:tcPr>
            <w:tcW w:type="dxa" w:w="181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表述性状态转移</w:t>
            </w:r>
          </w:p>
        </w:tc>
        <w:tc>
          <w:tcPr>
            <w:tcW w:type="dxa" w:w="3345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用 URL 表示资源、用方法表示操作，如 GET /posts</w:t>
            </w:r>
          </w:p>
        </w:tc>
      </w:tr>
      <w:tr>
        <w:trPr>
          <w:cantSplit/>
        </w:trPr>
        <w:tc>
          <w:tcPr>
            <w:tcW w:type="dxa" w:w="1020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URL</w:t>
            </w:r>
          </w:p>
        </w:tc>
        <w:tc>
          <w:tcPr>
            <w:tcW w:type="dxa" w:w="260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Uniform Resource Locator</w:t>
            </w:r>
          </w:p>
        </w:tc>
        <w:tc>
          <w:tcPr>
            <w:tcW w:type="dxa" w:w="181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统一资源定位符</w:t>
            </w:r>
          </w:p>
        </w:tc>
        <w:tc>
          <w:tcPr>
            <w:tcW w:type="dxa" w:w="3345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即网址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JWT</w:t>
            </w:r>
          </w:p>
        </w:tc>
        <w:tc>
          <w:tcPr>
            <w:tcW w:type="dxa" w:w="260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JSON Web Token</w:t>
            </w:r>
          </w:p>
        </w:tc>
        <w:tc>
          <w:tcPr>
            <w:tcW w:type="dxa" w:w="181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JSON 网络令牌</w:t>
            </w:r>
          </w:p>
        </w:tc>
        <w:tc>
          <w:tcPr>
            <w:tcW w:type="dxa" w:w="3345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登录后发给前端保存，后续请求携带以证明身份</w:t>
            </w:r>
          </w:p>
        </w:tc>
      </w:tr>
      <w:tr>
        <w:trPr>
          <w:cantSplit/>
        </w:trPr>
        <w:tc>
          <w:tcPr>
            <w:tcW w:type="dxa" w:w="1020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XSS</w:t>
            </w:r>
          </w:p>
        </w:tc>
        <w:tc>
          <w:tcPr>
            <w:tcW w:type="dxa" w:w="260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Cross-Site Scripting</w:t>
            </w:r>
          </w:p>
        </w:tc>
        <w:tc>
          <w:tcPr>
            <w:tcW w:type="dxa" w:w="181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跨站脚本攻击</w:t>
            </w:r>
          </w:p>
        </w:tc>
        <w:tc>
          <w:tcPr>
            <w:tcW w:type="dxa" w:w="3345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攻击者向页面注入恶意脚本窃取信息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CSRF</w:t>
            </w:r>
          </w:p>
        </w:tc>
        <w:tc>
          <w:tcPr>
            <w:tcW w:type="dxa" w:w="260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Cross-Site Request Forgery</w:t>
            </w:r>
          </w:p>
        </w:tc>
        <w:tc>
          <w:tcPr>
            <w:tcW w:type="dxa" w:w="181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跨站请求伪造</w:t>
            </w:r>
          </w:p>
        </w:tc>
        <w:tc>
          <w:tcPr>
            <w:tcW w:type="dxa" w:w="3345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诱导你在已登录状态下发起非本意请求</w:t>
            </w:r>
          </w:p>
        </w:tc>
      </w:tr>
      <w:tr>
        <w:trPr>
          <w:cantSplit/>
        </w:trPr>
        <w:tc>
          <w:tcPr>
            <w:tcW w:type="dxa" w:w="1020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CORS</w:t>
            </w:r>
          </w:p>
        </w:tc>
        <w:tc>
          <w:tcPr>
            <w:tcW w:type="dxa" w:w="260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Cross-Origin Resource Sharing</w:t>
            </w:r>
          </w:p>
        </w:tc>
        <w:tc>
          <w:tcPr>
            <w:tcW w:type="dxa" w:w="181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跨域资源共享</w:t>
            </w:r>
          </w:p>
        </w:tc>
        <w:tc>
          <w:tcPr>
            <w:tcW w:type="dxa" w:w="3345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前后端不同域时浏览器要求的授权机制，本地联调常见坑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CDN</w:t>
            </w:r>
          </w:p>
        </w:tc>
        <w:tc>
          <w:tcPr>
            <w:tcW w:type="dxa" w:w="260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Content Delivery Network</w:t>
            </w:r>
          </w:p>
        </w:tc>
        <w:tc>
          <w:tcPr>
            <w:tcW w:type="dxa" w:w="181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内容分发网络</w:t>
            </w:r>
          </w:p>
        </w:tc>
        <w:tc>
          <w:tcPr>
            <w:tcW w:type="dxa" w:w="3345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把静态资源放到离用户近的节点，省带宽</w:t>
            </w:r>
          </w:p>
        </w:tc>
      </w:tr>
      <w:tr>
        <w:trPr>
          <w:cantSplit/>
        </w:trPr>
        <w:tc>
          <w:tcPr>
            <w:tcW w:type="dxa" w:w="1020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ICP</w:t>
            </w:r>
          </w:p>
        </w:tc>
        <w:tc>
          <w:tcPr>
            <w:tcW w:type="dxa" w:w="260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Internet Content Provider</w:t>
            </w:r>
          </w:p>
        </w:tc>
        <w:tc>
          <w:tcPr>
            <w:tcW w:type="dxa" w:w="181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互联网内容提供商备案</w:t>
            </w:r>
          </w:p>
        </w:tc>
        <w:tc>
          <w:tcPr>
            <w:tcW w:type="dxa" w:w="3345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境内服务器提供网站服务必须完成备案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DNS</w:t>
            </w:r>
          </w:p>
        </w:tc>
        <w:tc>
          <w:tcPr>
            <w:tcW w:type="dxa" w:w="260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Domain Name System</w:t>
            </w:r>
          </w:p>
        </w:tc>
        <w:tc>
          <w:tcPr>
            <w:tcW w:type="dxa" w:w="181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域名系统</w:t>
            </w:r>
          </w:p>
        </w:tc>
        <w:tc>
          <w:tcPr>
            <w:tcW w:type="dxa" w:w="3345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把域名解析到服务器 IP</w:t>
            </w:r>
          </w:p>
        </w:tc>
      </w:tr>
      <w:tr>
        <w:trPr>
          <w:cantSplit/>
        </w:trPr>
        <w:tc>
          <w:tcPr>
            <w:tcW w:type="dxa" w:w="1020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TLS</w:t>
            </w:r>
          </w:p>
        </w:tc>
        <w:tc>
          <w:tcPr>
            <w:tcW w:type="dxa" w:w="260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Transport Layer Security</w:t>
            </w:r>
          </w:p>
        </w:tc>
        <w:tc>
          <w:tcPr>
            <w:tcW w:type="dxa" w:w="181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传输层安全协议</w:t>
            </w:r>
          </w:p>
        </w:tc>
        <w:tc>
          <w:tcPr>
            <w:tcW w:type="dxa" w:w="3345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HTTPS 背后的加密机制，证书即由其而来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SSL</w:t>
            </w:r>
          </w:p>
        </w:tc>
        <w:tc>
          <w:tcPr>
            <w:tcW w:type="dxa" w:w="260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Secure Sockets Layer</w:t>
            </w:r>
          </w:p>
        </w:tc>
        <w:tc>
          <w:tcPr>
            <w:tcW w:type="dxa" w:w="181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安全套接层（TLS 旧称）</w:t>
            </w:r>
          </w:p>
        </w:tc>
        <w:tc>
          <w:tcPr>
            <w:tcW w:type="dxa" w:w="3345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现在说的 SSL 证书实际都用 TLS</w:t>
            </w:r>
          </w:p>
        </w:tc>
      </w:tr>
      <w:tr>
        <w:trPr>
          <w:cantSplit/>
        </w:trPr>
        <w:tc>
          <w:tcPr>
            <w:tcW w:type="dxa" w:w="1020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DoD</w:t>
            </w:r>
          </w:p>
        </w:tc>
        <w:tc>
          <w:tcPr>
            <w:tcW w:type="dxa" w:w="260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Definition of Done</w:t>
            </w:r>
          </w:p>
        </w:tc>
        <w:tc>
          <w:tcPr>
            <w:tcW w:type="dxa" w:w="181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完成的定义</w:t>
            </w:r>
          </w:p>
        </w:tc>
        <w:tc>
          <w:tcPr>
            <w:tcW w:type="dxa" w:w="3345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满足哪些条件才算“做完了”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P95</w:t>
            </w:r>
          </w:p>
        </w:tc>
        <w:tc>
          <w:tcPr>
            <w:tcW w:type="dxa" w:w="260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95th Percentile</w:t>
            </w:r>
          </w:p>
        </w:tc>
        <w:tc>
          <w:tcPr>
            <w:tcW w:type="dxa" w:w="181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第 95 百分位</w:t>
            </w:r>
          </w:p>
        </w:tc>
        <w:tc>
          <w:tcPr>
            <w:tcW w:type="dxa" w:w="3345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100 次请求中有 95 次快于该值，性能常用口径</w:t>
            </w:r>
          </w:p>
        </w:tc>
      </w:tr>
      <w:tr>
        <w:trPr>
          <w:cantSplit/>
        </w:trPr>
        <w:tc>
          <w:tcPr>
            <w:tcW w:type="dxa" w:w="1020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OOM</w:t>
            </w:r>
          </w:p>
        </w:tc>
        <w:tc>
          <w:tcPr>
            <w:tcW w:type="dxa" w:w="260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Out Of Memory</w:t>
            </w:r>
          </w:p>
        </w:tc>
        <w:tc>
          <w:tcPr>
            <w:tcW w:type="dxa" w:w="181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内存耗尽</w:t>
            </w:r>
          </w:p>
        </w:tc>
        <w:tc>
          <w:tcPr>
            <w:tcW w:type="dxa" w:w="3345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内存被用光后进程被系统杀掉，本项目的典型风险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gzip</w:t>
            </w:r>
          </w:p>
        </w:tc>
        <w:tc>
          <w:tcPr>
            <w:tcW w:type="dxa" w:w="260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GNU zip</w:t>
            </w:r>
          </w:p>
        </w:tc>
        <w:tc>
          <w:tcPr>
            <w:tcW w:type="dxa" w:w="181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一种压缩算法</w:t>
            </w:r>
          </w:p>
        </w:tc>
        <w:tc>
          <w:tcPr>
            <w:tcW w:type="dxa" w:w="3345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压缩文本资源后传输，可显著减小体积</w:t>
            </w:r>
          </w:p>
        </w:tc>
      </w:tr>
      <w:tr>
        <w:trPr>
          <w:cantSplit/>
        </w:trPr>
        <w:tc>
          <w:tcPr>
            <w:tcW w:type="dxa" w:w="1020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Brotli</w:t>
            </w:r>
          </w:p>
        </w:tc>
        <w:tc>
          <w:tcPr>
            <w:tcW w:type="dxa" w:w="260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（Google 提出的算法，非缩写）</w:t>
            </w:r>
          </w:p>
        </w:tc>
        <w:tc>
          <w:tcPr>
            <w:tcW w:type="dxa" w:w="181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一种压缩算法</w:t>
            </w:r>
          </w:p>
        </w:tc>
        <w:tc>
          <w:tcPr>
            <w:tcW w:type="dxa" w:w="3345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压缩率高于 gzip，现代浏览器均支持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WebP</w:t>
            </w:r>
          </w:p>
        </w:tc>
        <w:tc>
          <w:tcPr>
            <w:tcW w:type="dxa" w:w="260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Web Picture</w:t>
            </w:r>
          </w:p>
        </w:tc>
        <w:tc>
          <w:tcPr>
            <w:tcW w:type="dxa" w:w="181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一种图片格式</w:t>
            </w:r>
          </w:p>
        </w:tc>
        <w:tc>
          <w:tcPr>
            <w:tcW w:type="dxa" w:w="3345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同画质下体积更小，用于缓解带宽压力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pPr>
        <w:pStyle w:val="Heading2"/>
        <w:keepNext/>
      </w:pPr>
      <w:r>
        <w:rPr>
          <w:rFonts w:ascii="微软雅黑" w:hAnsi="微软雅黑" w:eastAsia="微软雅黑"/>
        </w:rPr>
        <w:t>11.3 本项目技术名词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2436"/>
        <w:gridCol w:w="2436"/>
        <w:gridCol w:w="2436"/>
        <w:gridCol w:w="2436"/>
      </w:tblGrid>
      <w:tr>
        <w:trPr>
          <w:cantSplit/>
          <w:tblHeader w:val="true"/>
        </w:trPr>
        <w:tc>
          <w:tcPr>
            <w:tcW w:type="dxa" w:w="1361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名词</w:t>
            </w:r>
          </w:p>
        </w:tc>
        <w:tc>
          <w:tcPr>
            <w:tcW w:type="dxa" w:w="2494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完整英文 / 来历</w:t>
            </w:r>
          </w:p>
        </w:tc>
        <w:tc>
          <w:tcPr>
            <w:tcW w:type="dxa" w:w="1701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中文含义</w:t>
            </w:r>
          </w:p>
        </w:tc>
        <w:tc>
          <w:tcPr>
            <w:tcW w:type="dxa" w:w="3231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在本项目中的角色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Vue 3</w:t>
            </w:r>
          </w:p>
        </w:tc>
        <w:tc>
          <w:tcPr>
            <w:tcW w:type="dxa" w:w="249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（读作 view）</w:t>
            </w:r>
          </w:p>
        </w:tc>
        <w:tc>
          <w:tcPr>
            <w:tcW w:type="dxa" w:w="170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前端框架</w:t>
            </w:r>
          </w:p>
        </w:tc>
        <w:tc>
          <w:tcPr>
            <w:tcW w:type="dxa" w:w="323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页面与交互，学习目标之一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Vite</w:t>
            </w:r>
          </w:p>
        </w:tc>
        <w:tc>
          <w:tcPr>
            <w:tcW w:type="dxa" w:w="249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（法语“快”）</w:t>
            </w:r>
          </w:p>
        </w:tc>
        <w:tc>
          <w:tcPr>
            <w:tcW w:type="dxa" w:w="170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前端构建工具</w:t>
            </w:r>
          </w:p>
        </w:tc>
        <w:tc>
          <w:tcPr>
            <w:tcW w:type="dxa" w:w="323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开发时热更新，打包生成静态产物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Axios</w:t>
            </w:r>
          </w:p>
        </w:tc>
        <w:tc>
          <w:tcPr>
            <w:tcW w:type="dxa" w:w="249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（专有名词）</w:t>
            </w:r>
          </w:p>
        </w:tc>
        <w:tc>
          <w:tcPr>
            <w:tcW w:type="dxa" w:w="170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前端 HTTP 请求库</w:t>
            </w:r>
          </w:p>
        </w:tc>
        <w:tc>
          <w:tcPr>
            <w:tcW w:type="dxa" w:w="323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调用后端接口，学习目标之一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FastAPI</w:t>
            </w:r>
          </w:p>
        </w:tc>
        <w:tc>
          <w:tcPr>
            <w:tcW w:type="dxa" w:w="249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Fast + API</w:t>
            </w:r>
          </w:p>
        </w:tc>
        <w:tc>
          <w:tcPr>
            <w:tcW w:type="dxa" w:w="170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Python 后端框架</w:t>
            </w:r>
          </w:p>
        </w:tc>
        <w:tc>
          <w:tcPr>
            <w:tcW w:type="dxa" w:w="323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提供接口，自带交互式文档，学习目标之一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Uvicorn</w:t>
            </w:r>
          </w:p>
        </w:tc>
        <w:tc>
          <w:tcPr>
            <w:tcW w:type="dxa" w:w="249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UVloop + unicorn</w:t>
            </w:r>
          </w:p>
        </w:tc>
        <w:tc>
          <w:tcPr>
            <w:tcW w:type="dxa" w:w="170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ASGI 服务器</w:t>
            </w:r>
          </w:p>
        </w:tc>
        <w:tc>
          <w:tcPr>
            <w:tcW w:type="dxa" w:w="323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真正运行 FastAPI 应用的进程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ASGI</w:t>
            </w:r>
          </w:p>
        </w:tc>
        <w:tc>
          <w:tcPr>
            <w:tcW w:type="dxa" w:w="249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Asynchronous Server Gateway Interface</w:t>
            </w:r>
          </w:p>
        </w:tc>
        <w:tc>
          <w:tcPr>
            <w:tcW w:type="dxa" w:w="170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异步服务器网关接口</w:t>
            </w:r>
          </w:p>
        </w:tc>
        <w:tc>
          <w:tcPr>
            <w:tcW w:type="dxa" w:w="323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Uvicorn 与 FastAPI 之间的标准对接接口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Pydantic</w:t>
            </w:r>
          </w:p>
        </w:tc>
        <w:tc>
          <w:tcPr>
            <w:tcW w:type="dxa" w:w="249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（专有名词）</w:t>
            </w:r>
          </w:p>
        </w:tc>
        <w:tc>
          <w:tcPr>
            <w:tcW w:type="dxa" w:w="170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数据校验库</w:t>
            </w:r>
          </w:p>
        </w:tc>
        <w:tc>
          <w:tcPr>
            <w:tcW w:type="dxa" w:w="323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在入口校验请求参数、约束返回结构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SQLAlchemy</w:t>
            </w:r>
          </w:p>
        </w:tc>
        <w:tc>
          <w:tcPr>
            <w:tcW w:type="dxa" w:w="249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SQL + Alchemy</w:t>
            </w:r>
          </w:p>
        </w:tc>
        <w:tc>
          <w:tcPr>
            <w:tcW w:type="dxa" w:w="170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Python ORM 库</w:t>
            </w:r>
          </w:p>
        </w:tc>
        <w:tc>
          <w:tcPr>
            <w:tcW w:type="dxa" w:w="323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用 Python 类操作数据库表，屏蔽具体数据库差异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SQL</w:t>
            </w:r>
          </w:p>
        </w:tc>
        <w:tc>
          <w:tcPr>
            <w:tcW w:type="dxa" w:w="249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Structured Query Language</w:t>
            </w:r>
          </w:p>
        </w:tc>
        <w:tc>
          <w:tcPr>
            <w:tcW w:type="dxa" w:w="170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结构化查询语言</w:t>
            </w:r>
          </w:p>
        </w:tc>
        <w:tc>
          <w:tcPr>
            <w:tcW w:type="dxa" w:w="323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操作关系型数据库的通用语言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Alembic</w:t>
            </w:r>
          </w:p>
        </w:tc>
        <w:tc>
          <w:tcPr>
            <w:tcW w:type="dxa" w:w="249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（专有名词）</w:t>
            </w:r>
          </w:p>
        </w:tc>
        <w:tc>
          <w:tcPr>
            <w:tcW w:type="dxa" w:w="170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数据库迁移工具</w:t>
            </w:r>
          </w:p>
        </w:tc>
        <w:tc>
          <w:tcPr>
            <w:tcW w:type="dxa" w:w="323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把改表结构变成版本化脚本，可追溯可回滚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SQLite</w:t>
            </w:r>
          </w:p>
        </w:tc>
        <w:tc>
          <w:tcPr>
            <w:tcW w:type="dxa" w:w="249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SQL + Lite（轻量）</w:t>
            </w:r>
          </w:p>
        </w:tc>
        <w:tc>
          <w:tcPr>
            <w:tcW w:type="dxa" w:w="170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文件型嵌入式数据库</w:t>
            </w:r>
          </w:p>
        </w:tc>
        <w:tc>
          <w:tcPr>
            <w:tcW w:type="dxa" w:w="323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本项目采用的数据库：整库就是一个文件，零安装、零运维，备份即拷贝文件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WAL</w:t>
            </w:r>
          </w:p>
        </w:tc>
        <w:tc>
          <w:tcPr>
            <w:tcW w:type="dxa" w:w="249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Write-Ahead Logging</w:t>
            </w:r>
          </w:p>
        </w:tc>
        <w:tc>
          <w:tcPr>
            <w:tcW w:type="dxa" w:w="170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预写日志模式</w:t>
            </w:r>
          </w:p>
        </w:tc>
        <w:tc>
          <w:tcPr>
            <w:tcW w:type="dxa" w:w="323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SQLite 的并发模式，允许读与写同时进行，避免写操作阻塞所有读取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MySQL</w:t>
            </w:r>
          </w:p>
        </w:tc>
        <w:tc>
          <w:tcPr>
            <w:tcW w:type="dxa" w:w="249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My（创始人女儿名）+ SQL</w:t>
            </w:r>
          </w:p>
        </w:tc>
        <w:tc>
          <w:tcPr>
            <w:tcW w:type="dxa" w:w="170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关系型数据库（客户端 / 服务端架构）</w:t>
            </w:r>
          </w:p>
        </w:tc>
        <w:tc>
          <w:tcPr>
            <w:tcW w:type="dxa" w:w="323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本项目未采用：需要独立进程与 1GB 级内存，在 4G 单机上收益为负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Nginx</w:t>
            </w:r>
          </w:p>
        </w:tc>
        <w:tc>
          <w:tcPr>
            <w:tcW w:type="dxa" w:w="249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Engine-X</w:t>
            </w:r>
          </w:p>
        </w:tc>
        <w:tc>
          <w:tcPr>
            <w:tcW w:type="dxa" w:w="170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Web 服务器 / 反向代理</w:t>
            </w:r>
          </w:p>
        </w:tc>
        <w:tc>
          <w:tcPr>
            <w:tcW w:type="dxa" w:w="323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托管前端静态文件、转发接口请求、配置 HTTPS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Docker</w:t>
            </w:r>
          </w:p>
        </w:tc>
        <w:tc>
          <w:tcPr>
            <w:tcW w:type="dxa" w:w="249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（专有名词）</w:t>
            </w:r>
          </w:p>
        </w:tc>
        <w:tc>
          <w:tcPr>
            <w:tcW w:type="dxa" w:w="170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容器工具</w:t>
            </w:r>
          </w:p>
        </w:tc>
        <w:tc>
          <w:tcPr>
            <w:tcW w:type="dxa" w:w="323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把应用打包成可复现的运行单元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Docker Compose</w:t>
            </w:r>
          </w:p>
        </w:tc>
        <w:tc>
          <w:tcPr>
            <w:tcW w:type="dxa" w:w="249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（专有名词）</w:t>
            </w:r>
          </w:p>
        </w:tc>
        <w:tc>
          <w:tcPr>
            <w:tcW w:type="dxa" w:w="170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容器编排工具</w:t>
            </w:r>
          </w:p>
        </w:tc>
        <w:tc>
          <w:tcPr>
            <w:tcW w:type="dxa" w:w="323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用一个配置文件启动 Nginx 与后端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Swap</w:t>
            </w:r>
          </w:p>
        </w:tc>
        <w:tc>
          <w:tcPr>
            <w:tcW w:type="dxa" w:w="249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（原词）</w:t>
            </w:r>
          </w:p>
        </w:tc>
        <w:tc>
          <w:tcPr>
            <w:tcW w:type="dxa" w:w="170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交换分区</w:t>
            </w:r>
          </w:p>
        </w:tc>
        <w:tc>
          <w:tcPr>
            <w:tcW w:type="dxa" w:w="323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内存不足时借用磁盘，防止进程被系统直接杀死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Markdown</w:t>
            </w:r>
          </w:p>
        </w:tc>
        <w:tc>
          <w:tcPr>
            <w:tcW w:type="dxa" w:w="249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（原词）</w:t>
            </w:r>
          </w:p>
        </w:tc>
        <w:tc>
          <w:tcPr>
            <w:tcW w:type="dxa" w:w="170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轻量标记语言</w:t>
            </w:r>
          </w:p>
        </w:tc>
        <w:tc>
          <w:tcPr>
            <w:tcW w:type="dxa" w:w="323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文章正文的编写格式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软删除</w:t>
            </w:r>
          </w:p>
        </w:tc>
        <w:tc>
          <w:tcPr>
            <w:tcW w:type="dxa" w:w="249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Soft Delete</w:t>
            </w:r>
          </w:p>
        </w:tc>
        <w:tc>
          <w:tcPr>
            <w:tcW w:type="dxa" w:w="170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逻辑删除</w:t>
            </w:r>
          </w:p>
        </w:tc>
        <w:tc>
          <w:tcPr>
            <w:tcW w:type="dxa" w:w="323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数据不真删，只标记已删除，便于恢复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r>
        <w:br w:type="page"/>
      </w:r>
    </w:p>
    <w:p>
      <w:pPr>
        <w:spacing w:before="0" w:after="0" w:line="200" w:lineRule="exact"/>
      </w:pPr>
      <w:r>
        <w:rPr>
          <w:rFonts w:ascii="微软雅黑" w:hAnsi="微软雅黑" w:eastAsia="微软雅黑"/>
          <w:sz w:val="2"/>
        </w:rPr>
      </w:r>
    </w:p>
    <w:p>
      <w:pPr>
        <w:pStyle w:val="Heading1"/>
        <w:pBdr>
          <w:bottom w:val="single" w:sz="8" w:space="8" w:color="D8DEE6"/>
        </w:pBdr>
        <w:keepNext/>
      </w:pPr>
      <w:r>
        <w:rPr>
          <w:rFonts w:ascii="微软雅黑" w:hAnsi="微软雅黑" w:eastAsia="微软雅黑"/>
        </w:rPr>
        <w:t>12. 竞品 / 参照物分析</w:t>
      </w:r>
    </w:p>
    <w:p>
      <w:pPr>
        <w:keepLines/>
      </w:pPr>
      <w:r>
        <w:rPr>
          <w:rFonts w:ascii="微软雅黑" w:hAnsi="微软雅黑" w:eastAsia="微软雅黑"/>
        </w:rPr>
        <w:t>判断标准：能据此形成自己的判断，而不是罗列站点。本章回答“做出来应该像什么样”，并给出可直接用于设计的排版基线。</w:t>
      </w:r>
    </w:p>
    <w:p>
      <w:pPr>
        <w:pStyle w:val="Heading2"/>
        <w:keepNext/>
      </w:pPr>
      <w:r>
        <w:rPr>
          <w:rFonts w:ascii="微软雅黑" w:hAnsi="微软雅黑" w:eastAsia="微软雅黑"/>
        </w:rPr>
        <w:t>12.1 参照物与取舍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2436"/>
        <w:gridCol w:w="2436"/>
        <w:gridCol w:w="2436"/>
        <w:gridCol w:w="2436"/>
      </w:tblGrid>
      <w:tr>
        <w:trPr>
          <w:cantSplit/>
          <w:tblHeader w:val="true"/>
        </w:trPr>
        <w:tc>
          <w:tcPr>
            <w:tcW w:type="dxa" w:w="1361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参照类型</w:t>
            </w:r>
          </w:p>
        </w:tc>
        <w:tc>
          <w:tcPr>
            <w:tcW w:type="dxa" w:w="1928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代表站点</w:t>
            </w:r>
          </w:p>
        </w:tc>
        <w:tc>
          <w:tcPr>
            <w:tcW w:type="dxa" w:w="3628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值得借鉴的点</w:t>
            </w:r>
          </w:p>
        </w:tc>
        <w:tc>
          <w:tcPr>
            <w:tcW w:type="dxa" w:w="2211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本项目是否采用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极简技术博客</w:t>
            </w:r>
          </w:p>
        </w:tc>
        <w:tc>
          <w:tcPr>
            <w:tcW w:type="dxa" w:w="192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Dan Luu、Julia Evans</w:t>
            </w:r>
          </w:p>
        </w:tc>
        <w:tc>
          <w:tcPr>
            <w:tcW w:type="dxa" w:w="362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正文单列、栏宽很窄、几乎无装饰，内容为王的极致形态</w:t>
            </w:r>
          </w:p>
        </w:tc>
        <w:tc>
          <w:tcPr>
            <w:tcW w:type="dxa" w:w="221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借鉴排版（栏宽与字号），不采用其零视觉风格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成熟工程博客</w:t>
            </w:r>
          </w:p>
        </w:tc>
        <w:tc>
          <w:tcPr>
            <w:tcW w:type="dxa" w:w="192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Overreacted（Dan Abramov）</w:t>
            </w:r>
          </w:p>
        </w:tc>
        <w:tc>
          <w:tcPr>
            <w:tcW w:type="dxa" w:w="362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阅读体验与代码块处理成熟，列表信息密度控制得当</w:t>
            </w:r>
          </w:p>
        </w:tc>
        <w:tc>
          <w:tcPr>
            <w:tcW w:type="dxa" w:w="221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借鉴代码块样式与列表卡片结构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中文技术博客</w:t>
            </w:r>
          </w:p>
        </w:tc>
        <w:tc>
          <w:tcPr>
            <w:tcW w:type="dxa" w:w="192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阮一峰的网络日志</w:t>
            </w:r>
          </w:p>
        </w:tc>
        <w:tc>
          <w:tcPr>
            <w:tcW w:type="dxa" w:w="362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中文正文排版参数与长期可持续的更新结构</w:t>
            </w:r>
          </w:p>
        </w:tc>
        <w:tc>
          <w:tcPr>
            <w:tcW w:type="dxa" w:w="221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主要借鉴中文排版参数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设计感博客</w:t>
            </w:r>
          </w:p>
        </w:tc>
        <w:tc>
          <w:tcPr>
            <w:tcW w:type="dxa" w:w="192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Josh Comeau</w:t>
            </w:r>
          </w:p>
        </w:tc>
        <w:tc>
          <w:tcPr>
            <w:tcW w:type="dxa" w:w="362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视觉层次与留白讲究，说明技术博客也能有设计感</w:t>
            </w:r>
          </w:p>
        </w:tc>
        <w:tc>
          <w:tcPr>
            <w:tcW w:type="dxa" w:w="221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借鉴层次与留白思路，不照搬动效（会拖慢 3Mbps 下的首屏）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反面参照</w:t>
            </w:r>
          </w:p>
        </w:tc>
        <w:tc>
          <w:tcPr>
            <w:tcW w:type="dxa" w:w="192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默认主题的 Hexo 等模板站</w:t>
            </w:r>
          </w:p>
        </w:tc>
        <w:tc>
          <w:tcPr>
            <w:tcW w:type="dxa" w:w="362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结构雷同、首屏体积大、移动端排版潦草</w:t>
            </w:r>
          </w:p>
        </w:tc>
        <w:tc>
          <w:tcPr>
            <w:tcW w:type="dxa" w:w="221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明确避免：模板感是个人项目最容易暴露的地方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pPr>
        <w:pStyle w:val="Heading2"/>
        <w:keepNext/>
      </w:pPr>
      <w:r>
        <w:rPr>
          <w:rFonts w:ascii="微软雅黑" w:hAnsi="微软雅黑" w:eastAsia="微软雅黑"/>
        </w:rPr>
        <w:t>12.2 从参照物得出的排版基线（供设计阶段直接使用）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3249"/>
        <w:gridCol w:w="3249"/>
        <w:gridCol w:w="3249"/>
      </w:tblGrid>
      <w:tr>
        <w:trPr>
          <w:cantSplit/>
          <w:tblHeader w:val="true"/>
        </w:trPr>
        <w:tc>
          <w:tcPr>
            <w:tcW w:type="dxa" w:w="1928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项目</w:t>
            </w:r>
          </w:p>
        </w:tc>
        <w:tc>
          <w:tcPr>
            <w:tcW w:type="dxa" w:w="3402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建议值</w:t>
            </w:r>
          </w:p>
        </w:tc>
        <w:tc>
          <w:tcPr>
            <w:tcW w:type="dxa" w:w="3742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理由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正文内容栏宽</w:t>
            </w:r>
          </w:p>
        </w:tc>
        <w:tc>
          <w:tcPr>
            <w:tcW w:type="dxa" w:w="340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680–760 px（约 70 个中文字符 / 行）</w:t>
            </w:r>
          </w:p>
        </w:tc>
        <w:tc>
          <w:tcPr>
            <w:tcW w:type="dxa" w:w="374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超过 80 字符读者容易串行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正文字号 / 行高</w:t>
            </w:r>
          </w:p>
        </w:tc>
        <w:tc>
          <w:tcPr>
            <w:tcW w:type="dxa" w:w="3402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桌面 17–18px / 1.8；移动 16px / 1.75</w:t>
            </w:r>
          </w:p>
        </w:tc>
        <w:tc>
          <w:tcPr>
            <w:tcW w:type="dxa" w:w="3742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中文密度高于英文，行高需大于 1.5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代码块字号 / 字体</w:t>
            </w:r>
          </w:p>
        </w:tc>
        <w:tc>
          <w:tcPr>
            <w:tcW w:type="dxa" w:w="340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14px；等宽字体（JetBrains Mono / Fira Code）</w:t>
            </w:r>
          </w:p>
        </w:tc>
        <w:tc>
          <w:tcPr>
            <w:tcW w:type="dxa" w:w="374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与正文形成层级差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页面主色数量</w:t>
            </w:r>
          </w:p>
        </w:tc>
        <w:tc>
          <w:tcPr>
            <w:tcW w:type="dxa" w:w="3402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1 个主色 + 中性灰阶，最多 1 个强调色</w:t>
            </w:r>
          </w:p>
        </w:tc>
        <w:tc>
          <w:tcPr>
            <w:tcW w:type="dxa" w:w="3742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颜色越多越显廉价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首屏元素</w:t>
            </w:r>
          </w:p>
        </w:tc>
        <w:tc>
          <w:tcPr>
            <w:tcW w:type="dxa" w:w="340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标题 + 摘要 + 日期 + 标签，不放大图</w:t>
            </w:r>
          </w:p>
        </w:tc>
        <w:tc>
          <w:tcPr>
            <w:tcW w:type="dxa" w:w="374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3Mbps 带宽下大图直接毁掉首屏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图片最大显示宽度</w:t>
            </w:r>
          </w:p>
        </w:tc>
        <w:tc>
          <w:tcPr>
            <w:tcW w:type="dxa" w:w="3402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≤ 内容栏宽度，超宽图缩略后可点击放大</w:t>
            </w:r>
          </w:p>
        </w:tc>
        <w:tc>
          <w:tcPr>
            <w:tcW w:type="dxa" w:w="3742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避免横向滚动（对应 SM-09）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pPr>
        <w:pStyle w:val="Heading2"/>
        <w:keepNext/>
      </w:pPr>
      <w:r>
        <w:rPr>
          <w:rFonts w:ascii="微软雅黑" w:hAnsi="微软雅黑" w:eastAsia="微软雅黑"/>
        </w:rPr>
        <w:t>12.3 结论</w:t>
      </w:r>
    </w:p>
    <w:p>
      <w:pPr>
        <w:keepLines/>
      </w:pPr>
      <w:r>
        <w:rPr>
          <w:rFonts w:ascii="微软雅黑" w:hAnsi="微软雅黑" w:eastAsia="微软雅黑"/>
        </w:rPr>
        <w:t>本项目的视觉目标是“干净、可读、不像模板”，而非“炫技”。因此优先保证排版参数（栏宽、字号、行高）与加载速度，把动效与装饰性设计列为可选项。同目录 _research/ 下的 T1、T2、T3、T5、T6 五份资料是比本章细得多的前端参考资料，属于设计阶段的输入，本章只负责给出“要像什么样”的判断。</w:t>
      </w:r>
    </w:p>
    <w:p>
      <w:r>
        <w:br w:type="page"/>
      </w:r>
    </w:p>
    <w:p>
      <w:pPr>
        <w:spacing w:before="0" w:after="0" w:line="200" w:lineRule="exact"/>
      </w:pPr>
      <w:r>
        <w:rPr>
          <w:rFonts w:ascii="微软雅黑" w:hAnsi="微软雅黑" w:eastAsia="微软雅黑"/>
          <w:sz w:val="2"/>
        </w:rPr>
      </w:r>
    </w:p>
    <w:p>
      <w:pPr>
        <w:pStyle w:val="Heading1"/>
        <w:pBdr>
          <w:bottom w:val="single" w:sz="8" w:space="8" w:color="D8DEE6"/>
        </w:pBdr>
        <w:keepNext/>
      </w:pPr>
      <w:r>
        <w:rPr>
          <w:rFonts w:ascii="微软雅黑" w:hAnsi="微软雅黑" w:eastAsia="微软雅黑"/>
        </w:rPr>
        <w:t>13. 预算清单</w:t>
      </w:r>
    </w:p>
    <w:p>
      <w:pPr>
        <w:keepLines/>
      </w:pPr>
      <w:r>
        <w:rPr>
          <w:rFonts w:ascii="微软雅黑" w:hAnsi="微软雅黑" w:eastAsia="微软雅黑"/>
        </w:rPr>
        <w:t>判断标准：列出年度支出与隐性成本。本章金额为估算区间，请以实际购买报价替换。</w:t>
      </w:r>
    </w:p>
    <w:p>
      <w:pPr>
        <w:pStyle w:val="Heading2"/>
        <w:keepNext/>
      </w:pPr>
      <w:r>
        <w:rPr>
          <w:rFonts w:ascii="微软雅黑" w:hAnsi="微软雅黑" w:eastAsia="微软雅黑"/>
        </w:rPr>
        <w:t>13.1 支出明细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2436"/>
        <w:gridCol w:w="2436"/>
        <w:gridCol w:w="2436"/>
        <w:gridCol w:w="2436"/>
      </w:tblGrid>
      <w:tr>
        <w:trPr>
          <w:cantSplit/>
          <w:tblHeader w:val="true"/>
        </w:trPr>
        <w:tc>
          <w:tcPr>
            <w:tcW w:type="dxa" w:w="1814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项目</w:t>
            </w:r>
          </w:p>
        </w:tc>
        <w:tc>
          <w:tcPr>
            <w:tcW w:type="dxa" w:w="1247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必要性</w:t>
            </w:r>
          </w:p>
        </w:tc>
        <w:tc>
          <w:tcPr>
            <w:tcW w:type="dxa" w:w="1814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估算费用（元 / 年）</w:t>
            </w:r>
          </w:p>
        </w:tc>
        <w:tc>
          <w:tcPr>
            <w:tcW w:type="dxa" w:w="4252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说明与隐性成本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云服务器 4C4G / 3Mbps</w:t>
            </w:r>
          </w:p>
        </w:tc>
        <w:tc>
          <w:tcPr>
            <w:tcW w:type="dxa" w:w="124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必需</w:t>
            </w:r>
          </w:p>
        </w:tc>
        <w:tc>
          <w:tcPr>
            <w:tcW w:type="dxa" w:w="181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300 – 1200</w:t>
            </w:r>
          </w:p>
        </w:tc>
        <w:tc>
          <w:tcPr>
            <w:tcW w:type="dxa" w:w="425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新用户促销价与续费价差异极大，续费常为促销价的 2–4 倍；这是最大且最容易被低估的一笔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域名（.com / .cn 等）</w:t>
            </w:r>
          </w:p>
        </w:tc>
        <w:tc>
          <w:tcPr>
            <w:tcW w:type="dxa" w:w="124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必需</w:t>
            </w:r>
          </w:p>
        </w:tc>
        <w:tc>
          <w:tcPr>
            <w:tcW w:type="dxa" w:w="181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60 – 100</w:t>
            </w:r>
          </w:p>
        </w:tc>
        <w:tc>
          <w:tcPr>
            <w:tcW w:type="dxa" w:w="4252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.com 首年常有优惠，续费约 80–100 元/年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HTTPS 证书</w:t>
            </w:r>
          </w:p>
        </w:tc>
        <w:tc>
          <w:tcPr>
            <w:tcW w:type="dxa" w:w="124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必需</w:t>
            </w:r>
          </w:p>
        </w:tc>
        <w:tc>
          <w:tcPr>
            <w:tcW w:type="dxa" w:w="181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425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用 Let's Encrypt 免费证书自动续期，不要购买付费证书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ICP 备案</w:t>
            </w:r>
          </w:p>
        </w:tc>
        <w:tc>
          <w:tcPr>
            <w:tcW w:type="dxa" w:w="124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视地域</w:t>
            </w:r>
          </w:p>
        </w:tc>
        <w:tc>
          <w:tcPr>
            <w:tcW w:type="dxa" w:w="181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4252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境内服务器必须备案，本身免费，但需 7–20 个工作日；多数云厂商要求服务器购买满一定时长才可备案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DNS 解析</w:t>
            </w:r>
          </w:p>
        </w:tc>
        <w:tc>
          <w:tcPr>
            <w:tcW w:type="dxa" w:w="124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必需</w:t>
            </w:r>
          </w:p>
        </w:tc>
        <w:tc>
          <w:tcPr>
            <w:tcW w:type="dxa" w:w="181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425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域名注册商自带免费解析即可满足本项目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对象存储</w:t>
            </w:r>
          </w:p>
        </w:tc>
        <w:tc>
          <w:tcPr>
            <w:tcW w:type="dxa" w:w="124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可选（A4）</w:t>
            </w:r>
          </w:p>
        </w:tc>
        <w:tc>
          <w:tcPr>
            <w:tcW w:type="dxa" w:w="181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0 – 100+</w:t>
            </w:r>
          </w:p>
        </w:tc>
        <w:tc>
          <w:tcPr>
            <w:tcW w:type="dxa" w:w="4252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存储费很低（几元），真正的成本是外网下行流量费；按约 0.5 元/GB 估算，月流量 50GB 即约 300 元/年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CDN 加速</w:t>
            </w:r>
          </w:p>
        </w:tc>
        <w:tc>
          <w:tcPr>
            <w:tcW w:type="dxa" w:w="124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可选</w:t>
            </w:r>
          </w:p>
        </w:tc>
        <w:tc>
          <w:tcPr>
            <w:tcW w:type="dxa" w:w="181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0 – 200+</w:t>
            </w:r>
          </w:p>
        </w:tc>
        <w:tc>
          <w:tcPr>
            <w:tcW w:type="dxa" w:w="425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按流量计费；图片由 Nginx 托管且总流量不高时，v1 可不上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数据库托管服务</w:t>
            </w:r>
          </w:p>
        </w:tc>
        <w:tc>
          <w:tcPr>
            <w:tcW w:type="dxa" w:w="124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不使用</w:t>
            </w:r>
          </w:p>
        </w:tc>
        <w:tc>
          <w:tcPr>
            <w:tcW w:type="dxa" w:w="181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4252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自建即免费；SQLite 方案下连数据库进程都不需要，成本为零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备份存储</w:t>
            </w:r>
          </w:p>
        </w:tc>
        <w:tc>
          <w:tcPr>
            <w:tcW w:type="dxa" w:w="124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必需</w:t>
            </w:r>
          </w:p>
        </w:tc>
        <w:tc>
          <w:tcPr>
            <w:tcW w:type="dxa" w:w="181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0 – 100</w:t>
            </w:r>
          </w:p>
        </w:tc>
        <w:tc>
          <w:tcPr>
            <w:tcW w:type="dxa" w:w="425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备份可存服务器本地（免费但与应用同机，风险高）或对象存储（少量费用但更安全）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监控与告警</w:t>
            </w:r>
          </w:p>
        </w:tc>
        <w:tc>
          <w:tcPr>
            <w:tcW w:type="dxa" w:w="124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建议</w:t>
            </w:r>
          </w:p>
        </w:tc>
        <w:tc>
          <w:tcPr>
            <w:tcW w:type="dxa" w:w="181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4252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v1 用云厂商自带基础监控即可，不必额外购买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短信 / 邮件通知服务</w:t>
            </w:r>
          </w:p>
        </w:tc>
        <w:tc>
          <w:tcPr>
            <w:tcW w:type="dxa" w:w="124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不需要</w:t>
            </w:r>
          </w:p>
        </w:tc>
        <w:tc>
          <w:tcPr>
            <w:tcW w:type="dxa" w:w="181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425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本项目无用户注册与评论，不需要通知能力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pPr>
        <w:pStyle w:val="Heading2"/>
        <w:keepNext/>
      </w:pPr>
      <w:r>
        <w:rPr>
          <w:rFonts w:ascii="微软雅黑" w:hAnsi="微软雅黑" w:eastAsia="微软雅黑"/>
        </w:rPr>
        <w:t>13.2 预算汇总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3249"/>
        <w:gridCol w:w="3249"/>
        <w:gridCol w:w="3249"/>
      </w:tblGrid>
      <w:tr>
        <w:trPr>
          <w:cantSplit/>
          <w:tblHeader w:val="true"/>
        </w:trPr>
        <w:tc>
          <w:tcPr>
            <w:tcW w:type="dxa" w:w="1814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预算口径</w:t>
            </w:r>
          </w:p>
        </w:tc>
        <w:tc>
          <w:tcPr>
            <w:tcW w:type="dxa" w:w="1928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金额（元 / 年）</w:t>
            </w:r>
          </w:p>
        </w:tc>
        <w:tc>
          <w:tcPr>
            <w:tcW w:type="dxa" w:w="5329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包含内容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最低可行方案</w:t>
            </w:r>
          </w:p>
        </w:tc>
        <w:tc>
          <w:tcPr>
            <w:tcW w:type="dxa" w:w="192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约 360 – 1300</w:t>
            </w:r>
          </w:p>
        </w:tc>
        <w:tc>
          <w:tcPr>
            <w:tcW w:type="dxa" w:w="5329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服务器 + 域名 + 免费证书；图片存本地、无 CDN、备份留本地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推荐方案</w:t>
            </w:r>
          </w:p>
        </w:tc>
        <w:tc>
          <w:tcPr>
            <w:tcW w:type="dxa" w:w="192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约 400 – 1400</w:t>
            </w:r>
          </w:p>
        </w:tc>
        <w:tc>
          <w:tcPr>
            <w:tcW w:type="dxa" w:w="5329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在最低方案基础上，备份存对象存储（几十元级），安全性显著提升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超出预算的情况</w:t>
            </w:r>
          </w:p>
        </w:tc>
        <w:tc>
          <w:tcPr>
            <w:tcW w:type="dxa" w:w="192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&gt; 1500</w:t>
            </w:r>
          </w:p>
        </w:tc>
        <w:tc>
          <w:tcPr>
            <w:tcW w:type="dxa" w:w="5329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通常来自对象存储流量费或 CDN，应回到 A4 重新决策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pPr>
        <w:pStyle w:val="Heading2"/>
        <w:keepNext/>
      </w:pPr>
      <w:r>
        <w:rPr>
          <w:rFonts w:ascii="微软雅黑" w:hAnsi="微软雅黑" w:eastAsia="微软雅黑"/>
        </w:rPr>
        <w:t>13.3 结论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</w:rPr>
        <w:t>刚性支出集中在“服务器 + 域名”两项，合计约每年 400–1300 元；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</w:rPr>
        <w:t>证书、备案、DNS 三项应保持零支出；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</w:rPr>
        <w:t>两个最常见的意外支出是服务器续费涨价与对象存储流量费；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</w:rPr>
        <w:t>任何需要持续付费的选型都应成为 A4 的决策依据，而不是默认接受。</w:t>
      </w:r>
    </w:p>
    <w:p>
      <w:r>
        <w:br w:type="page"/>
      </w:r>
    </w:p>
    <w:p>
      <w:pPr>
        <w:spacing w:before="0" w:after="0" w:line="200" w:lineRule="exact"/>
      </w:pPr>
      <w:r>
        <w:rPr>
          <w:rFonts w:ascii="微软雅黑" w:hAnsi="微软雅黑" w:eastAsia="微软雅黑"/>
          <w:sz w:val="2"/>
        </w:rPr>
      </w:r>
    </w:p>
    <w:p>
      <w:pPr>
        <w:pStyle w:val="Heading1"/>
        <w:pBdr>
          <w:bottom w:val="single" w:sz="8" w:space="8" w:color="D8DEE6"/>
        </w:pBdr>
        <w:keepNext/>
      </w:pPr>
      <w:r>
        <w:rPr>
          <w:rFonts w:ascii="微软雅黑" w:hAnsi="微软雅黑" w:eastAsia="微软雅黑"/>
        </w:rPr>
        <w:t>14. 范围与里程碑</w:t>
      </w:r>
    </w:p>
    <w:p>
      <w:pPr>
        <w:keepLines/>
      </w:pPr>
      <w:r>
        <w:rPr>
          <w:rFonts w:ascii="微软雅黑" w:hAnsi="微软雅黑" w:eastAsia="微软雅黑"/>
        </w:rPr>
        <w:t>判断标准：范围可被逐条判定，里程碑有出口标准。本章是定义阶段与设计阶段的衔接件。</w:t>
      </w:r>
    </w:p>
    <w:p>
      <w:pPr>
        <w:pStyle w:val="Heading2"/>
        <w:keepNext/>
      </w:pPr>
      <w:r>
        <w:rPr>
          <w:rFonts w:ascii="微软雅黑" w:hAnsi="微软雅黑" w:eastAsia="微软雅黑"/>
        </w:rPr>
        <w:t>14.1 v1 范围边界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3249"/>
        <w:gridCol w:w="3249"/>
        <w:gridCol w:w="3249"/>
      </w:tblGrid>
      <w:tr>
        <w:trPr>
          <w:cantSplit/>
          <w:tblHeader w:val="true"/>
        </w:trPr>
        <w:tc>
          <w:tcPr>
            <w:tcW w:type="dxa" w:w="1474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范围</w:t>
            </w:r>
          </w:p>
        </w:tc>
        <w:tc>
          <w:tcPr>
            <w:tcW w:type="dxa" w:w="4762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内容</w:t>
            </w:r>
          </w:p>
        </w:tc>
        <w:tc>
          <w:tcPr>
            <w:tcW w:type="dxa" w:w="2551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对应需求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v1 范围内</w:t>
            </w:r>
          </w:p>
        </w:tc>
        <w:tc>
          <w:tcPr>
            <w:tcW w:type="dxa" w:w="476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登录、文章增删改查、Markdown、草稿与发布、标签、搜索、分页、图片上传、关于我、HTTPS 部署、备份与恢复</w:t>
            </w:r>
          </w:p>
        </w:tc>
        <w:tc>
          <w:tcPr>
            <w:tcW w:type="dxa" w:w="255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FR 全部 M 级（13 条）与部分 S 级（7 条中优先做预览、slug）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v1 范围外</w:t>
            </w:r>
          </w:p>
        </w:tc>
        <w:tc>
          <w:tcPr>
            <w:tcW w:type="dxa" w:w="4762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多用户、评论、高并发架构、App 与小程序、商业化、自研编辑器、多语言</w:t>
            </w:r>
          </w:p>
        </w:tc>
        <w:tc>
          <w:tcPr>
            <w:tcW w:type="dxa" w:w="255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NG-1 ~ NG-8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v1.1 候选</w:t>
            </w:r>
          </w:p>
        </w:tc>
        <w:tc>
          <w:tcPr>
            <w:tcW w:type="dxa" w:w="476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文章版本历史、阅读量、归档页、RSS、站点地图、深色模式、友情链接</w:t>
            </w:r>
          </w:p>
        </w:tc>
        <w:tc>
          <w:tcPr>
            <w:tcW w:type="dxa" w:w="255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FR 中 S 与 C 级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pPr>
        <w:pStyle w:val="Heading2"/>
        <w:keepNext/>
      </w:pPr>
      <w:r>
        <w:rPr>
          <w:rFonts w:ascii="微软雅黑" w:hAnsi="微软雅黑" w:eastAsia="微软雅黑"/>
        </w:rPr>
        <w:t>14.2 里程碑与工期量级</w:t>
      </w:r>
    </w:p>
    <w:p>
      <w:pPr>
        <w:keepLines/>
      </w:pPr>
      <w:r>
        <w:rPr>
          <w:rFonts w:ascii="微软雅黑" w:hAnsi="微软雅黑" w:eastAsia="微软雅黑"/>
        </w:rPr>
        <w:t>工期为量级参考，不是承诺。它的用途是：当某阶段明显超期时能及时察觉，而不是在项目中期才发现规模判断错误。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2436"/>
        <w:gridCol w:w="2436"/>
        <w:gridCol w:w="2436"/>
        <w:gridCol w:w="2436"/>
      </w:tblGrid>
      <w:tr>
        <w:trPr>
          <w:cantSplit/>
          <w:tblHeader w:val="true"/>
        </w:trPr>
        <w:tc>
          <w:tcPr>
            <w:tcW w:type="dxa" w:w="1134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里程碑</w:t>
            </w:r>
          </w:p>
        </w:tc>
        <w:tc>
          <w:tcPr>
            <w:tcW w:type="dxa" w:w="3402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内容</w:t>
            </w:r>
          </w:p>
        </w:tc>
        <w:tc>
          <w:tcPr>
            <w:tcW w:type="dxa" w:w="1701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工期量级</w:t>
            </w:r>
          </w:p>
        </w:tc>
        <w:tc>
          <w:tcPr>
            <w:tcW w:type="dxa" w:w="2551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出口标准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M0 定义</w:t>
            </w:r>
          </w:p>
        </w:tc>
        <w:tc>
          <w:tcPr>
            <w:tcW w:type="dxa" w:w="340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本文档（目标、用户、需求、指标、约束、参照物、预算、范围）</w:t>
            </w:r>
          </w:p>
        </w:tc>
        <w:tc>
          <w:tcPr>
            <w:tcW w:type="dxa" w:w="170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3–5 小时，分 2–3 天</w:t>
            </w:r>
          </w:p>
        </w:tc>
        <w:tc>
          <w:tcPr>
            <w:tcW w:type="dxa" w:w="255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待确认项 A1–A8 全部关闭，文档定稿为 v1.0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M1 约束与设计</w:t>
            </w:r>
          </w:p>
        </w:tc>
        <w:tc>
          <w:tcPr>
            <w:tcW w:type="dxa" w:w="3402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技术决策记录、系统架构、数据库设计、接口契约、前端与视觉设计</w:t>
            </w:r>
          </w:p>
        </w:tc>
        <w:tc>
          <w:tcPr>
            <w:tcW w:type="dxa" w:w="170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2–5 天</w:t>
            </w:r>
          </w:p>
        </w:tc>
        <w:tc>
          <w:tcPr>
            <w:tcW w:type="dxa" w:w="255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接口文档完成，数据库关系图完成，前端设计输入齐备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M2 后端骨架</w:t>
            </w:r>
          </w:p>
        </w:tc>
        <w:tc>
          <w:tcPr>
            <w:tcW w:type="dxa" w:w="340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项目结构、数据库迁移、鉴权、文章增删改查</w:t>
            </w:r>
          </w:p>
        </w:tc>
        <w:tc>
          <w:tcPr>
            <w:tcW w:type="dxa" w:w="170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5–10 天</w:t>
            </w:r>
          </w:p>
        </w:tc>
        <w:tc>
          <w:tcPr>
            <w:tcW w:type="dxa" w:w="255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接口可经 Swagger 调通，pytest 通过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M3 前端骨架</w:t>
            </w:r>
          </w:p>
        </w:tc>
        <w:tc>
          <w:tcPr>
            <w:tcW w:type="dxa" w:w="3402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路由、请求层封装、列表 / 详情 / 登录页</w:t>
            </w:r>
          </w:p>
        </w:tc>
        <w:tc>
          <w:tcPr>
            <w:tcW w:type="dxa" w:w="170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5–10 天</w:t>
            </w:r>
          </w:p>
        </w:tc>
        <w:tc>
          <w:tcPr>
            <w:tcW w:type="dxa" w:w="255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本地联调跑通前后端全链路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M4 内容闭环</w:t>
            </w:r>
          </w:p>
        </w:tc>
        <w:tc>
          <w:tcPr>
            <w:tcW w:type="dxa" w:w="340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Markdown 编辑、图片上传、预览、发布</w:t>
            </w:r>
          </w:p>
        </w:tc>
        <w:tc>
          <w:tcPr>
            <w:tcW w:type="dxa" w:w="170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4–8 天</w:t>
            </w:r>
          </w:p>
        </w:tc>
        <w:tc>
          <w:tcPr>
            <w:tcW w:type="dxa" w:w="255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完成一次真实发文（含图片）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M5 交付上线</w:t>
            </w:r>
          </w:p>
        </w:tc>
        <w:tc>
          <w:tcPr>
            <w:tcW w:type="dxa" w:w="3402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Docker Compose、Nginx、HTTPS、备份与恢复</w:t>
            </w:r>
          </w:p>
        </w:tc>
        <w:tc>
          <w:tcPr>
            <w:tcW w:type="dxa" w:w="170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3–6 天</w:t>
            </w:r>
          </w:p>
        </w:tc>
        <w:tc>
          <w:tcPr>
            <w:tcW w:type="dxa" w:w="255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公网可访问，且备份可成功恢复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M6 验收</w:t>
            </w:r>
          </w:p>
        </w:tc>
        <w:tc>
          <w:tcPr>
            <w:tcW w:type="dxa" w:w="340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按成功指标逐条验证并留存证据</w:t>
            </w:r>
          </w:p>
        </w:tc>
        <w:tc>
          <w:tcPr>
            <w:tcW w:type="dxa" w:w="170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1–2 天</w:t>
            </w:r>
          </w:p>
        </w:tc>
        <w:tc>
          <w:tcPr>
            <w:tcW w:type="dxa" w:w="255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SM-01 ~ SM-16 均有明确结论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pPr>
        <w:keepLines/>
      </w:pPr>
      <w:r>
        <w:rPr>
          <w:rFonts w:ascii="微软雅黑" w:hAnsi="微软雅黑" w:eastAsia="微软雅黑"/>
        </w:rPr>
        <w:t>合计约 20–41 天纯执行时间。按每周投入 8–10 小时估算，v1 落地大致需要 2.5–4 个月；实际耗时通常还需在此基础上乘 1.3–1.5（返工与查资料）。若该周期超出预期，正确做法是砍范围（把部分 M 降为 S），而不是压缩工期。</w:t>
      </w:r>
    </w:p>
    <w:p>
      <w:pPr>
        <w:pStyle w:val="Heading2"/>
        <w:keepNext/>
      </w:pPr>
      <w:r>
        <w:rPr>
          <w:rFonts w:ascii="微软雅黑" w:hAnsi="微软雅黑" w:eastAsia="微软雅黑"/>
        </w:rPr>
        <w:t>14.3 范围变更规则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4873"/>
        <w:gridCol w:w="4873"/>
      </w:tblGrid>
      <w:tr>
        <w:trPr>
          <w:cantSplit/>
          <w:tblHeader w:val="true"/>
        </w:trPr>
        <w:tc>
          <w:tcPr>
            <w:tcW w:type="dxa" w:w="2608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情形</w:t>
            </w:r>
          </w:p>
        </w:tc>
        <w:tc>
          <w:tcPr>
            <w:tcW w:type="dxa" w:w="6180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处理方式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想到新功能</w:t>
            </w:r>
          </w:p>
        </w:tc>
        <w:tc>
          <w:tcPr>
            <w:tcW w:type="dxa" w:w="6180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登记进愿望池，不在当前里程碑内实现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某 M 级需求迟迟做不出</w:t>
            </w:r>
          </w:p>
        </w:tc>
        <w:tc>
          <w:tcPr>
            <w:tcW w:type="dxa" w:w="6180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评估是否降级为 S 或移出 v1，并同步修订第 6 章与第 8 章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实际条件变化（如内存不足、备案延迟）</w:t>
            </w:r>
          </w:p>
        </w:tc>
        <w:tc>
          <w:tcPr>
            <w:tcW w:type="dxa" w:w="6180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回到第 9 章与第 10 章更新约束与假设，再决定是否调整范围</w:t>
            </w:r>
          </w:p>
        </w:tc>
      </w:tr>
    </w:tbl>
    <w:p>
      <w:pPr>
        <w:pStyle w:val="Heading2"/>
        <w:keepNext/>
      </w:pPr>
      <w:r>
        <w:rPr>
          <w:rFonts w:ascii="微软雅黑" w:hAnsi="微软雅黑" w:eastAsia="微软雅黑"/>
        </w:rPr>
        <w:t>14.4 设计阶段的修订回写（v1.3 新增）</w:t>
      </w:r>
    </w:p>
    <w:p>
      <w:pPr>
        <w:keepLines/>
        <w:spacing w:after="40"/>
      </w:pPr>
      <w:r>
        <w:rPr>
          <w:rFonts w:ascii="微软雅黑" w:hAnsi="微软雅黑" w:eastAsia="微软雅黑"/>
          <w:color w:val="1E5CB8"/>
          <w:sz w:val="38"/>
        </w:rPr>
        <w:t>阶段二（设计）产出了 10 条技术决策（ADR），其中 ADR-01「纯 SPA、不做 SEO」使阶段一的两项内容需要修订。本节记录改了什么、改在哪里，使第 6、7、2 章与设计文档 02 保持一致——需求基线必须只有一处事实来源，设计阶段的修订必须回写，否则后续对照时会出现两份互相矛盾的需求表。</w:t>
      </w:r>
    </w:p>
    <w:p>
      <w:pPr>
        <w:keepLines/>
        <w:spacing w:after="40"/>
      </w:pPr>
      <w:r>
        <w:rPr>
          <w:rFonts w:ascii="微软雅黑" w:hAnsi="微软雅黑" w:eastAsia="微软雅黑"/>
          <w:color w:val="1E5CB8"/>
          <w:sz w:val="38"/>
        </w:rPr>
        <w:t>本次修订的三项内容：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1474"/>
        <w:gridCol w:w="1474"/>
      </w:tblGrid>
      <w:tr>
        <w:trPr>
          <w:cantSplit/>
          <w:tblHeader w:val="true"/>
        </w:trPr>
        <w:tc>
          <w:tcPr>
            <w:tcW w:type="dxa" w:w="1474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  <w:t>编号</w:t>
            </w:r>
          </w:p>
        </w:tc>
        <w:tc>
          <w:tcPr>
            <w:tcW w:type="dxa" w:w="1474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  <w:t>修订类型</w:t>
            </w:r>
          </w:p>
        </w:tc>
        <w:tc>
          <w:tcPr>
            <w:tcW w:type="dxa" w:w="2721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  <w:t>原内容</w:t>
            </w:r>
          </w:p>
        </w:tc>
        <w:tc>
          <w:tcPr>
            <w:tcW w:type="dxa" w:w="2608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  <w:t>修订后</w:t>
            </w:r>
          </w:p>
        </w:tc>
        <w:tc>
          <w:tcPr>
            <w:tcW w:type="dxa" w:w="1417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  <w:t>落在哪一章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0" w:line="300" w:lineRule="auto"/>
            </w:pPr>
            <w:r>
              <w:t>FR-22</w:t>
            </w:r>
          </w:p>
        </w:tc>
        <w:tc>
          <w:tcPr>
            <w:tcW w:type="dxa" w:w="1474"/>
          </w:tcPr>
          <w:p>
            <w:pPr>
              <w:spacing w:after="0" w:line="300" w:lineRule="auto"/>
            </w:pPr>
            <w:r>
              <w:t>降级</w:t>
            </w:r>
          </w:p>
        </w:tc>
        <w:tc>
          <w:tcPr>
            <w:tcW w:type="dxa" w:w="2721"/>
          </w:tcPr>
          <w:p>
            <w:pPr>
              <w:spacing w:after="0" w:line="300" w:lineRule="auto"/>
            </w:pPr>
            <w:r>
              <w:t>站点地图与基础 SEO，含 OG 分享卡片标签</w:t>
            </w:r>
          </w:p>
        </w:tc>
        <w:tc>
          <w:tcPr>
            <w:tcW w:type="dxa" w:w="2608"/>
          </w:tcPr>
          <w:p>
            <w:pPr>
              <w:spacing w:after="0" w:line="300" w:lineRule="auto"/>
            </w:pPr>
            <w:r>
              <w:t>仅保留页面 title 与 meta description，不承诺站点地图与分享卡片</w:t>
            </w:r>
          </w:p>
        </w:tc>
        <w:tc>
          <w:tcPr>
            <w:tcW w:type="dxa" w:w="1417"/>
          </w:tcPr>
          <w:p>
            <w:pPr>
              <w:spacing w:after="0" w:line="300" w:lineRule="auto"/>
            </w:pPr>
            <w:r>
              <w:t>第 6.3 节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8FAFC"/>
          </w:tcPr>
          <w:p>
            <w:pPr>
              <w:spacing w:after="0" w:line="300" w:lineRule="auto"/>
            </w:pPr>
            <w:r>
              <w:t>NG-9</w:t>
            </w:r>
          </w:p>
        </w:tc>
        <w:tc>
          <w:tcPr>
            <w:tcW w:type="dxa" w:w="1474"/>
            <w:shd w:val="clear" w:color="auto" w:fill="F8FAFC"/>
          </w:tcPr>
          <w:p>
            <w:pPr>
              <w:spacing w:after="0" w:line="300" w:lineRule="auto"/>
            </w:pPr>
            <w:r>
              <w:t>新增</w:t>
            </w:r>
          </w:p>
        </w:tc>
        <w:tc>
          <w:tcPr>
            <w:tcW w:type="dxa" w:w="2721"/>
            <w:shd w:val="clear" w:color="auto" w:fill="F8FAFC"/>
          </w:tcPr>
          <w:p>
            <w:pPr>
              <w:spacing w:after="0" w:line="300" w:lineRule="auto"/>
            </w:pPr>
            <w:r>
              <w:t>（无）</w:t>
            </w:r>
          </w:p>
        </w:tc>
        <w:tc>
          <w:tcPr>
            <w:tcW w:type="dxa" w:w="2608"/>
            <w:shd w:val="clear" w:color="auto" w:fill="F8FAFC"/>
          </w:tcPr>
          <w:p>
            <w:pPr>
              <w:spacing w:after="0" w:line="300" w:lineRule="auto"/>
            </w:pPr>
            <w:r>
              <w:t>明确不做搜索引擎收录与 SEO 优化</w:t>
            </w:r>
          </w:p>
        </w:tc>
        <w:tc>
          <w:tcPr>
            <w:tcW w:type="dxa" w:w="1417"/>
            <w:shd w:val="clear" w:color="auto" w:fill="F8FAFC"/>
          </w:tcPr>
          <w:p>
            <w:pPr>
              <w:spacing w:after="0" w:line="300" w:lineRule="auto"/>
            </w:pPr>
            <w:r>
              <w:t>第 2 章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0" w:line="300" w:lineRule="auto"/>
            </w:pPr>
            <w:r>
              <w:t>NFR-14</w:t>
            </w:r>
          </w:p>
        </w:tc>
        <w:tc>
          <w:tcPr>
            <w:tcW w:type="dxa" w:w="1474"/>
          </w:tcPr>
          <w:p>
            <w:pPr>
              <w:spacing w:after="0" w:line="300" w:lineRule="auto"/>
            </w:pPr>
            <w:r>
              <w:t>新增</w:t>
            </w:r>
          </w:p>
        </w:tc>
        <w:tc>
          <w:tcPr>
            <w:tcW w:type="dxa" w:w="2721"/>
          </w:tcPr>
          <w:p>
            <w:pPr>
              <w:spacing w:after="0" w:line="300" w:lineRule="auto"/>
            </w:pPr>
            <w:r>
              <w:t>（无）</w:t>
            </w:r>
          </w:p>
        </w:tc>
        <w:tc>
          <w:tcPr>
            <w:tcW w:type="dxa" w:w="2608"/>
          </w:tcPr>
          <w:p>
            <w:pPr>
              <w:spacing w:after="0" w:line="300" w:lineRule="auto"/>
            </w:pPr>
            <w:r>
              <w:t>首屏 HTML + CSS + JS（gzip）≤ 150 KB；后台代码必须路由懒加载</w:t>
            </w:r>
          </w:p>
        </w:tc>
        <w:tc>
          <w:tcPr>
            <w:tcW w:type="dxa" w:w="1417"/>
          </w:tcPr>
          <w:p>
            <w:pPr>
              <w:spacing w:after="0" w:line="300" w:lineRule="auto"/>
            </w:pPr>
            <w:r>
              <w:t>第 7 章</w:t>
            </w:r>
          </w:p>
        </w:tc>
      </w:tr>
    </w:tbl>
    <w:p>
      <w:pPr>
        <w:keepLines/>
        <w:spacing w:after="40"/>
      </w:pPr>
      <w:r>
        <w:rPr>
          <w:rFonts w:ascii="微软雅黑" w:hAnsi="微软雅黑" w:eastAsia="微软雅黑"/>
          <w:color w:val="1E5CB8"/>
          <w:sz w:val="38"/>
        </w:rPr>
        <w:t>三项修订各自的理由：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1927"/>
        <w:gridCol w:w="7767"/>
      </w:tblGrid>
      <w:tr>
        <w:trPr>
          <w:cantSplit/>
          <w:tblHeader w:val="true"/>
        </w:trPr>
        <w:tc>
          <w:tcPr>
            <w:tcW w:type="dxa" w:w="1928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  <w:t>编号</w:t>
            </w:r>
          </w:p>
        </w:tc>
        <w:tc>
          <w:tcPr>
            <w:tcW w:type="dxa" w:w="7767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  <w:t>理由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 w:line="300" w:lineRule="auto"/>
            </w:pPr>
            <w:r>
              <w:t>FR-22 降级</w:t>
            </w:r>
          </w:p>
        </w:tc>
        <w:tc>
          <w:tcPr>
            <w:tcW w:type="dxa" w:w="7767"/>
          </w:tcPr>
          <w:p>
            <w:pPr>
              <w:spacing w:after="0" w:line="300" w:lineRule="auto"/>
            </w:pPr>
            <w:r>
              <w:t>纯 SPA 下 OG 标签对不执行 JavaScript 的客户端无效（微信、QQ 等分享场景不会看到卡片）；承诺一个做不到的验收标准，比不承诺更糟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8FAFC"/>
          </w:tcPr>
          <w:p>
            <w:pPr>
              <w:spacing w:after="0" w:line="300" w:lineRule="auto"/>
            </w:pPr>
            <w:r>
              <w:t>NG-9 新增</w:t>
            </w:r>
          </w:p>
        </w:tc>
        <w:tc>
          <w:tcPr>
            <w:tcW w:type="dxa" w:w="7767"/>
            <w:shd w:val="clear" w:color="auto" w:fill="F8FAFC"/>
          </w:tcPr>
          <w:p>
            <w:pPr>
              <w:spacing w:after="0" w:line="300" w:lineRule="auto"/>
            </w:pPr>
            <w:r>
              <w:t>读者只有我自己与面试官两类，都不经过搜索引擎；写进非目标，是为了在实现阶段抵御「顺手加个站点地图」这类零收益工作的吸引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 w:line="300" w:lineRule="auto"/>
            </w:pPr>
            <w:r>
              <w:t>NFR-14 新增</w:t>
            </w:r>
          </w:p>
        </w:tc>
        <w:tc>
          <w:tcPr>
            <w:tcW w:type="dxa" w:w="7767"/>
          </w:tcPr>
          <w:p>
            <w:pPr>
              <w:spacing w:after="0" w:line="300" w:lineRule="auto"/>
            </w:pPr>
            <w:r>
              <w:t>不做 SEO 意味着首屏完全依赖 JavaScript，因此首屏体积从「优化项」变成了决定可用性的硬指标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微软雅黑" w:hAnsi="微软雅黑" w:eastAsia="微软雅黑"/>
        <w:color w:val="6B7684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48" w:lineRule="auto"/>
    </w:pPr>
    <w:rPr>
      <w:rFonts w:ascii="微软雅黑" w:hAnsi="微软雅黑" w:eastAsia="微软雅黑"/>
      <w:color w:val="14181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20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0F2E4C"/>
      <w:sz w:val="3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E5CB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333D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560" w:line="240" w:lineRule="auto" w:before="80"/>
      <w:contextualSpacing/>
    </w:pPr>
    <w:rPr>
      <w:rFonts w:asciiTheme="majorHAnsi" w:eastAsiaTheme="majorEastAsia" w:hAnsiTheme="majorHAnsi" w:cstheme="majorBidi" w:ascii="微软雅黑" w:hAnsi="微软雅黑" w:eastAsia="微软雅黑"/>
      <w:b/>
      <w:color w:val="0F2E4C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