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24,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 - ADD DESCRIPTION</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(placeholder)</w:t>
      </w:r>
    </w:p>
    <w:p>
      <w:pPr>
        <w:pStyle w:val="ListBullet"/>
        <w:ind w:left="1080"/>
      </w:pPr>
      <w:r>
        <w:t>Final Certification of EIR for Housing Element General Plan Amendments, Rezoning, and Objective Development Standards; Adoption of General Plan amendments; Introduction of Rezoning Ordinance (placeholder)</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with State Law (placeholder)</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 ADD DESCRIPTION (placeholder)</w:t>
      </w:r>
    </w:p>
    <w:p>
      <w:pPr>
        <w:pStyle w:val="ListBullet"/>
        <w:spacing w:before="120"/>
        <w:ind w:left="360"/>
      </w:pPr>
      <w:r>
        <w:t>Consideration or Public Hearing:</w:t>
      </w:r>
    </w:p>
    <w:p>
      <w:pPr>
        <w:pStyle w:val="ListBullet"/>
        <w:ind w:left="1080"/>
      </w:pPr>
      <w:r>
        <w:t>SB 9 Ordinance Introduction - ADD DESCRIPTION (placeholder)</w:t>
      </w:r>
    </w:p>
    <w:p>
      <w:pPr>
        <w:pStyle w:val="ListBullet"/>
        <w:ind w:left="1080"/>
      </w:pPr>
      <w:r>
        <w:t>SB 684 Ordinance Introduction - ADD DESCRIPTION (placeholder)</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Continuance of Proclamation for Local Emergency Beach Blvd to Westline Dr. – Accept Updated Report</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25,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