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24,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2nd Reading &amp; Adoption of Ordinance - Housing Element EIR / Rezoning</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with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CAAP Task Force Charter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 Density Bonus Ordinance &amp; Compliance with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Acceptance of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25,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