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w:t>
      </w:r>
    </w:p>
    <w:p>
      <w:pPr>
        <w:pStyle w:val="ListBullet"/>
        <w:spacing w:before="120"/>
        <w:ind w:left="360"/>
      </w:pPr>
      <w:r>
        <w:t>Closed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2nd Reading &amp; Adoption of Ordinance - Housing Element EIR / Rezoning</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