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未来零售集团 - 数字化转型招标需求书 (绝密)</w:t>
      </w:r>
    </w:p>
    <w:p>
      <w:r>
        <w:t>项目编号: FR-2026-DX-001 | 版本: v2.4</w:t>
      </w:r>
    </w:p>
    <w:p>
      <w:pPr>
        <w:pStyle w:val="Heading1"/>
      </w:pPr>
      <w:r>
        <w:t>1. 集团概况与项目背景</w:t>
      </w:r>
    </w:p>
    <w:p>
      <w:r>
        <w:t>未来零售集团（Future Retail Group）成立于1998年，是大中华区领先的零售连锁企业...（此处省略 2000 字关于企业文化的描述）...未来零售集团（Future Retail Group）成立于1998年，是大中华区领先的零售连锁企业...（此处省略 2000 字关于企业文化的描述）...未来零售集团（Future Retail Group）成立于1998年，是大中华区领先的零售连锁企业...（此处省略 2000 字关于企业文化的描述）...未来零售集团（Future Retail Group）成立于1998年，是大中华区领先的零售连锁企业...（此处省略 2000 字关于企业文化的描述）...未来零售集团（Future Retail Group）成立于1998年，是大中华区领先的零售连锁企业...（此处省略 2000 字关于企业文化的描述）...未来零售集团（Future Retail Group）成立于1998年，是大中华区领先的零售连锁企业...（此处省略 2000 字关于企业文化的描述）...未来零售集团（Future Retail Group）成立于1998年，是大中华区领先的零售连锁企业...（此处省略 2000 字关于企业文化的描述）...未来零售集团（Future Retail Group）成立于1998年，是大中华区领先的零售连锁企业...（此处省略 2000 字关于企业文化的描述）...未来零售集团（Future Retail Group）成立于1998年，是大中华区领先的零售连锁企业...（此处省略 2000 字关于企业文化的描述）...未来零售集团（Future Retail Group）成立于1998年，是大中华区领先的零售连锁企业...（此处省略 2000 字关于企业文化的描述）...</w:t>
      </w:r>
    </w:p>
    <w:p>
      <w:r>
        <w:br w:type="page"/>
      </w:r>
    </w:p>
    <w:p>
      <w:pPr>
        <w:pStyle w:val="Heading1"/>
      </w:pPr>
      <w:r>
        <w:t>2. 业务痛点分析</w:t>
      </w:r>
    </w:p>
    <w:p>
      <w:r>
        <w:t>当前主要面临库存孤岛、数据延迟、补货不及时等核心问题。当前主要面临库存孤岛、数据延迟、补货不及时等核心问题。当前主要面临库存孤岛、数据延迟、补货不及时等核心问题。当前主要面临库存孤岛、数据延迟、补货不及时等核心问题。当前主要面临库存孤岛、数据延迟、补货不及时等核心问题。当前主要面临库存孤岛、数据延迟、补货不及时等核心问题。当前主要面临库存孤岛、数据延迟、补货不及时等核心问题。当前主要面临库存孤岛、数据延迟、补货不及时等核心问题。当前主要面临库存孤岛、数据延迟、补货不及时等核心问题。当前主要面临库存孤岛、数据延迟、补货不及时等核心问题。当前主要面临库存孤岛、数据延迟、补货不及时等核心问题。当前主要面临库存孤岛、数据延迟、补货不及时等核心问题。当前主要面临库存孤岛、数据延迟、补货不及时等核心问题。当前主要面临库存孤岛、数据延迟、补货不及时等核心问题。当前主要面临库存孤岛、数据延迟、补货不及时等核心问题。当前主要面临库存孤岛、数据延迟、补货不及时等核心问题。当前主要面临库存孤岛、数据延迟、补货不及时等核心问题。当前主要面临库存孤岛、数据延迟、补货不及时等核心问题。当前主要面临库存孤岛、数据延迟、补货不及时等核心问题。当前主要面临库存孤岛、数据延迟、补货不及时等核心问题。</w:t>
      </w:r>
    </w:p>
    <w:p>
      <w:r>
        <w:br w:type="page"/>
      </w:r>
    </w:p>
    <w:p>
      <w:pPr>
        <w:pStyle w:val="Heading1"/>
      </w:pPr>
      <w:r>
        <w:t>3. 核心技术指标 (KPIs)</w:t>
      </w:r>
    </w:p>
    <w:p>
      <w:r>
        <w:t>本章节规定了乙方系统必须达到的硬性指标：</w:t>
      </w:r>
    </w:p>
    <w:p>
      <w:r>
        <w:rPr>
          <w:b/>
        </w:rPr>
        <w:t xml:space="preserve">R1 (性能要求): </w:t>
      </w:r>
      <w:r>
        <w:t>系统需支持不少于 10,000,000 (千万级) SKU 的数据吞吐。在高并发场景下，单次库存查询接口的响应时间 (P99) 必须小于 100ms。</w:t>
      </w:r>
    </w:p>
    <w:p>
      <w:r>
        <w:rPr>
          <w:b/>
        </w:rPr>
        <w:t xml:space="preserve">R2 (智能化要求): </w:t>
      </w:r>
      <w:r>
        <w:t>系统应内置基于 Transformer 或同类先进算法的销量预测模型。模型需具备自学习能力，能根据过去 3 年的历史销售数据，自动生成各门店的周度补货建议。</w:t>
      </w:r>
    </w:p>
    <w:p>
      <w:r>
        <w:br w:type="page"/>
      </w:r>
    </w:p>
    <w:p>
      <w:pPr>
        <w:pStyle w:val="Heading1"/>
      </w:pPr>
      <w:r>
        <w:t>4. 数据安全合规</w:t>
      </w:r>
    </w:p>
    <w:p>
      <w:r>
        <w:t>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w:t>
      </w:r>
    </w:p>
    <w:p>
      <w:r>
        <w:br w:type="page"/>
      </w:r>
    </w:p>
    <w:p>
      <w:pPr>
        <w:pStyle w:val="Heading1"/>
      </w:pPr>
      <w:r>
        <w:t>5. 项目交付标准</w:t>
      </w:r>
    </w:p>
    <w:p>
      <w:r>
        <w:t>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w:t>
      </w:r>
    </w:p>
    <w:p>
      <w:r>
        <w:br w:type="page"/>
      </w:r>
    </w:p>
    <w:p>
      <w:pPr>
        <w:pStyle w:val="Heading1"/>
      </w:pPr>
      <w:r>
        <w:t>6. 验收流程</w:t>
      </w:r>
    </w:p>
    <w:p>
      <w:r>
        <w:t>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w:t>
      </w:r>
    </w:p>
    <w:p>
      <w:r>
        <w:br w:type="page"/>
      </w:r>
    </w:p>
    <w:p>
      <w:pPr>
        <w:pStyle w:val="Heading1"/>
      </w:pPr>
      <w:r>
        <w:t>7. 知识产权声明</w:t>
      </w:r>
    </w:p>
    <w:p>
      <w:r>
        <w:t>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管控规范...本条款遵循《中华人民共和国数据安全法》及集团内部 IT 管控规范...</w:t>
      </w:r>
    </w:p>
    <w:p>
      <w:r>
        <w:br w:type="page"/>
      </w:r>
    </w:p>
    <w:p>
      <w:pPr>
        <w:pStyle w:val="Heading1"/>
      </w:pPr>
      <w:r>
        <w:t>8. 部署与环境要求</w:t>
      </w:r>
    </w:p>
    <w:p>
      <w:r>
        <w:rPr>
          <w:b/>
        </w:rPr>
        <w:t xml:space="preserve">R3 (环境约束): </w:t>
      </w:r>
      <w:r>
        <w:t>鉴于零售数据的敏感性，本项目不支持任何形式的公有云 SaaS 部署。乙方必须提供全套私有化部署方案（On-Premise），且所有数据传输和存储必须在集团内网完成。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