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987BCE" w14:textId="77777777" w:rsidR="00B067A9" w:rsidRDefault="00000000">
      <w:pPr>
        <w:pStyle w:val="Title"/>
        <w:jc w:val="center"/>
      </w:pPr>
      <w:r>
        <w:rPr>
          <w:rFonts w:ascii="Arial" w:eastAsia="Arial" w:hAnsi="Arial"/>
        </w:rPr>
        <w:t>Point-by-Point Rebuttal</w:t>
      </w:r>
    </w:p>
    <w:p w14:paraId="7AD263C7" w14:textId="77777777" w:rsidR="00B067A9" w:rsidRDefault="00000000">
      <w:pPr>
        <w:spacing w:after="140"/>
        <w:jc w:val="center"/>
      </w:pPr>
      <w:r>
        <w:rPr>
          <w:b/>
          <w:color w:val="37465A"/>
          <w:sz w:val="24"/>
        </w:rPr>
        <w:t>Keep Agent Benchmark Claims Aligned With Work</w:t>
      </w:r>
    </w:p>
    <w:p w14:paraId="744AB03E" w14:textId="77777777" w:rsidR="00B067A9" w:rsidRDefault="00000000">
      <w:pPr>
        <w:spacing w:after="140" w:line="250" w:lineRule="auto"/>
      </w:pPr>
      <w:r>
        <w:t>Posting note. Each response below is written to stand on its own and can be posted as a separate OpenReview reply. We have not compressed the reasoning to an arbitrary character target. The goal is to answer the reviewer’s actual concern, state the strongest competing view fairly, show the evidence, and identify the corresponding manuscript change.</w:t>
      </w:r>
    </w:p>
    <w:p w14:paraId="70582A64" w14:textId="77777777" w:rsidR="00B067A9" w:rsidRDefault="00000000">
      <w:pPr>
        <w:pStyle w:val="Heading1"/>
      </w:pPr>
      <w:r>
        <w:t>Area Chair</w:t>
      </w:r>
    </w:p>
    <w:p w14:paraId="38450D08" w14:textId="77777777" w:rsidR="008B1180" w:rsidRPr="008B1180" w:rsidRDefault="008B1180" w:rsidP="008B1180">
      <w:pPr>
        <w:rPr>
          <w:b/>
          <w:color w:val="23374E"/>
          <w:sz w:val="21"/>
        </w:rPr>
      </w:pPr>
      <w:r w:rsidRPr="008B1180">
        <w:rPr>
          <w:b/>
          <w:color w:val="23374E"/>
          <w:sz w:val="21"/>
        </w:rPr>
        <w:t xml:space="preserve">W1. The reviewers’ core concern is limited novel insight. Reviewer </w:t>
      </w:r>
      <w:proofErr w:type="spellStart"/>
      <w:r w:rsidRPr="008B1180">
        <w:rPr>
          <w:b/>
          <w:color w:val="23374E"/>
          <w:sz w:val="21"/>
        </w:rPr>
        <w:t>usAz</w:t>
      </w:r>
      <w:proofErr w:type="spellEnd"/>
      <w:r w:rsidRPr="008B1180">
        <w:rPr>
          <w:b/>
          <w:color w:val="23374E"/>
          <w:sz w:val="21"/>
        </w:rPr>
        <w:t xml:space="preserve"> commented that the paper "adds little to the existing discussion on benchmark applicability, validity, and limitations" and suggested several recent works that have already discussed such issues, while Reviewer M9VA commented that "this isn't the first time generalizations in reporting lead to misguided benchmarking practices".</w:t>
      </w:r>
    </w:p>
    <w:p w14:paraId="3948AEB2" w14:textId="77777777" w:rsidR="00B067A9" w:rsidRDefault="00000000">
      <w:pPr>
        <w:spacing w:after="60" w:line="250" w:lineRule="auto"/>
      </w:pPr>
      <w:r>
        <w:t>Thank you. The submitted version did not make the contribution concrete enough. We agree that “benchmarks should have construct validity” is established measurement guidance, not a new position. We also agree that mapping benchmark tasks to occupations or skills is no longer sufficient by itself. Our contribution is a work-specific representation that connects five objects that are usually discussed separately: the work activity, the tested setting, the product the receiving workflow requires, the object the benchmark actually scores, and the strongest claim that score can support.</w:t>
      </w:r>
    </w:p>
    <w:p w14:paraId="3462AECB" w14:textId="77777777" w:rsidR="00B067A9" w:rsidRDefault="00000000">
      <w:pPr>
        <w:spacing w:after="60" w:line="250" w:lineRule="auto"/>
      </w:pPr>
      <w:r>
        <w:t>This representation produces two outputs that the prior papers do not provide. First, it derives a checkable interpretation for an individual benchmark score. Second, it allows benchmarks with different names, environments, and task counts to be compared horizontally using the same work-level terms. A “workplace,” “enterprise,” or “knowledge-work” benchmark may test interface procedures, database state changes, a final answer, an executable artifact, or a professional deliverable. Those scored objects are not interchangeable. Naming the shared activity and the receiving product makes the difference visible.</w:t>
      </w:r>
    </w:p>
    <w:tbl>
      <w:tblPr>
        <w:tblStyle w:val="TableGrid"/>
        <w:tblW w:w="0" w:type="auto"/>
        <w:jc w:val="center"/>
        <w:tblLook w:val="04A0" w:firstRow="1" w:lastRow="0" w:firstColumn="1" w:lastColumn="0" w:noHBand="0" w:noVBand="1"/>
      </w:tblPr>
      <w:tblGrid>
        <w:gridCol w:w="1742"/>
        <w:gridCol w:w="2983"/>
        <w:gridCol w:w="2662"/>
        <w:gridCol w:w="3247"/>
      </w:tblGrid>
      <w:tr w:rsidR="00B067A9" w14:paraId="74E81815" w14:textId="77777777">
        <w:trPr>
          <w:tblHeader/>
          <w:jc w:val="center"/>
        </w:trPr>
        <w:tc>
          <w:tcPr>
            <w:tcW w:w="1800" w:type="dxa"/>
            <w:shd w:val="clear" w:color="auto" w:fill="D9E4F0"/>
            <w:tcMar>
              <w:top w:w="80" w:type="dxa"/>
              <w:left w:w="90" w:type="dxa"/>
              <w:bottom w:w="80" w:type="dxa"/>
              <w:right w:w="90" w:type="dxa"/>
            </w:tcMar>
            <w:vAlign w:val="center"/>
          </w:tcPr>
          <w:p w14:paraId="48D875AA" w14:textId="77777777" w:rsidR="00B067A9" w:rsidRDefault="00000000">
            <w:r>
              <w:rPr>
                <w:b/>
                <w:color w:val="192D44"/>
                <w:sz w:val="16"/>
              </w:rPr>
              <w:t>Analysis</w:t>
            </w:r>
          </w:p>
        </w:tc>
        <w:tc>
          <w:tcPr>
            <w:tcW w:w="3096" w:type="dxa"/>
            <w:shd w:val="clear" w:color="auto" w:fill="D9E4F0"/>
            <w:tcMar>
              <w:top w:w="80" w:type="dxa"/>
              <w:left w:w="90" w:type="dxa"/>
              <w:bottom w:w="80" w:type="dxa"/>
              <w:right w:w="90" w:type="dxa"/>
            </w:tcMar>
            <w:vAlign w:val="center"/>
          </w:tcPr>
          <w:p w14:paraId="3326E562" w14:textId="77777777" w:rsidR="00B067A9" w:rsidRDefault="00000000">
            <w:r>
              <w:rPr>
                <w:b/>
                <w:color w:val="192D44"/>
                <w:sz w:val="16"/>
              </w:rPr>
              <w:t>Question it is designed to answer</w:t>
            </w:r>
          </w:p>
        </w:tc>
        <w:tc>
          <w:tcPr>
            <w:tcW w:w="2736" w:type="dxa"/>
            <w:shd w:val="clear" w:color="auto" w:fill="D9E4F0"/>
            <w:tcMar>
              <w:top w:w="80" w:type="dxa"/>
              <w:left w:w="90" w:type="dxa"/>
              <w:bottom w:w="80" w:type="dxa"/>
              <w:right w:w="90" w:type="dxa"/>
            </w:tcMar>
            <w:vAlign w:val="center"/>
          </w:tcPr>
          <w:p w14:paraId="763AA648" w14:textId="77777777" w:rsidR="00B067A9" w:rsidRDefault="00000000">
            <w:r>
              <w:rPr>
                <w:b/>
                <w:color w:val="192D44"/>
                <w:sz w:val="16"/>
              </w:rPr>
              <w:t>Output</w:t>
            </w:r>
          </w:p>
        </w:tc>
        <w:tc>
          <w:tcPr>
            <w:tcW w:w="3312" w:type="dxa"/>
            <w:shd w:val="clear" w:color="auto" w:fill="D9E4F0"/>
            <w:tcMar>
              <w:top w:w="80" w:type="dxa"/>
              <w:left w:w="90" w:type="dxa"/>
              <w:bottom w:w="80" w:type="dxa"/>
              <w:right w:w="90" w:type="dxa"/>
            </w:tcMar>
            <w:vAlign w:val="center"/>
          </w:tcPr>
          <w:p w14:paraId="430A1583" w14:textId="77777777" w:rsidR="00B067A9" w:rsidRDefault="00000000">
            <w:r>
              <w:rPr>
                <w:b/>
                <w:color w:val="192D44"/>
                <w:sz w:val="16"/>
              </w:rPr>
              <w:t>What the work-specific representation adds</w:t>
            </w:r>
          </w:p>
        </w:tc>
      </w:tr>
      <w:tr w:rsidR="00B067A9" w14:paraId="66B7E644" w14:textId="77777777">
        <w:trPr>
          <w:cantSplit/>
          <w:jc w:val="center"/>
        </w:trPr>
        <w:tc>
          <w:tcPr>
            <w:tcW w:w="1800" w:type="dxa"/>
            <w:tcMar>
              <w:top w:w="80" w:type="dxa"/>
              <w:left w:w="90" w:type="dxa"/>
              <w:bottom w:w="80" w:type="dxa"/>
              <w:right w:w="90" w:type="dxa"/>
            </w:tcMar>
          </w:tcPr>
          <w:p w14:paraId="06F0C123" w14:textId="77777777" w:rsidR="00B067A9" w:rsidRDefault="00000000">
            <w:r>
              <w:rPr>
                <w:sz w:val="16"/>
              </w:rPr>
              <w:t>Bean et al. (2025)</w:t>
            </w:r>
          </w:p>
        </w:tc>
        <w:tc>
          <w:tcPr>
            <w:tcW w:w="3096" w:type="dxa"/>
            <w:tcMar>
              <w:top w:w="80" w:type="dxa"/>
              <w:left w:w="90" w:type="dxa"/>
              <w:bottom w:w="80" w:type="dxa"/>
              <w:right w:w="90" w:type="dxa"/>
            </w:tcMar>
          </w:tcPr>
          <w:p w14:paraId="5D2E1795" w14:textId="77777777" w:rsidR="00B067A9" w:rsidRDefault="00000000">
            <w:r>
              <w:rPr>
                <w:sz w:val="16"/>
              </w:rPr>
              <w:t>Does the phenomenon–task–metric–claim chain support the intended construct interpretation?</w:t>
            </w:r>
          </w:p>
        </w:tc>
        <w:tc>
          <w:tcPr>
            <w:tcW w:w="2736" w:type="dxa"/>
            <w:tcMar>
              <w:top w:w="80" w:type="dxa"/>
              <w:left w:w="90" w:type="dxa"/>
              <w:bottom w:w="80" w:type="dxa"/>
              <w:right w:w="90" w:type="dxa"/>
            </w:tcMar>
          </w:tcPr>
          <w:p w14:paraId="4C4B8DFD" w14:textId="77777777" w:rsidR="00B067A9" w:rsidRDefault="00000000">
            <w:r>
              <w:rPr>
                <w:sz w:val="16"/>
              </w:rPr>
              <w:t>General construct-validity analysis and benchmark-development recommendations.</w:t>
            </w:r>
          </w:p>
        </w:tc>
        <w:tc>
          <w:tcPr>
            <w:tcW w:w="3312" w:type="dxa"/>
            <w:tcMar>
              <w:top w:w="80" w:type="dxa"/>
              <w:left w:w="90" w:type="dxa"/>
              <w:bottom w:w="80" w:type="dxa"/>
              <w:right w:w="90" w:type="dxa"/>
            </w:tcMar>
          </w:tcPr>
          <w:p w14:paraId="0992FB1B" w14:textId="77777777" w:rsidR="00B067A9" w:rsidRDefault="00000000">
            <w:r>
              <w:rPr>
                <w:sz w:val="16"/>
              </w:rPr>
              <w:t>A domain theory for work claims: activity, materials/tools/role/workflow, receiving product, scored object, and claim boundary.</w:t>
            </w:r>
          </w:p>
        </w:tc>
      </w:tr>
      <w:tr w:rsidR="00B067A9" w14:paraId="44813399" w14:textId="77777777">
        <w:trPr>
          <w:cantSplit/>
          <w:jc w:val="center"/>
        </w:trPr>
        <w:tc>
          <w:tcPr>
            <w:tcW w:w="1800" w:type="dxa"/>
            <w:shd w:val="clear" w:color="auto" w:fill="F7F9FB"/>
            <w:tcMar>
              <w:top w:w="80" w:type="dxa"/>
              <w:left w:w="90" w:type="dxa"/>
              <w:bottom w:w="80" w:type="dxa"/>
              <w:right w:w="90" w:type="dxa"/>
            </w:tcMar>
          </w:tcPr>
          <w:p w14:paraId="3809A608" w14:textId="77777777" w:rsidR="00B067A9" w:rsidRDefault="00000000">
            <w:r>
              <w:rPr>
                <w:sz w:val="16"/>
              </w:rPr>
              <w:t>Wang et al. (2026)</w:t>
            </w:r>
          </w:p>
        </w:tc>
        <w:tc>
          <w:tcPr>
            <w:tcW w:w="3096" w:type="dxa"/>
            <w:shd w:val="clear" w:color="auto" w:fill="F7F9FB"/>
            <w:tcMar>
              <w:top w:w="80" w:type="dxa"/>
              <w:left w:w="90" w:type="dxa"/>
              <w:bottom w:w="80" w:type="dxa"/>
              <w:right w:w="90" w:type="dxa"/>
            </w:tcMar>
          </w:tcPr>
          <w:p w14:paraId="653346E3" w14:textId="77777777" w:rsidR="00B067A9" w:rsidRDefault="00000000">
            <w:r>
              <w:rPr>
                <w:sz w:val="16"/>
              </w:rPr>
              <w:t>How do 43 agent benchmarks and 72,342 tasks align with occupational domains, skills, employment, economic allocation, realism, and autonomy?</w:t>
            </w:r>
          </w:p>
        </w:tc>
        <w:tc>
          <w:tcPr>
            <w:tcW w:w="2736" w:type="dxa"/>
            <w:shd w:val="clear" w:color="auto" w:fill="F7F9FB"/>
            <w:tcMar>
              <w:top w:w="80" w:type="dxa"/>
              <w:left w:w="90" w:type="dxa"/>
              <w:bottom w:w="80" w:type="dxa"/>
              <w:right w:w="90" w:type="dxa"/>
            </w:tcMar>
          </w:tcPr>
          <w:p w14:paraId="7B336554" w14:textId="77777777" w:rsidR="00B067A9" w:rsidRDefault="00000000">
            <w:r>
              <w:rPr>
                <w:sz w:val="16"/>
              </w:rPr>
              <w:t>Portfolio-level map of where agent-evaluation effort is concentrated.</w:t>
            </w:r>
          </w:p>
        </w:tc>
        <w:tc>
          <w:tcPr>
            <w:tcW w:w="3312" w:type="dxa"/>
            <w:shd w:val="clear" w:color="auto" w:fill="F7F9FB"/>
            <w:tcMar>
              <w:top w:w="80" w:type="dxa"/>
              <w:left w:w="90" w:type="dxa"/>
              <w:bottom w:w="80" w:type="dxa"/>
              <w:right w:w="90" w:type="dxa"/>
            </w:tcMar>
          </w:tcPr>
          <w:p w14:paraId="7DC332CF" w14:textId="77777777" w:rsidR="00B067A9" w:rsidRDefault="00000000">
            <w:r>
              <w:rPr>
                <w:sz w:val="16"/>
              </w:rPr>
              <w:t>An item- and benchmark-level interpretation of what one score certifies, and a common basis for comparing different benchmark products.</w:t>
            </w:r>
          </w:p>
        </w:tc>
      </w:tr>
      <w:tr w:rsidR="00B067A9" w14:paraId="63C8D55C" w14:textId="77777777">
        <w:trPr>
          <w:cantSplit/>
          <w:jc w:val="center"/>
        </w:trPr>
        <w:tc>
          <w:tcPr>
            <w:tcW w:w="1800" w:type="dxa"/>
            <w:tcMar>
              <w:top w:w="80" w:type="dxa"/>
              <w:left w:w="90" w:type="dxa"/>
              <w:bottom w:w="80" w:type="dxa"/>
              <w:right w:w="90" w:type="dxa"/>
            </w:tcMar>
          </w:tcPr>
          <w:p w14:paraId="2BA54CED" w14:textId="77777777" w:rsidR="00B067A9" w:rsidRDefault="00000000">
            <w:r>
              <w:rPr>
                <w:sz w:val="16"/>
              </w:rPr>
              <w:t>This paper</w:t>
            </w:r>
          </w:p>
        </w:tc>
        <w:tc>
          <w:tcPr>
            <w:tcW w:w="3096" w:type="dxa"/>
            <w:tcMar>
              <w:top w:w="80" w:type="dxa"/>
              <w:left w:w="90" w:type="dxa"/>
              <w:bottom w:w="80" w:type="dxa"/>
              <w:right w:w="90" w:type="dxa"/>
            </w:tcMar>
          </w:tcPr>
          <w:p w14:paraId="7F84D97D" w14:textId="77777777" w:rsidR="00B067A9" w:rsidRDefault="00000000">
            <w:r>
              <w:rPr>
                <w:sz w:val="16"/>
              </w:rPr>
              <w:t>What work claim follows from the exact activity, setting, required product, and scored evidence?</w:t>
            </w:r>
          </w:p>
        </w:tc>
        <w:tc>
          <w:tcPr>
            <w:tcW w:w="2736" w:type="dxa"/>
            <w:tcMar>
              <w:top w:w="80" w:type="dxa"/>
              <w:left w:w="90" w:type="dxa"/>
              <w:bottom w:w="80" w:type="dxa"/>
              <w:right w:w="90" w:type="dxa"/>
            </w:tcMar>
          </w:tcPr>
          <w:p w14:paraId="269895DC" w14:textId="77777777" w:rsidR="00B067A9" w:rsidRDefault="00000000">
            <w:r>
              <w:rPr>
                <w:sz w:val="16"/>
              </w:rPr>
              <w:t>A bounded claim and an explicit account of what remains untested.</w:t>
            </w:r>
          </w:p>
        </w:tc>
        <w:tc>
          <w:tcPr>
            <w:tcW w:w="3312" w:type="dxa"/>
            <w:tcMar>
              <w:top w:w="80" w:type="dxa"/>
              <w:left w:w="90" w:type="dxa"/>
              <w:bottom w:w="80" w:type="dxa"/>
              <w:right w:w="90" w:type="dxa"/>
            </w:tcMar>
          </w:tcPr>
          <w:p w14:paraId="46B9DFBB" w14:textId="77777777" w:rsidR="00B067A9" w:rsidRDefault="00000000">
            <w:r>
              <w:rPr>
                <w:sz w:val="16"/>
              </w:rPr>
              <w:t>Identifies when endpoint success does not secure required material use, provenance, role boundaries, artifact state, or downstream handoff.</w:t>
            </w:r>
          </w:p>
        </w:tc>
      </w:tr>
    </w:tbl>
    <w:p w14:paraId="2AAE0EC1" w14:textId="77777777" w:rsidR="00B067A9" w:rsidRDefault="00B067A9">
      <w:pPr>
        <w:spacing w:after="0"/>
      </w:pPr>
    </w:p>
    <w:p w14:paraId="7278BDE7" w14:textId="523CC00F" w:rsidR="00B067A9" w:rsidRDefault="001852E1">
      <w:pPr>
        <w:spacing w:after="60" w:line="250" w:lineRule="auto"/>
      </w:pPr>
      <w:r>
        <w:t>Take the example of the</w:t>
      </w:r>
      <w:r w:rsidR="00000000">
        <w:t xml:space="preserve"> released APEX-SWE S3 task</w:t>
      </w:r>
      <w:r>
        <w:t>: t</w:t>
      </w:r>
      <w:r w:rsidR="00000000">
        <w:t>he task prompt and rubric require use of the supplied users.csv. The reference solution, however, constructs hard-coded user rows, and the executable tests verify that the script runs, writes to the required S3 path, contains the expected columns, and produces nonempty output; they do not verify row-level correspondence with users.csv. A generic validity analysis can identify a possible task–metric mismatch, and a labor-market map can classify the task as software or information work. Our representation determines why the mismatch matters for a work claim: the required material is part of the tested setting, the receiving product is a runnable script plus an S3 state change, and the tests secure endpoint success more strongly than source provenance. The score therefore supports the claim that the agent completed this specified integration ticket in the supplied environment. It does not, on its own, establish that the agent used the required source correctly or performed the full production software-engineering lifecycle.</w:t>
      </w:r>
    </w:p>
    <w:p w14:paraId="1D1A452D" w14:textId="77777777" w:rsidR="00B067A9" w:rsidRDefault="00000000">
      <w:pPr>
        <w:spacing w:after="60" w:line="250" w:lineRule="auto"/>
      </w:pPr>
      <w:r>
        <w:t xml:space="preserve">The same vocabulary also supports horizontal comparison. WorkArena, WorkBench, AssistantBench, EnterpriseBench, OfficeQA Pro, and APEX-SWE all concern agents doing work, but their success objects differ: page or database state, a closed-form answer, a cross-application state transition, a reviewable analysis package, or </w:t>
      </w:r>
      <w:r>
        <w:lastRenderedPageBreak/>
        <w:t>executable code plus service state. The representation shows which benchmarks test the same operation under different settings and which benchmarks share a broad label while supporting different claims. That is a substantive analytical output, not a restatement of good reporting practice.</w:t>
      </w:r>
    </w:p>
    <w:p w14:paraId="13DC8560" w14:textId="2BEBD398" w:rsidR="00B067A9" w:rsidRDefault="00000000">
      <w:pPr>
        <w:keepLines/>
        <w:shd w:val="clear" w:color="auto" w:fill="F6F6F6"/>
        <w:spacing w:before="60" w:after="100"/>
        <w:ind w:left="173" w:right="173"/>
      </w:pPr>
      <w:r>
        <w:rPr>
          <w:b/>
          <w:sz w:val="19"/>
        </w:rPr>
        <w:t xml:space="preserve">Manuscript revision. </w:t>
      </w:r>
      <w:r>
        <w:rPr>
          <w:i/>
          <w:sz w:val="19"/>
        </w:rPr>
        <w:t>We replace</w:t>
      </w:r>
      <w:r w:rsidR="001852E1">
        <w:rPr>
          <w:i/>
          <w:sz w:val="19"/>
        </w:rPr>
        <w:t>d</w:t>
      </w:r>
      <w:r>
        <w:rPr>
          <w:i/>
          <w:sz w:val="19"/>
        </w:rPr>
        <w:t xml:space="preserve"> the abstract novelty assertion with the worked APEX-SWE comparison, state horizontal benchmark comparison as a second contribution, and define the paper’s output as a work-claim representation and inference procedure rather than generic validity advice.</w:t>
      </w:r>
    </w:p>
    <w:p w14:paraId="0DF565EE" w14:textId="77777777" w:rsidR="00B067A9" w:rsidRDefault="00000000">
      <w:pPr>
        <w:spacing w:before="40" w:after="20"/>
      </w:pPr>
      <w:r>
        <w:rPr>
          <w:b/>
          <w:color w:val="3C3C3C"/>
          <w:sz w:val="18"/>
        </w:rPr>
        <w:t>References cited in this reply</w:t>
      </w:r>
    </w:p>
    <w:p w14:paraId="1A541BD4" w14:textId="77777777" w:rsidR="00B067A9" w:rsidRDefault="00000000">
      <w:pPr>
        <w:spacing w:after="30" w:line="240" w:lineRule="auto"/>
        <w:ind w:left="317" w:hanging="230"/>
      </w:pPr>
      <w:r>
        <w:rPr>
          <w:color w:val="414141"/>
          <w:sz w:val="16"/>
        </w:rPr>
        <w:t>[W1-1] Bean, A. M., et al. (2025). Measuring What Matters: Construct Validity in Large Language Model Benchmarks. NeurIPS 2025 Datasets and Benchmarks Track.</w:t>
      </w:r>
    </w:p>
    <w:p w14:paraId="27BC489E" w14:textId="77777777" w:rsidR="00B067A9" w:rsidRDefault="00000000">
      <w:pPr>
        <w:spacing w:after="30" w:line="240" w:lineRule="auto"/>
        <w:ind w:left="317" w:hanging="230"/>
      </w:pPr>
      <w:r>
        <w:rPr>
          <w:color w:val="414141"/>
          <w:sz w:val="16"/>
        </w:rPr>
        <w:t>[W1-2] Wang, Z. Z., et al. (2026). How Well Does Agent Development Reflect Real-World Work? arXiv:2603.01203.</w:t>
      </w:r>
    </w:p>
    <w:p w14:paraId="7D3A9C81" w14:textId="77777777" w:rsidR="00B067A9" w:rsidRDefault="00000000">
      <w:pPr>
        <w:spacing w:after="30" w:line="240" w:lineRule="auto"/>
        <w:ind w:left="317" w:hanging="230"/>
      </w:pPr>
      <w:r>
        <w:rPr>
          <w:color w:val="414141"/>
          <w:sz w:val="16"/>
        </w:rPr>
        <w:t>[W1-3] Kane, M. T. (2013). Validating the Interpretations and Uses of Test Scores. Journal of Educational Measurement, 50(1), 1–73. https://doi.org/10.1111/jedm.12000.</w:t>
      </w:r>
    </w:p>
    <w:p w14:paraId="4C92E92A" w14:textId="77777777" w:rsidR="00B067A9" w:rsidRDefault="00000000">
      <w:pPr>
        <w:spacing w:after="30" w:line="240" w:lineRule="auto"/>
        <w:ind w:left="317" w:hanging="230"/>
      </w:pPr>
      <w:r>
        <w:rPr>
          <w:color w:val="414141"/>
          <w:sz w:val="16"/>
        </w:rPr>
        <w:t>[W1-4] Kottamasu, A., et al. (2026). APEX-SWE. arXiv:2601.08806.</w:t>
      </w:r>
    </w:p>
    <w:p w14:paraId="3B07C41A" w14:textId="77777777" w:rsidR="00B067A9" w:rsidRDefault="00000000">
      <w:pPr>
        <w:spacing w:after="30" w:line="240" w:lineRule="auto"/>
        <w:ind w:left="317" w:hanging="230"/>
        <w:rPr>
          <w:color w:val="414141"/>
          <w:sz w:val="16"/>
        </w:rPr>
      </w:pPr>
      <w:r>
        <w:rPr>
          <w:color w:val="414141"/>
          <w:sz w:val="16"/>
        </w:rPr>
        <w:t>[W1-5] Mercor (2026). APEX-SWE open-source task suite, Integration/1-aws-s3-snapshots, task specification, rubric, tests, and reference solution.</w:t>
      </w:r>
    </w:p>
    <w:p w14:paraId="5DD50DEF" w14:textId="77777777" w:rsidR="008B1180" w:rsidRDefault="008B1180">
      <w:pPr>
        <w:spacing w:after="30" w:line="240" w:lineRule="auto"/>
        <w:ind w:left="317" w:hanging="230"/>
      </w:pPr>
    </w:p>
    <w:p w14:paraId="023D63CD" w14:textId="77777777" w:rsidR="008B1180" w:rsidRPr="008B1180" w:rsidRDefault="008B1180" w:rsidP="008B1180">
      <w:pPr>
        <w:rPr>
          <w:b/>
          <w:color w:val="23374E"/>
          <w:sz w:val="21"/>
        </w:rPr>
      </w:pPr>
      <w:r w:rsidRPr="008B1180">
        <w:rPr>
          <w:b/>
          <w:color w:val="23374E"/>
          <w:sz w:val="21"/>
        </w:rPr>
        <w:t>W2. The argued position appears to apply to agentic tasks in general and not necessarily just agentic knowledge tasks. The authors should clarify the uniqueness about knowledge tasks that is not a part of general agentic systems/tasks to justify the scope of the argument (Reviewer M9VA).</w:t>
      </w:r>
    </w:p>
    <w:p w14:paraId="0037DADE"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We agree that parts of the framework may generalize to other agent tasks. That does not make the knowledge-work scope arbitrary. The three steps were derived from theories of knowledge work, and each step follows from a specific property of knowledge work identified in that literature.</w:t>
      </w:r>
    </w:p>
    <w:p w14:paraId="79D41777"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Knowledge-work theories treat knowing as an active and situated accomplishment rather than a fixed body of information. Blackler describes knowing as mediated, situated, provisional, pragmatic, and contested. Orlikowski similarly argues that organizational knowing is enacted through practice and depends on the materials, roles, routines, and conditions through which work is carried out.</w:t>
      </w:r>
    </w:p>
    <w:p w14:paraId="58951F80"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This leads directly to our three-step proposal.</w:t>
      </w:r>
    </w:p>
    <w:p w14:paraId="6BE64F88"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First, </w:t>
      </w:r>
      <w:r w:rsidRPr="00EC082D">
        <w:rPr>
          <w:rFonts w:ascii="Times New Roman" w:eastAsia="Times New Roman" w:hAnsi="Times New Roman" w:cs="Times New Roman"/>
          <w:b/>
          <w:bCs/>
          <w:szCs w:val="20"/>
          <w:lang w:eastAsia="zh-CN"/>
        </w:rPr>
        <w:t>name the work activity</w:t>
      </w:r>
      <w:r w:rsidRPr="00EC082D">
        <w:rPr>
          <w:rFonts w:ascii="Times New Roman" w:eastAsia="Times New Roman" w:hAnsi="Times New Roman" w:cs="Times New Roman"/>
          <w:szCs w:val="20"/>
          <w:lang w:eastAsia="zh-CN"/>
        </w:rPr>
        <w:t>. Occupation-specific tasks may use very different language while relying on the same underlying knowledge operation, such as analyzing evidence, appraising a case, advising, or documenting a decision. Naming the activity makes that shared construct visible and allows benchmarks to be compared horizontally.</w:t>
      </w:r>
    </w:p>
    <w:p w14:paraId="7D861308"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Second, </w:t>
      </w:r>
      <w:r w:rsidRPr="00EC082D">
        <w:rPr>
          <w:rFonts w:ascii="Times New Roman" w:eastAsia="Times New Roman" w:hAnsi="Times New Roman" w:cs="Times New Roman"/>
          <w:b/>
          <w:bCs/>
          <w:szCs w:val="20"/>
          <w:lang w:eastAsia="zh-CN"/>
        </w:rPr>
        <w:t>specify the tested setting</w:t>
      </w:r>
      <w:r w:rsidRPr="00EC082D">
        <w:rPr>
          <w:rFonts w:ascii="Times New Roman" w:eastAsia="Times New Roman" w:hAnsi="Times New Roman" w:cs="Times New Roman"/>
          <w:szCs w:val="20"/>
          <w:lang w:eastAsia="zh-CN"/>
        </w:rPr>
        <w:t>. Because knowing is situated, the validity of a result depends on the materials available, their versions, the tools used, the actor’s role and authority, and the workflow state in which the task occurs. The same answer can be valid in one setting and invalid in another.</w:t>
      </w:r>
    </w:p>
    <w:p w14:paraId="1B951910"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Third, </w:t>
      </w:r>
      <w:r w:rsidRPr="00EC082D">
        <w:rPr>
          <w:rFonts w:ascii="Times New Roman" w:eastAsia="Times New Roman" w:hAnsi="Times New Roman" w:cs="Times New Roman"/>
          <w:b/>
          <w:bCs/>
          <w:szCs w:val="20"/>
          <w:lang w:eastAsia="zh-CN"/>
        </w:rPr>
        <w:t>score the proper work product</w:t>
      </w:r>
      <w:r w:rsidRPr="00EC082D">
        <w:rPr>
          <w:rFonts w:ascii="Times New Roman" w:eastAsia="Times New Roman" w:hAnsi="Times New Roman" w:cs="Times New Roman"/>
          <w:szCs w:val="20"/>
          <w:lang w:eastAsia="zh-CN"/>
        </w:rPr>
        <w:t>. Knowledge work is completed when information has been converted into something that another actor or system can use. That product may be a report, record, analysis, recommendation, decision, diagnosis, or knowledge-bearing interaction. A plausible answer may still fail as work if it uses the wrong source version, hides assumptions, exceeds the actor’s authority, leaves the canonical record unchanged, or cannot be inspected and continued downstream.</w:t>
      </w:r>
    </w:p>
    <w:p w14:paraId="41EF37BB"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The distinction is therefore not that only knowledge tasks use tools, environments, memory, or traces. Those are properties of agent execution. The distinction is that, in knowledge work, the activity, setting, and sufficient product are often constitutive of whether the knowledge has been validly produced and made usable.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3977"/>
        <w:gridCol w:w="4459"/>
      </w:tblGrid>
      <w:tr w:rsidR="00EC082D" w:rsidRPr="00EC082D" w14:paraId="51A2DF9B" w14:textId="77777777">
        <w:trPr>
          <w:tblCellSpacing w:w="15" w:type="dxa"/>
        </w:trPr>
        <w:tc>
          <w:tcPr>
            <w:tcW w:w="0" w:type="auto"/>
            <w:vAlign w:val="center"/>
            <w:hideMark/>
          </w:tcPr>
          <w:p w14:paraId="1139CE43" w14:textId="77777777" w:rsidR="00EC082D" w:rsidRPr="00EC082D" w:rsidRDefault="00EC082D" w:rsidP="00EC082D">
            <w:pPr>
              <w:spacing w:after="0" w:line="240" w:lineRule="auto"/>
              <w:jc w:val="center"/>
              <w:rPr>
                <w:rFonts w:ascii="Times New Roman" w:eastAsia="Times New Roman" w:hAnsi="Times New Roman" w:cs="Times New Roman"/>
                <w:b/>
                <w:bCs/>
                <w:szCs w:val="20"/>
                <w:lang w:eastAsia="zh-CN"/>
              </w:rPr>
            </w:pPr>
            <w:r w:rsidRPr="00EC082D">
              <w:rPr>
                <w:rFonts w:ascii="Times New Roman" w:eastAsia="Times New Roman" w:hAnsi="Times New Roman" w:cs="Times New Roman"/>
                <w:b/>
                <w:bCs/>
                <w:szCs w:val="20"/>
                <w:lang w:eastAsia="zh-CN"/>
              </w:rPr>
              <w:t>Work type</w:t>
            </w:r>
          </w:p>
        </w:tc>
        <w:tc>
          <w:tcPr>
            <w:tcW w:w="0" w:type="auto"/>
            <w:vAlign w:val="center"/>
            <w:hideMark/>
          </w:tcPr>
          <w:p w14:paraId="71AAA532" w14:textId="77777777" w:rsidR="00EC082D" w:rsidRPr="00EC082D" w:rsidRDefault="00EC082D" w:rsidP="00EC082D">
            <w:pPr>
              <w:spacing w:after="0" w:line="240" w:lineRule="auto"/>
              <w:jc w:val="center"/>
              <w:rPr>
                <w:rFonts w:ascii="Times New Roman" w:eastAsia="Times New Roman" w:hAnsi="Times New Roman" w:cs="Times New Roman"/>
                <w:b/>
                <w:bCs/>
                <w:szCs w:val="20"/>
                <w:lang w:eastAsia="zh-CN"/>
              </w:rPr>
            </w:pPr>
            <w:r w:rsidRPr="00EC082D">
              <w:rPr>
                <w:rFonts w:ascii="Times New Roman" w:eastAsia="Times New Roman" w:hAnsi="Times New Roman" w:cs="Times New Roman"/>
                <w:b/>
                <w:bCs/>
                <w:szCs w:val="20"/>
                <w:lang w:eastAsia="zh-CN"/>
              </w:rPr>
              <w:t>Typical completion object</w:t>
            </w:r>
          </w:p>
        </w:tc>
        <w:tc>
          <w:tcPr>
            <w:tcW w:w="0" w:type="auto"/>
            <w:vAlign w:val="center"/>
            <w:hideMark/>
          </w:tcPr>
          <w:p w14:paraId="3A906C98" w14:textId="77777777" w:rsidR="00EC082D" w:rsidRPr="00EC082D" w:rsidRDefault="00EC082D" w:rsidP="00EC082D">
            <w:pPr>
              <w:spacing w:after="0" w:line="240" w:lineRule="auto"/>
              <w:jc w:val="center"/>
              <w:rPr>
                <w:rFonts w:ascii="Times New Roman" w:eastAsia="Times New Roman" w:hAnsi="Times New Roman" w:cs="Times New Roman"/>
                <w:b/>
                <w:bCs/>
                <w:szCs w:val="20"/>
                <w:lang w:eastAsia="zh-CN"/>
              </w:rPr>
            </w:pPr>
            <w:r w:rsidRPr="00EC082D">
              <w:rPr>
                <w:rFonts w:ascii="Times New Roman" w:eastAsia="Times New Roman" w:hAnsi="Times New Roman" w:cs="Times New Roman"/>
                <w:b/>
                <w:bCs/>
                <w:szCs w:val="20"/>
                <w:lang w:eastAsia="zh-CN"/>
              </w:rPr>
              <w:t>Primary evidence of completion</w:t>
            </w:r>
          </w:p>
        </w:tc>
      </w:tr>
      <w:tr w:rsidR="00EC082D" w:rsidRPr="00EC082D" w14:paraId="3FFB4B5C" w14:textId="77777777">
        <w:trPr>
          <w:tblCellSpacing w:w="15" w:type="dxa"/>
        </w:trPr>
        <w:tc>
          <w:tcPr>
            <w:tcW w:w="0" w:type="auto"/>
            <w:vAlign w:val="center"/>
            <w:hideMark/>
          </w:tcPr>
          <w:p w14:paraId="706915B9"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b/>
                <w:bCs/>
                <w:szCs w:val="20"/>
                <w:lang w:eastAsia="zh-CN"/>
              </w:rPr>
              <w:t>Knowledge work</w:t>
            </w:r>
          </w:p>
        </w:tc>
        <w:tc>
          <w:tcPr>
            <w:tcW w:w="0" w:type="auto"/>
            <w:vAlign w:val="center"/>
            <w:hideMark/>
          </w:tcPr>
          <w:p w14:paraId="0A7340F0"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Informational artifact, warranted decision or recommendation, or knowledge-bearing interaction</w:t>
            </w:r>
          </w:p>
        </w:tc>
        <w:tc>
          <w:tcPr>
            <w:tcW w:w="0" w:type="auto"/>
            <w:vAlign w:val="center"/>
            <w:hideMark/>
          </w:tcPr>
          <w:p w14:paraId="028EEBDE"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Correctness, provenance, source version, assumptions, uncertainty, authority, artifact state, and downstream usability</w:t>
            </w:r>
          </w:p>
        </w:tc>
      </w:tr>
      <w:tr w:rsidR="00EC082D" w:rsidRPr="00EC082D" w14:paraId="1E613754" w14:textId="77777777">
        <w:trPr>
          <w:tblCellSpacing w:w="15" w:type="dxa"/>
        </w:trPr>
        <w:tc>
          <w:tcPr>
            <w:tcW w:w="0" w:type="auto"/>
            <w:vAlign w:val="center"/>
            <w:hideMark/>
          </w:tcPr>
          <w:p w14:paraId="2686EC9B"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b/>
                <w:bCs/>
                <w:szCs w:val="20"/>
                <w:lang w:eastAsia="zh-CN"/>
              </w:rPr>
              <w:t>Embodied work</w:t>
            </w:r>
          </w:p>
        </w:tc>
        <w:tc>
          <w:tcPr>
            <w:tcW w:w="0" w:type="auto"/>
            <w:vAlign w:val="center"/>
            <w:hideMark/>
          </w:tcPr>
          <w:p w14:paraId="212FBB2B"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Verified physical state or completed manipulation</w:t>
            </w:r>
          </w:p>
        </w:tc>
        <w:tc>
          <w:tcPr>
            <w:tcW w:w="0" w:type="auto"/>
            <w:vAlign w:val="center"/>
            <w:hideMark/>
          </w:tcPr>
          <w:p w14:paraId="3F2C37B0"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Goal-state achievement, safety, damage, efficiency, and trajectory success</w:t>
            </w:r>
          </w:p>
        </w:tc>
      </w:tr>
      <w:tr w:rsidR="00EC082D" w:rsidRPr="00EC082D" w14:paraId="0FA910B6" w14:textId="77777777">
        <w:trPr>
          <w:tblCellSpacing w:w="15" w:type="dxa"/>
        </w:trPr>
        <w:tc>
          <w:tcPr>
            <w:tcW w:w="0" w:type="auto"/>
            <w:vAlign w:val="center"/>
            <w:hideMark/>
          </w:tcPr>
          <w:p w14:paraId="12944392"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b/>
                <w:bCs/>
                <w:szCs w:val="20"/>
                <w:lang w:eastAsia="zh-CN"/>
              </w:rPr>
              <w:t>Transactional or administrative work</w:t>
            </w:r>
          </w:p>
        </w:tc>
        <w:tc>
          <w:tcPr>
            <w:tcW w:w="0" w:type="auto"/>
            <w:vAlign w:val="center"/>
            <w:hideMark/>
          </w:tcPr>
          <w:p w14:paraId="5CF0F867"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Correct record, booking, message, permission, schedule, or database state</w:t>
            </w:r>
          </w:p>
        </w:tc>
        <w:tc>
          <w:tcPr>
            <w:tcW w:w="0" w:type="auto"/>
            <w:vAlign w:val="center"/>
            <w:hideMark/>
          </w:tcPr>
          <w:p w14:paraId="23766262"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Policy-compliant actions, required side effects, exact final state, and avoidance of unintended changes</w:t>
            </w:r>
          </w:p>
        </w:tc>
      </w:tr>
      <w:tr w:rsidR="00EC082D" w:rsidRPr="00EC082D" w14:paraId="3C3A62B4" w14:textId="77777777">
        <w:trPr>
          <w:tblCellSpacing w:w="15" w:type="dxa"/>
        </w:trPr>
        <w:tc>
          <w:tcPr>
            <w:tcW w:w="0" w:type="auto"/>
            <w:vAlign w:val="center"/>
            <w:hideMark/>
          </w:tcPr>
          <w:p w14:paraId="63F2D80D"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b/>
                <w:bCs/>
                <w:szCs w:val="20"/>
                <w:lang w:eastAsia="zh-CN"/>
              </w:rPr>
              <w:t xml:space="preserve">Interpersonal or </w:t>
            </w:r>
            <w:r w:rsidRPr="00EC082D">
              <w:rPr>
                <w:rFonts w:ascii="Times New Roman" w:eastAsia="Times New Roman" w:hAnsi="Times New Roman" w:cs="Times New Roman"/>
                <w:b/>
                <w:bCs/>
                <w:szCs w:val="20"/>
                <w:lang w:eastAsia="zh-CN"/>
              </w:rPr>
              <w:lastRenderedPageBreak/>
              <w:t>service work</w:t>
            </w:r>
          </w:p>
        </w:tc>
        <w:tc>
          <w:tcPr>
            <w:tcW w:w="0" w:type="auto"/>
            <w:vAlign w:val="center"/>
            <w:hideMark/>
          </w:tcPr>
          <w:p w14:paraId="765764ED"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lastRenderedPageBreak/>
              <w:t xml:space="preserve">Resolved need, agreement, coordination </w:t>
            </w:r>
            <w:r w:rsidRPr="00EC082D">
              <w:rPr>
                <w:rFonts w:ascii="Times New Roman" w:eastAsia="Times New Roman" w:hAnsi="Times New Roman" w:cs="Times New Roman"/>
                <w:szCs w:val="20"/>
                <w:lang w:eastAsia="zh-CN"/>
              </w:rPr>
              <w:lastRenderedPageBreak/>
              <w:t>outcome, or socially appropriate interaction</w:t>
            </w:r>
          </w:p>
        </w:tc>
        <w:tc>
          <w:tcPr>
            <w:tcW w:w="0" w:type="auto"/>
            <w:vAlign w:val="center"/>
            <w:hideMark/>
          </w:tcPr>
          <w:p w14:paraId="11C7E21E" w14:textId="77777777" w:rsidR="00EC082D" w:rsidRPr="00EC082D" w:rsidRDefault="00EC082D" w:rsidP="00EC082D">
            <w:pPr>
              <w:spacing w:after="0"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lastRenderedPageBreak/>
              <w:t xml:space="preserve">Goal attainment, policy compliance, satisfaction, </w:t>
            </w:r>
            <w:r w:rsidRPr="00EC082D">
              <w:rPr>
                <w:rFonts w:ascii="Times New Roman" w:eastAsia="Times New Roman" w:hAnsi="Times New Roman" w:cs="Times New Roman"/>
                <w:szCs w:val="20"/>
                <w:lang w:eastAsia="zh-CN"/>
              </w:rPr>
              <w:lastRenderedPageBreak/>
              <w:t>fairness, and interaction quality</w:t>
            </w:r>
          </w:p>
        </w:tc>
      </w:tr>
    </w:tbl>
    <w:p w14:paraId="26E96A02"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lastRenderedPageBreak/>
        <w:t xml:space="preserve">These differences are visible in existing benchmarks. </w:t>
      </w:r>
      <w:proofErr w:type="spellStart"/>
      <w:r w:rsidRPr="00EC082D">
        <w:rPr>
          <w:rFonts w:ascii="Times New Roman" w:eastAsia="Times New Roman" w:hAnsi="Times New Roman" w:cs="Times New Roman"/>
          <w:szCs w:val="20"/>
          <w:lang w:eastAsia="zh-CN"/>
        </w:rPr>
        <w:t>HomeRobot</w:t>
      </w:r>
      <w:proofErr w:type="spellEnd"/>
      <w:r w:rsidRPr="00EC082D">
        <w:rPr>
          <w:rFonts w:ascii="Times New Roman" w:eastAsia="Times New Roman" w:hAnsi="Times New Roman" w:cs="Times New Roman"/>
          <w:szCs w:val="20"/>
          <w:lang w:eastAsia="zh-CN"/>
        </w:rPr>
        <w:t xml:space="preserve"> evaluates whether an agent can navigate, grasp an object, and place it at the commanded location; the central completion object is the resulting physical state. τ-bench evaluates customer-service interactions using domain policies, API actions, and the final database state; the central evidence is whether the required transaction was completed correctly and consistently. SOTOPIA evaluates social agents through interactive role-play and social outcomes rather than through a persistent informational artifact.</w:t>
      </w:r>
    </w:p>
    <w:p w14:paraId="6394A7AA"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Knowledge-work benchmarks face a different sufficiency problem. In </w:t>
      </w:r>
      <w:proofErr w:type="spellStart"/>
      <w:r w:rsidRPr="00EC082D">
        <w:rPr>
          <w:rFonts w:ascii="Times New Roman" w:eastAsia="Times New Roman" w:hAnsi="Times New Roman" w:cs="Times New Roman"/>
          <w:szCs w:val="20"/>
          <w:lang w:eastAsia="zh-CN"/>
        </w:rPr>
        <w:t>OfficeQA</w:t>
      </w:r>
      <w:proofErr w:type="spellEnd"/>
      <w:r w:rsidRPr="00EC082D">
        <w:rPr>
          <w:rFonts w:ascii="Times New Roman" w:eastAsia="Times New Roman" w:hAnsi="Times New Roman" w:cs="Times New Roman"/>
          <w:szCs w:val="20"/>
          <w:lang w:eastAsia="zh-CN"/>
        </w:rPr>
        <w:t xml:space="preserve"> Pro, a correct number can establish grounded numerical question answering. It does not by itself establish that the agent produced a reviewable analyst product with traceable sources, intermediate calculations, assumptions, and a usable handoff. The same distinction appears in legal analysis, diagnosis, financial analysis, and collaborative document work.</w:t>
      </w:r>
    </w:p>
    <w:p w14:paraId="58F115E6"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Our claim is therefore not that the framework can never apply elsewhere. It was derived from knowledge-work theory, and knowledge work is the domain in which all three elements—activity, situated setting, and receiving product—most consistently determine whether apparent task success counts as completed work. Other domains may require related analysis, but their completion objects and evidentiary requirements can differ substantially.</w:t>
      </w:r>
    </w:p>
    <w:p w14:paraId="33E1FD09"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b/>
          <w:bCs/>
          <w:szCs w:val="20"/>
          <w:lang w:eastAsia="zh-CN"/>
        </w:rPr>
        <w:t>Manuscript revision.</w:t>
      </w:r>
      <w:r w:rsidRPr="00EC082D">
        <w:rPr>
          <w:rFonts w:ascii="Times New Roman" w:eastAsia="Times New Roman" w:hAnsi="Times New Roman" w:cs="Times New Roman"/>
          <w:szCs w:val="20"/>
          <w:lang w:eastAsia="zh-CN"/>
        </w:rPr>
        <w:t xml:space="preserve"> We will explain how each of the three steps is derived from knowledge-work theory and add the comparison above to clarify how completion evidence differs across knowledge, embodied, transactional, and interpersonal work.</w:t>
      </w:r>
    </w:p>
    <w:p w14:paraId="7FB50BFF"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b/>
          <w:bCs/>
          <w:szCs w:val="20"/>
          <w:lang w:eastAsia="zh-CN"/>
        </w:rPr>
        <w:t>References for this response</w:t>
      </w:r>
    </w:p>
    <w:p w14:paraId="5F9A2BA6"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[K1] Blackler, F. (1995). Knowledge, knowledge work and organizations: An overview and interpretation. </w:t>
      </w:r>
      <w:r w:rsidRPr="00EC082D">
        <w:rPr>
          <w:rFonts w:ascii="Times New Roman" w:eastAsia="Times New Roman" w:hAnsi="Times New Roman" w:cs="Times New Roman"/>
          <w:i/>
          <w:iCs/>
          <w:szCs w:val="20"/>
          <w:lang w:eastAsia="zh-CN"/>
        </w:rPr>
        <w:t>Organization Studies</w:t>
      </w:r>
      <w:r w:rsidRPr="00EC082D">
        <w:rPr>
          <w:rFonts w:ascii="Times New Roman" w:eastAsia="Times New Roman" w:hAnsi="Times New Roman" w:cs="Times New Roman"/>
          <w:szCs w:val="20"/>
          <w:lang w:eastAsia="zh-CN"/>
        </w:rPr>
        <w:t>, 16(6), 1021–1046.</w:t>
      </w:r>
    </w:p>
    <w:p w14:paraId="38895C71"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[K2] Orlikowski, W. J. (2002). Knowing in practice: Enacting a collective capability in distributed organizing. </w:t>
      </w:r>
      <w:r w:rsidRPr="00EC082D">
        <w:rPr>
          <w:rFonts w:ascii="Times New Roman" w:eastAsia="Times New Roman" w:hAnsi="Times New Roman" w:cs="Times New Roman"/>
          <w:i/>
          <w:iCs/>
          <w:szCs w:val="20"/>
          <w:lang w:eastAsia="zh-CN"/>
        </w:rPr>
        <w:t>Organization Science</w:t>
      </w:r>
      <w:r w:rsidRPr="00EC082D">
        <w:rPr>
          <w:rFonts w:ascii="Times New Roman" w:eastAsia="Times New Roman" w:hAnsi="Times New Roman" w:cs="Times New Roman"/>
          <w:szCs w:val="20"/>
          <w:lang w:eastAsia="zh-CN"/>
        </w:rPr>
        <w:t>, 13(3), 249–273.</w:t>
      </w:r>
    </w:p>
    <w:p w14:paraId="08AC2C6D"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[K3] </w:t>
      </w:r>
      <w:proofErr w:type="spellStart"/>
      <w:r w:rsidRPr="00EC082D">
        <w:rPr>
          <w:rFonts w:ascii="Times New Roman" w:eastAsia="Times New Roman" w:hAnsi="Times New Roman" w:cs="Times New Roman"/>
          <w:szCs w:val="20"/>
          <w:lang w:eastAsia="zh-CN"/>
        </w:rPr>
        <w:t>Yenamandra</w:t>
      </w:r>
      <w:proofErr w:type="spellEnd"/>
      <w:r w:rsidRPr="00EC082D">
        <w:rPr>
          <w:rFonts w:ascii="Times New Roman" w:eastAsia="Times New Roman" w:hAnsi="Times New Roman" w:cs="Times New Roman"/>
          <w:szCs w:val="20"/>
          <w:lang w:eastAsia="zh-CN"/>
        </w:rPr>
        <w:t xml:space="preserve">, S., et al. (2023). </w:t>
      </w:r>
      <w:proofErr w:type="spellStart"/>
      <w:r w:rsidRPr="00EC082D">
        <w:rPr>
          <w:rFonts w:ascii="Times New Roman" w:eastAsia="Times New Roman" w:hAnsi="Times New Roman" w:cs="Times New Roman"/>
          <w:szCs w:val="20"/>
          <w:lang w:eastAsia="zh-CN"/>
        </w:rPr>
        <w:t>HomeRobot</w:t>
      </w:r>
      <w:proofErr w:type="spellEnd"/>
      <w:r w:rsidRPr="00EC082D">
        <w:rPr>
          <w:rFonts w:ascii="Times New Roman" w:eastAsia="Times New Roman" w:hAnsi="Times New Roman" w:cs="Times New Roman"/>
          <w:szCs w:val="20"/>
          <w:lang w:eastAsia="zh-CN"/>
        </w:rPr>
        <w:t xml:space="preserve">: Open-vocabulary mobile manipulation. </w:t>
      </w:r>
      <w:r w:rsidRPr="00EC082D">
        <w:rPr>
          <w:rFonts w:ascii="Times New Roman" w:eastAsia="Times New Roman" w:hAnsi="Times New Roman" w:cs="Times New Roman"/>
          <w:i/>
          <w:iCs/>
          <w:szCs w:val="20"/>
          <w:lang w:eastAsia="zh-CN"/>
        </w:rPr>
        <w:t>Conference on Robot Learning</w:t>
      </w:r>
      <w:r w:rsidRPr="00EC082D">
        <w:rPr>
          <w:rFonts w:ascii="Times New Roman" w:eastAsia="Times New Roman" w:hAnsi="Times New Roman" w:cs="Times New Roman"/>
          <w:szCs w:val="20"/>
          <w:lang w:eastAsia="zh-CN"/>
        </w:rPr>
        <w:t>.</w:t>
      </w:r>
    </w:p>
    <w:p w14:paraId="50310F1D"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[K4] Yao, S., Shinn, N., Razavi, P., &amp; Narasimhan, K. (2025). τ-bench: A benchmark for tool-agent-user interaction in real-world domains. </w:t>
      </w:r>
      <w:r w:rsidRPr="00EC082D">
        <w:rPr>
          <w:rFonts w:ascii="Times New Roman" w:eastAsia="Times New Roman" w:hAnsi="Times New Roman" w:cs="Times New Roman"/>
          <w:i/>
          <w:iCs/>
          <w:szCs w:val="20"/>
          <w:lang w:eastAsia="zh-CN"/>
        </w:rPr>
        <w:t>International Conference on Learning Representations</w:t>
      </w:r>
      <w:r w:rsidRPr="00EC082D">
        <w:rPr>
          <w:rFonts w:ascii="Times New Roman" w:eastAsia="Times New Roman" w:hAnsi="Times New Roman" w:cs="Times New Roman"/>
          <w:szCs w:val="20"/>
          <w:lang w:eastAsia="zh-CN"/>
        </w:rPr>
        <w:t>.</w:t>
      </w:r>
    </w:p>
    <w:p w14:paraId="051DAA40" w14:textId="77777777" w:rsidR="00EC082D" w:rsidRPr="00EC082D" w:rsidRDefault="00EC082D" w:rsidP="00EC082D">
      <w:pPr>
        <w:spacing w:before="100" w:beforeAutospacing="1" w:after="100" w:afterAutospacing="1" w:line="240" w:lineRule="auto"/>
        <w:rPr>
          <w:rFonts w:ascii="Times New Roman" w:eastAsia="Times New Roman" w:hAnsi="Times New Roman" w:cs="Times New Roman"/>
          <w:szCs w:val="20"/>
          <w:lang w:eastAsia="zh-CN"/>
        </w:rPr>
      </w:pPr>
      <w:r w:rsidRPr="00EC082D">
        <w:rPr>
          <w:rFonts w:ascii="Times New Roman" w:eastAsia="Times New Roman" w:hAnsi="Times New Roman" w:cs="Times New Roman"/>
          <w:szCs w:val="20"/>
          <w:lang w:eastAsia="zh-CN"/>
        </w:rPr>
        <w:t xml:space="preserve">[K5] Zhou, X., et al. (2024). SOTOPIA: Interactive evaluation for social intelligence in language agents. </w:t>
      </w:r>
      <w:r w:rsidRPr="00EC082D">
        <w:rPr>
          <w:rFonts w:ascii="Times New Roman" w:eastAsia="Times New Roman" w:hAnsi="Times New Roman" w:cs="Times New Roman"/>
          <w:i/>
          <w:iCs/>
          <w:szCs w:val="20"/>
          <w:lang w:eastAsia="zh-CN"/>
        </w:rPr>
        <w:t>International Conference on Learning Representations</w:t>
      </w:r>
      <w:r w:rsidRPr="00EC082D">
        <w:rPr>
          <w:rFonts w:ascii="Times New Roman" w:eastAsia="Times New Roman" w:hAnsi="Times New Roman" w:cs="Times New Roman"/>
          <w:szCs w:val="20"/>
          <w:lang w:eastAsia="zh-CN"/>
        </w:rPr>
        <w:t>.</w:t>
      </w:r>
    </w:p>
    <w:p w14:paraId="6FE9A375" w14:textId="77777777" w:rsidR="00EC082D" w:rsidRDefault="00EC082D" w:rsidP="00EC082D">
      <w:pPr>
        <w:rPr>
          <w:b/>
          <w:color w:val="23374E"/>
          <w:sz w:val="21"/>
        </w:rPr>
      </w:pPr>
    </w:p>
    <w:p w14:paraId="47CD5441" w14:textId="2B261B14" w:rsidR="00EC082D" w:rsidRPr="00EC082D" w:rsidRDefault="00EC082D" w:rsidP="00EC082D">
      <w:pPr>
        <w:rPr>
          <w:b/>
          <w:color w:val="23374E"/>
          <w:sz w:val="21"/>
        </w:rPr>
      </w:pPr>
      <w:r w:rsidRPr="00EC082D">
        <w:rPr>
          <w:b/>
          <w:color w:val="23374E"/>
          <w:sz w:val="21"/>
        </w:rPr>
        <w:t>W3. The paper needs further discussion on how the proposed three-step framework can be implemented in designing new benchmarks.</w:t>
      </w:r>
    </w:p>
    <w:p w14:paraId="15DCC8AD" w14:textId="6503E61F" w:rsidR="00B067A9" w:rsidRDefault="00000000">
      <w:pPr>
        <w:spacing w:after="60" w:line="250" w:lineRule="auto"/>
      </w:pPr>
      <w:r>
        <w:t>We</w:t>
      </w:r>
      <w:r w:rsidR="00D028FA">
        <w:t xml:space="preserve"> made</w:t>
      </w:r>
      <w:r>
        <w:t xml:space="preserve"> the design procedure explicit. The framework is not applied after a benchmark has been built merely to rewrite the conclusion. It can be used prospectively to decide what the task must contain, what the agent must leave behind, and what the evaluation must verify.</w:t>
      </w:r>
    </w:p>
    <w:p w14:paraId="520B54FC" w14:textId="77777777" w:rsidR="00B067A9" w:rsidRDefault="00000000">
      <w:pPr>
        <w:pStyle w:val="ListNumber"/>
        <w:spacing w:after="40" w:line="247" w:lineRule="auto"/>
      </w:pPr>
      <w:r>
        <w:t>State the intended work claim before choosing tasks or metrics. A claim about answering questions, producing an analyst package, updating a canonical record, or resolving a service request implies different evidence.</w:t>
      </w:r>
    </w:p>
    <w:p w14:paraId="17C833F9" w14:textId="77777777" w:rsidR="00B067A9" w:rsidRDefault="00000000">
      <w:pPr>
        <w:pStyle w:val="ListNumber"/>
        <w:spacing w:after="40" w:line="247" w:lineRule="auto"/>
      </w:pPr>
      <w:r>
        <w:t>Name the work activity or activities represented. This keeps the benchmark from treating an occupational label as the construct. A task may combine analysis, record keeping, advising, design, or troubleshooting.</w:t>
      </w:r>
    </w:p>
    <w:p w14:paraId="767E8490" w14:textId="77777777" w:rsidR="00B067A9" w:rsidRDefault="00000000">
      <w:pPr>
        <w:pStyle w:val="ListNumber"/>
        <w:spacing w:after="40" w:line="247" w:lineRule="auto"/>
      </w:pPr>
      <w:r>
        <w:t>Specify the tested setting: materials and versions, tools and permissions, role and authority, initial workflow state, time and resource constraints, and any escalation or deferral options.</w:t>
      </w:r>
    </w:p>
    <w:p w14:paraId="6EB06F7C" w14:textId="77777777" w:rsidR="00B067A9" w:rsidRDefault="00000000">
      <w:pPr>
        <w:pStyle w:val="ListNumber"/>
        <w:spacing w:after="40" w:line="247" w:lineRule="auto"/>
      </w:pPr>
      <w:r>
        <w:t>Define the receiving product. Ask what another person or system must be able to inspect, execute, revise, approve, file, or continue after the agent stops.</w:t>
      </w:r>
    </w:p>
    <w:p w14:paraId="01B1ECE6" w14:textId="77777777" w:rsidR="00B067A9" w:rsidRDefault="00000000">
      <w:pPr>
        <w:pStyle w:val="ListNumber"/>
        <w:spacing w:after="40" w:line="247" w:lineRule="auto"/>
      </w:pPr>
      <w:r>
        <w:t>Choose the submitted and scored object to match that product. Exact-answer scoring, state validators, executable tests, rubric judgments, and provenance checks answer different questions.</w:t>
      </w:r>
    </w:p>
    <w:p w14:paraId="21D9E8FB" w14:textId="77777777" w:rsidR="00B067A9" w:rsidRDefault="00000000">
      <w:pPr>
        <w:pStyle w:val="ListNumber"/>
        <w:spacing w:after="40" w:line="247" w:lineRule="auto"/>
      </w:pPr>
      <w:r>
        <w:t>Write the supported claim from the represented activity, setting, product, and checks. Any omitted workflow stages remain outside the claim rather than being filled in rhetorically.</w:t>
      </w:r>
    </w:p>
    <w:p w14:paraId="3FCBAC38" w14:textId="77777777" w:rsidR="00B067A9" w:rsidRDefault="00000000">
      <w:pPr>
        <w:spacing w:after="60" w:line="250" w:lineRule="auto"/>
      </w:pPr>
      <w:r>
        <w:lastRenderedPageBreak/>
        <w:t>OfficeQA Pro illustrates the design consequence. If the intended claim is “the agent can answer a grounded numerical question over a fixed Treasury Bulletin corpus,” the current answer-only design and exact/tolerance scoring are appropriate. If the intended claim is “the agent can prepare a reviewable analyst deliverable,” the required product changes. The submission should then include the final answer, cited source and version, extracted values and units, intermediate calculations, assumptions or conflicts, and a form that a downstream reviewer can inspect or revise. The scoring must verify those components. The framework does not predict that model scores will increase; it explains why the evidence must change when the claim changes.</w:t>
      </w:r>
    </w:p>
    <w:p w14:paraId="039AB252" w14:textId="32A92FD1" w:rsidR="00B067A9" w:rsidRDefault="00D028FA">
      <w:pPr>
        <w:spacing w:after="60" w:line="250" w:lineRule="auto"/>
      </w:pPr>
      <w:r>
        <w:t>We argue that this</w:t>
      </w:r>
      <w:r w:rsidR="00000000">
        <w:t xml:space="preserve"> is an appropriate demonstration for a position paper whose contribution is normative and inferential. The NeurIPS 2026 call expressly allows positions to be supported through reasoning, experimental evidence, or analysis and synthesis of literature. Accepted framework and measurement position papers likewise justify design requirements without conducting a controlled study showing that community adoption of the framework improves later outcomes. Our burden is to show that the principle is coherent, grounded in measurement and work research, and yields a concrete design difference. OfficeQA Pro and APEX-SWE </w:t>
      </w:r>
      <w:r>
        <w:t xml:space="preserve">has </w:t>
      </w:r>
      <w:r w:rsidR="00000000">
        <w:t>provide</w:t>
      </w:r>
      <w:r>
        <w:t xml:space="preserve">d the </w:t>
      </w:r>
      <w:proofErr w:type="spellStart"/>
      <w:r>
        <w:t>intrended</w:t>
      </w:r>
      <w:proofErr w:type="spellEnd"/>
      <w:r>
        <w:t xml:space="preserve"> </w:t>
      </w:r>
      <w:r w:rsidR="00000000">
        <w:t>demonstration.</w:t>
      </w:r>
    </w:p>
    <w:p w14:paraId="60B79C53" w14:textId="30D2C6C1" w:rsidR="00B067A9" w:rsidRDefault="00000000">
      <w:pPr>
        <w:keepLines/>
        <w:shd w:val="clear" w:color="auto" w:fill="F6F6F6"/>
        <w:spacing w:before="60" w:after="100"/>
        <w:ind w:left="173" w:right="173"/>
      </w:pPr>
      <w:r>
        <w:rPr>
          <w:b/>
          <w:sz w:val="19"/>
        </w:rPr>
        <w:t xml:space="preserve">Manuscript revision. </w:t>
      </w:r>
      <w:r>
        <w:rPr>
          <w:i/>
          <w:sz w:val="19"/>
        </w:rPr>
        <w:t xml:space="preserve">We will </w:t>
      </w:r>
      <w:r w:rsidR="00D028FA">
        <w:rPr>
          <w:i/>
          <w:sz w:val="19"/>
        </w:rPr>
        <w:t xml:space="preserve">explicitly </w:t>
      </w:r>
      <w:r>
        <w:rPr>
          <w:i/>
          <w:sz w:val="19"/>
        </w:rPr>
        <w:t>add the six-step prospective design procedure, a compact OfficeQA Pro before/after figure, and an explicit statement that the worked redesign demonstrates a necessary change in evidence for a changed claim rather than an asserted model-performance gain.</w:t>
      </w:r>
    </w:p>
    <w:p w14:paraId="7EF50041" w14:textId="77777777" w:rsidR="00B067A9" w:rsidRDefault="00000000">
      <w:pPr>
        <w:spacing w:before="40" w:after="20"/>
      </w:pPr>
      <w:r>
        <w:rPr>
          <w:b/>
          <w:color w:val="3C3C3C"/>
          <w:sz w:val="18"/>
        </w:rPr>
        <w:t>References cited in this reply</w:t>
      </w:r>
    </w:p>
    <w:p w14:paraId="1817B13B" w14:textId="77777777" w:rsidR="00B067A9" w:rsidRDefault="00000000">
      <w:pPr>
        <w:spacing w:after="30" w:line="240" w:lineRule="auto"/>
        <w:ind w:left="317" w:hanging="230"/>
      </w:pPr>
      <w:r>
        <w:rPr>
          <w:color w:val="414141"/>
          <w:sz w:val="16"/>
        </w:rPr>
        <w:t>[P1] NeurIPS (2026). Call for Position Papers. The call permits positions supported through reasoning, experimental evidence, or analysis or synthesis of literature.</w:t>
      </w:r>
    </w:p>
    <w:p w14:paraId="5FF6E266" w14:textId="77777777" w:rsidR="00B067A9" w:rsidRDefault="00000000">
      <w:pPr>
        <w:spacing w:after="30" w:line="240" w:lineRule="auto"/>
        <w:ind w:left="317" w:hanging="230"/>
      </w:pPr>
      <w:r>
        <w:rPr>
          <w:color w:val="414141"/>
          <w:sz w:val="16"/>
        </w:rPr>
        <w:t>[P2] Kane, M. T. (2013). Validating the Interpretations and Uses of Test Scores. Journal of Educational Measurement, 50(1), 1–73.</w:t>
      </w:r>
    </w:p>
    <w:p w14:paraId="1D584537" w14:textId="77777777" w:rsidR="00B067A9" w:rsidRDefault="00000000">
      <w:pPr>
        <w:spacing w:after="30" w:line="240" w:lineRule="auto"/>
        <w:ind w:left="317" w:hanging="230"/>
      </w:pPr>
      <w:r>
        <w:rPr>
          <w:color w:val="414141"/>
          <w:sz w:val="16"/>
        </w:rPr>
        <w:t>[P3] Bowman, S. R., &amp; Dahl, G. (2021). What Will It Take to Fix Benchmarking in Natural Language Understanding? NAACL 2021.</w:t>
      </w:r>
    </w:p>
    <w:p w14:paraId="5E640082" w14:textId="77777777" w:rsidR="00B067A9" w:rsidRDefault="00000000">
      <w:pPr>
        <w:spacing w:after="30" w:line="240" w:lineRule="auto"/>
        <w:ind w:left="317" w:hanging="230"/>
      </w:pPr>
      <w:r>
        <w:rPr>
          <w:color w:val="414141"/>
          <w:sz w:val="16"/>
        </w:rPr>
        <w:t>[P4] Olteanu, A., et al. (2025). Rigor in AI: Doing Rigorous AI Work Requires a Broader, Responsible AI-Informed Conception of Rigor. NeurIPS 2025 Position Paper Track.</w:t>
      </w:r>
    </w:p>
    <w:p w14:paraId="3D74578A" w14:textId="77777777" w:rsidR="00B067A9" w:rsidRDefault="00000000">
      <w:pPr>
        <w:pStyle w:val="Heading1"/>
      </w:pPr>
      <w:r>
        <w:t>Reviewer uKVL</w:t>
      </w:r>
    </w:p>
    <w:p w14:paraId="37F45155" w14:textId="77777777" w:rsidR="00D528C7" w:rsidRDefault="00D528C7" w:rsidP="000A01F4">
      <w:pPr>
        <w:pStyle w:val="isselectedend"/>
        <w:rPr>
          <w:rFonts w:ascii="Arial" w:eastAsia="Arial" w:hAnsi="Arial" w:cstheme="minorBidi"/>
          <w:b/>
          <w:color w:val="23374E"/>
          <w:sz w:val="21"/>
          <w:szCs w:val="22"/>
          <w:lang w:eastAsia="en-US"/>
        </w:rPr>
      </w:pPr>
      <w:r w:rsidRPr="00D528C7">
        <w:rPr>
          <w:rFonts w:ascii="Arial" w:eastAsia="Arial" w:hAnsi="Arial" w:cstheme="minorBidi"/>
          <w:b/>
          <w:color w:val="23374E"/>
          <w:sz w:val="21"/>
          <w:szCs w:val="22"/>
          <w:lang w:eastAsia="en-US"/>
        </w:rPr>
        <w:t xml:space="preserve">This paper is hard to read and understand, </w:t>
      </w:r>
      <w:proofErr w:type="spellStart"/>
      <w:r w:rsidRPr="00D528C7">
        <w:rPr>
          <w:rFonts w:ascii="Arial" w:eastAsia="Arial" w:hAnsi="Arial" w:cstheme="minorBidi"/>
          <w:b/>
          <w:color w:val="23374E"/>
          <w:sz w:val="21"/>
          <w:szCs w:val="22"/>
          <w:lang w:eastAsia="en-US"/>
        </w:rPr>
        <w:t>especiall</w:t>
      </w:r>
      <w:proofErr w:type="spellEnd"/>
      <w:r w:rsidRPr="00D528C7">
        <w:rPr>
          <w:rFonts w:ascii="Arial" w:eastAsia="Arial" w:hAnsi="Arial" w:cstheme="minorBidi"/>
          <w:b/>
          <w:color w:val="23374E"/>
          <w:sz w:val="21"/>
          <w:szCs w:val="22"/>
          <w:lang w:eastAsia="en-US"/>
        </w:rPr>
        <w:t xml:space="preserve"> with some uncommon definitions in Table 1. I strongly recommend that the author move the citation of this table forward and adjust its position to the top of the second page to facilitate readers' understanding. Besides, I recommend the author insert a figure that illustrates a real-world example and marking these definitions.</w:t>
      </w:r>
    </w:p>
    <w:p w14:paraId="3B9BD4AB" w14:textId="13D670F8" w:rsidR="000A01F4" w:rsidRDefault="000A01F4" w:rsidP="000A01F4">
      <w:pPr>
        <w:pStyle w:val="isselectedend"/>
      </w:pPr>
      <w:r>
        <w:t xml:space="preserve">Thank you for the suggestion. We moved Table 1 and its citations to the beginning of the framework section and added an </w:t>
      </w:r>
      <w:proofErr w:type="spellStart"/>
      <w:r>
        <w:t>OfficeQA</w:t>
      </w:r>
      <w:proofErr w:type="spellEnd"/>
      <w:r>
        <w:t xml:space="preserve"> Pro figure that traces one claim through the activity, setting, required product, scored object, and supported inference.</w:t>
      </w:r>
    </w:p>
    <w:p w14:paraId="643A897F" w14:textId="77777777" w:rsidR="000A01F4" w:rsidRDefault="000A01F4" w:rsidP="000A01F4">
      <w:pPr>
        <w:pStyle w:val="isselectedend"/>
      </w:pPr>
      <w:r>
        <w:t>The figure shows that the fixed corpus, external value, and numerical prompt define the setting; grounded numerical analysis is the activity; and the final number is the current scored object. The benchmark therefore supports grounded numerical question answering. A broader analyst-work claim would require a provenance-bearing analysis package as the receiving product.</w:t>
      </w:r>
    </w:p>
    <w:p w14:paraId="34B9C420" w14:textId="77777777" w:rsidR="000A01F4" w:rsidRDefault="000A01F4" w:rsidP="000A01F4">
      <w:pPr>
        <w:pStyle w:val="NormalWeb"/>
      </w:pPr>
      <w:r>
        <w:t>Showing both branches in one figure makes the claim boundary clear and avoids treating the task, product, scored object, and claim as the same thing.</w:t>
      </w:r>
    </w:p>
    <w:p w14:paraId="37E35BD4" w14:textId="77777777" w:rsidR="00B067A9" w:rsidRDefault="00000000">
      <w:pPr>
        <w:keepLines/>
        <w:shd w:val="clear" w:color="auto" w:fill="F6F6F6"/>
        <w:spacing w:before="60" w:after="100"/>
        <w:ind w:left="173" w:right="173"/>
      </w:pPr>
      <w:r>
        <w:rPr>
          <w:b/>
          <w:sz w:val="19"/>
        </w:rPr>
        <w:t xml:space="preserve">Manuscript revision. </w:t>
      </w:r>
      <w:r>
        <w:rPr>
          <w:i/>
          <w:sz w:val="19"/>
        </w:rPr>
        <w:t>Move Table 1 and citations forward; add the OfficeQA Pro claim-to-evidence figure before the three case analyses.</w:t>
      </w:r>
    </w:p>
    <w:p w14:paraId="3A9BAAC9" w14:textId="77777777" w:rsidR="00D528C7" w:rsidRDefault="00D528C7">
      <w:pPr>
        <w:spacing w:after="60" w:line="250" w:lineRule="auto"/>
        <w:rPr>
          <w:b/>
          <w:color w:val="23374E"/>
          <w:sz w:val="21"/>
        </w:rPr>
      </w:pPr>
      <w:r w:rsidRPr="00D528C7">
        <w:rPr>
          <w:b/>
          <w:color w:val="23374E"/>
          <w:sz w:val="21"/>
        </w:rPr>
        <w:t xml:space="preserve">The core idea of this paper is to prompt the honesty of claim in LLM agent by standardizing and refining benchmarks. This starting point is </w:t>
      </w:r>
      <w:proofErr w:type="gramStart"/>
      <w:r w:rsidRPr="00D528C7">
        <w:rPr>
          <w:b/>
          <w:color w:val="23374E"/>
          <w:sz w:val="21"/>
        </w:rPr>
        <w:t>good</w:t>
      </w:r>
      <w:proofErr w:type="gramEnd"/>
      <w:r w:rsidRPr="00D528C7">
        <w:rPr>
          <w:b/>
          <w:color w:val="23374E"/>
          <w:sz w:val="21"/>
        </w:rPr>
        <w:t xml:space="preserve"> but the position needs to further </w:t>
      </w:r>
      <w:proofErr w:type="gramStart"/>
      <w:r w:rsidRPr="00D528C7">
        <w:rPr>
          <w:b/>
          <w:color w:val="23374E"/>
          <w:sz w:val="21"/>
        </w:rPr>
        <w:t>discussed</w:t>
      </w:r>
      <w:proofErr w:type="gramEnd"/>
      <w:r w:rsidRPr="00D528C7">
        <w:rPr>
          <w:b/>
          <w:color w:val="23374E"/>
          <w:sz w:val="21"/>
        </w:rPr>
        <w:t xml:space="preserve">. First, this complexified benchmark lacks generalizability compared to standard NLP tasks. Especially in research in new fields, one cannot simply dismiss </w:t>
      </w:r>
      <w:proofErr w:type="gramStart"/>
      <w:r w:rsidRPr="00D528C7">
        <w:rPr>
          <w:b/>
          <w:color w:val="23374E"/>
          <w:sz w:val="21"/>
        </w:rPr>
        <w:t>a research</w:t>
      </w:r>
      <w:proofErr w:type="gramEnd"/>
      <w:r w:rsidRPr="00D528C7">
        <w:rPr>
          <w:b/>
          <w:color w:val="23374E"/>
          <w:sz w:val="21"/>
        </w:rPr>
        <w:t xml:space="preserve"> as being 'dishonest' just because it uses traditional NLP validation without an adequate set of benchmarks. In my view, this three-step approach should be encouraged rather than forced. In those fields that are already relatively mature, we can demand that the benchmarks be even more rigorous.</w:t>
      </w:r>
    </w:p>
    <w:p w14:paraId="3B1555E5" w14:textId="00F3C6B4" w:rsidR="00B067A9" w:rsidRDefault="000A01F4">
      <w:pPr>
        <w:spacing w:after="60" w:line="250" w:lineRule="auto"/>
      </w:pPr>
      <w:r>
        <w:t xml:space="preserve">That is not our </w:t>
      </w:r>
      <w:proofErr w:type="gramStart"/>
      <w:r>
        <w:t>intention</w:t>
      </w:r>
      <w:proofErr w:type="gramEnd"/>
      <w:r>
        <w:t xml:space="preserve"> and we totally agree with it.</w:t>
      </w:r>
      <w:r w:rsidR="00000000">
        <w:t xml:space="preserve"> A benchmark is not defective because it isolates one behavior or simplifies a workplace</w:t>
      </w:r>
      <w:r>
        <w:t xml:space="preserve"> – that is what we encourage.</w:t>
      </w:r>
      <w:r w:rsidR="00000000">
        <w:t xml:space="preserve"> </w:t>
      </w:r>
      <w:r>
        <w:t xml:space="preserve">We only concern </w:t>
      </w:r>
      <w:r w:rsidR="00000000">
        <w:t>when the interpretation outruns the evidence</w:t>
      </w:r>
      <w:r>
        <w:t xml:space="preserve">, </w:t>
      </w:r>
      <w:r>
        <w:lastRenderedPageBreak/>
        <w:t xml:space="preserve">and when the benchmark hides the actual settings </w:t>
      </w:r>
      <w:proofErr w:type="gramStart"/>
      <w:r>
        <w:t>its</w:t>
      </w:r>
      <w:proofErr w:type="gramEnd"/>
      <w:r>
        <w:t xml:space="preserve"> testing to claim bigger capabilities of agents being tests</w:t>
      </w:r>
      <w:r w:rsidR="00000000">
        <w:t>. A closed numerical benchmark can validly test closed numerical question answering; an atomic interface benchmark can validly test those procedures; a debugging benchmark can validly test the included faults and tools.</w:t>
      </w:r>
    </w:p>
    <w:p w14:paraId="3C8D0177" w14:textId="77777777" w:rsidR="00B067A9" w:rsidRDefault="00000000">
      <w:pPr>
        <w:spacing w:after="60" w:line="250" w:lineRule="auto"/>
      </w:pPr>
      <w:r>
        <w:t>We will therefore state the reporting obligation proportionally: the broader the claim, the more setting and product evidence it requires. This follows argument-based validity theory, which distinguishes a valid score interpretation from broader uses of that score and holds that more ambitious claims need more support. The framework is intended to protect useful narrow benchmarks by giving authors precise language for what they do establish, while making additional assumptions visible when results are generalized.</w:t>
      </w:r>
    </w:p>
    <w:p w14:paraId="087E12D1" w14:textId="77777777" w:rsidR="00B067A9" w:rsidRDefault="00000000">
      <w:pPr>
        <w:keepLines/>
        <w:shd w:val="clear" w:color="auto" w:fill="F6F6F6"/>
        <w:spacing w:before="60" w:after="100"/>
        <w:ind w:left="173" w:right="173"/>
      </w:pPr>
      <w:r>
        <w:rPr>
          <w:b/>
          <w:sz w:val="19"/>
        </w:rPr>
        <w:t xml:space="preserve">Manuscript revision. </w:t>
      </w:r>
      <w:r>
        <w:rPr>
          <w:i/>
          <w:sz w:val="19"/>
        </w:rPr>
        <w:t>Change the title from moral language to “Keep Agent Benchmark Claims Aligned With Work,” remove “honest,” and add an explicit defense of exploratory and component benchmarks whose claims remain aligned with their tested evidence.</w:t>
      </w:r>
    </w:p>
    <w:p w14:paraId="67A49492" w14:textId="77777777" w:rsidR="00B067A9" w:rsidRDefault="00000000">
      <w:pPr>
        <w:spacing w:before="40" w:after="20"/>
      </w:pPr>
      <w:r>
        <w:rPr>
          <w:b/>
          <w:color w:val="3C3C3C"/>
          <w:sz w:val="18"/>
        </w:rPr>
        <w:t>References cited in this reply</w:t>
      </w:r>
    </w:p>
    <w:p w14:paraId="2FE48B2B" w14:textId="77777777" w:rsidR="00B067A9" w:rsidRDefault="00000000">
      <w:pPr>
        <w:spacing w:after="30" w:line="240" w:lineRule="auto"/>
        <w:ind w:left="317" w:hanging="230"/>
      </w:pPr>
      <w:r>
        <w:rPr>
          <w:color w:val="414141"/>
          <w:sz w:val="16"/>
        </w:rPr>
        <w:t>[T1] Kane, M. T. (2013). Validating the Interpretations and Uses of Test Scores. Journal of Educational Measurement, 50(1), 1–73.</w:t>
      </w:r>
    </w:p>
    <w:p w14:paraId="6DBBBA33" w14:textId="77777777" w:rsidR="00B067A9" w:rsidRDefault="00000000">
      <w:pPr>
        <w:spacing w:after="30" w:line="240" w:lineRule="auto"/>
        <w:ind w:left="317" w:hanging="230"/>
      </w:pPr>
      <w:r>
        <w:rPr>
          <w:color w:val="414141"/>
          <w:sz w:val="16"/>
        </w:rPr>
        <w:t>[T2] Bowman, S. R., &amp; Dahl, G. (2021). What Will It Take to Fix Benchmarking in Natural Language Understanding? NAACL 2021.</w:t>
      </w:r>
    </w:p>
    <w:p w14:paraId="496B6515" w14:textId="77777777" w:rsidR="005774F6" w:rsidRDefault="005774F6">
      <w:pPr>
        <w:spacing w:after="60" w:line="250" w:lineRule="auto"/>
        <w:rPr>
          <w:b/>
          <w:color w:val="23374E"/>
          <w:sz w:val="21"/>
        </w:rPr>
      </w:pPr>
    </w:p>
    <w:p w14:paraId="16B34355" w14:textId="66905074" w:rsidR="005774F6" w:rsidRDefault="005774F6">
      <w:pPr>
        <w:spacing w:after="60" w:line="250" w:lineRule="auto"/>
        <w:rPr>
          <w:b/>
          <w:color w:val="23374E"/>
          <w:sz w:val="21"/>
        </w:rPr>
      </w:pPr>
      <w:r w:rsidRPr="005774F6">
        <w:rPr>
          <w:b/>
          <w:color w:val="23374E"/>
          <w:sz w:val="21"/>
        </w:rPr>
        <w:t xml:space="preserve">The case analyses are simple and not convincing. It's easy to point out the designs of some benchmarks do not satisfy the proposed approach. However, a more important and appropriate case should show how this approach works and </w:t>
      </w:r>
      <w:proofErr w:type="gramStart"/>
      <w:r w:rsidRPr="005774F6">
        <w:rPr>
          <w:b/>
          <w:color w:val="23374E"/>
          <w:sz w:val="21"/>
        </w:rPr>
        <w:t>make</w:t>
      </w:r>
      <w:proofErr w:type="gramEnd"/>
      <w:r w:rsidRPr="005774F6">
        <w:rPr>
          <w:b/>
          <w:color w:val="23374E"/>
          <w:sz w:val="21"/>
        </w:rPr>
        <w:t xml:space="preserve"> a benchmark better while strictly following the three steps proposed for the analysis. In addition, the judgment of the work activity is largely based on experience. The author should fully demonstrate how to define their work activities through a rigorous and accurate process.</w:t>
      </w:r>
    </w:p>
    <w:p w14:paraId="0519DF54" w14:textId="65F0EBBB" w:rsidR="00B067A9" w:rsidRDefault="00000000">
      <w:pPr>
        <w:spacing w:after="60" w:line="250" w:lineRule="auto"/>
      </w:pPr>
      <w:r>
        <w:t>We take these as two separate requests. The first is constructive: show what changes in a benchmark. The OfficeQA Pro redesign now does so. The second is methodological: explain how the 18 operations were produced and what the validation evidence can and cannot establish.</w:t>
      </w:r>
    </w:p>
    <w:p w14:paraId="4C9943C6" w14:textId="77777777" w:rsidR="00B067A9" w:rsidRDefault="00000000">
      <w:pPr>
        <w:spacing w:after="60" w:line="250" w:lineRule="auto"/>
      </w:pPr>
      <w:r>
        <w:t>The 18 operations are a purpose-built benchmark-reporting typology. They are not supervised gold labels for individual O*NET tasks, a replacement for the official O*NET Work Activities hierarchy, or a claim that 18 is the uniquely correct partition of work. O*NET task statements are often too occupation-specific to function as reusable benchmark constructs, while generalized activities such as “Making Decisions and Solving Problems” deliberately aggregate several transformations that matter separately in agent evaluation. The consolidation supplies a middle layer: a shared operation such as analysis, appraisal, advising, design, troubleshooting, or record keeping, after which the setting and product fields restore domain, authority, and workflow detail.</w:t>
      </w:r>
    </w:p>
    <w:tbl>
      <w:tblPr>
        <w:tblStyle w:val="TableGrid"/>
        <w:tblW w:w="0" w:type="auto"/>
        <w:jc w:val="center"/>
        <w:tblLook w:val="04A0" w:firstRow="1" w:lastRow="0" w:firstColumn="1" w:lastColumn="0" w:noHBand="0" w:noVBand="1"/>
      </w:tblPr>
      <w:tblGrid>
        <w:gridCol w:w="2039"/>
        <w:gridCol w:w="2508"/>
        <w:gridCol w:w="2640"/>
        <w:gridCol w:w="3447"/>
      </w:tblGrid>
      <w:tr w:rsidR="00B067A9" w14:paraId="65549EA9" w14:textId="77777777">
        <w:trPr>
          <w:tblHeader/>
          <w:jc w:val="center"/>
        </w:trPr>
        <w:tc>
          <w:tcPr>
            <w:tcW w:w="2088" w:type="dxa"/>
            <w:shd w:val="clear" w:color="auto" w:fill="D9E4F0"/>
            <w:tcMar>
              <w:top w:w="80" w:type="dxa"/>
              <w:left w:w="90" w:type="dxa"/>
              <w:bottom w:w="80" w:type="dxa"/>
              <w:right w:w="90" w:type="dxa"/>
            </w:tcMar>
            <w:vAlign w:val="center"/>
          </w:tcPr>
          <w:p w14:paraId="2EC9EDDB" w14:textId="77777777" w:rsidR="00B067A9" w:rsidRDefault="00000000">
            <w:r>
              <w:rPr>
                <w:b/>
                <w:color w:val="192D44"/>
                <w:sz w:val="16"/>
              </w:rPr>
              <w:t>Representation level</w:t>
            </w:r>
          </w:p>
        </w:tc>
        <w:tc>
          <w:tcPr>
            <w:tcW w:w="2592" w:type="dxa"/>
            <w:shd w:val="clear" w:color="auto" w:fill="D9E4F0"/>
            <w:tcMar>
              <w:top w:w="80" w:type="dxa"/>
              <w:left w:w="90" w:type="dxa"/>
              <w:bottom w:w="80" w:type="dxa"/>
              <w:right w:w="90" w:type="dxa"/>
            </w:tcMar>
            <w:vAlign w:val="center"/>
          </w:tcPr>
          <w:p w14:paraId="13B6A5C1" w14:textId="77777777" w:rsidR="00B067A9" w:rsidRDefault="00000000">
            <w:r>
              <w:rPr>
                <w:b/>
                <w:color w:val="192D44"/>
                <w:sz w:val="16"/>
              </w:rPr>
              <w:t>Example</w:t>
            </w:r>
          </w:p>
        </w:tc>
        <w:tc>
          <w:tcPr>
            <w:tcW w:w="2736" w:type="dxa"/>
            <w:shd w:val="clear" w:color="auto" w:fill="D9E4F0"/>
            <w:tcMar>
              <w:top w:w="80" w:type="dxa"/>
              <w:left w:w="90" w:type="dxa"/>
              <w:bottom w:w="80" w:type="dxa"/>
              <w:right w:w="90" w:type="dxa"/>
            </w:tcMar>
            <w:vAlign w:val="center"/>
          </w:tcPr>
          <w:p w14:paraId="6101A39E" w14:textId="77777777" w:rsidR="00B067A9" w:rsidRDefault="00000000">
            <w:r>
              <w:rPr>
                <w:b/>
                <w:color w:val="192D44"/>
                <w:sz w:val="16"/>
              </w:rPr>
              <w:t>Strength</w:t>
            </w:r>
          </w:p>
        </w:tc>
        <w:tc>
          <w:tcPr>
            <w:tcW w:w="3600" w:type="dxa"/>
            <w:shd w:val="clear" w:color="auto" w:fill="D9E4F0"/>
            <w:tcMar>
              <w:top w:w="80" w:type="dxa"/>
              <w:left w:w="90" w:type="dxa"/>
              <w:bottom w:w="80" w:type="dxa"/>
              <w:right w:w="90" w:type="dxa"/>
            </w:tcMar>
            <w:vAlign w:val="center"/>
          </w:tcPr>
          <w:p w14:paraId="16EEE1AE" w14:textId="77777777" w:rsidR="00B067A9" w:rsidRDefault="00000000">
            <w:r>
              <w:rPr>
                <w:b/>
                <w:color w:val="192D44"/>
                <w:sz w:val="16"/>
              </w:rPr>
              <w:t>Why another layer is useful for benchmark claims</w:t>
            </w:r>
          </w:p>
        </w:tc>
      </w:tr>
      <w:tr w:rsidR="00B067A9" w14:paraId="2D039F27" w14:textId="77777777">
        <w:trPr>
          <w:cantSplit/>
          <w:jc w:val="center"/>
        </w:trPr>
        <w:tc>
          <w:tcPr>
            <w:tcW w:w="2088" w:type="dxa"/>
            <w:tcMar>
              <w:top w:w="80" w:type="dxa"/>
              <w:left w:w="90" w:type="dxa"/>
              <w:bottom w:w="80" w:type="dxa"/>
              <w:right w:w="90" w:type="dxa"/>
            </w:tcMar>
          </w:tcPr>
          <w:p w14:paraId="7A579A0C" w14:textId="77777777" w:rsidR="00B067A9" w:rsidRDefault="00000000">
            <w:r>
              <w:rPr>
                <w:sz w:val="16"/>
              </w:rPr>
              <w:t>Occupation-specific O*NET task</w:t>
            </w:r>
          </w:p>
        </w:tc>
        <w:tc>
          <w:tcPr>
            <w:tcW w:w="2592" w:type="dxa"/>
            <w:tcMar>
              <w:top w:w="80" w:type="dxa"/>
              <w:left w:w="90" w:type="dxa"/>
              <w:bottom w:w="80" w:type="dxa"/>
              <w:right w:w="90" w:type="dxa"/>
            </w:tcMar>
          </w:tcPr>
          <w:p w14:paraId="0DBDCAB4" w14:textId="77777777" w:rsidR="00B067A9" w:rsidRDefault="00000000">
            <w:r>
              <w:rPr>
                <w:sz w:val="16"/>
              </w:rPr>
              <w:t>“Prepare briefs, legal memoranda, or statements of issues…”</w:t>
            </w:r>
          </w:p>
        </w:tc>
        <w:tc>
          <w:tcPr>
            <w:tcW w:w="2736" w:type="dxa"/>
            <w:tcMar>
              <w:top w:w="80" w:type="dxa"/>
              <w:left w:w="90" w:type="dxa"/>
              <w:bottom w:w="80" w:type="dxa"/>
              <w:right w:w="90" w:type="dxa"/>
            </w:tcMar>
          </w:tcPr>
          <w:p w14:paraId="4516171C" w14:textId="77777777" w:rsidR="00B067A9" w:rsidRDefault="00000000">
            <w:r>
              <w:rPr>
                <w:sz w:val="16"/>
              </w:rPr>
              <w:t>Preserves occupation, role, and product detail.</w:t>
            </w:r>
          </w:p>
        </w:tc>
        <w:tc>
          <w:tcPr>
            <w:tcW w:w="3600" w:type="dxa"/>
            <w:tcMar>
              <w:top w:w="80" w:type="dxa"/>
              <w:left w:w="90" w:type="dxa"/>
              <w:bottom w:w="80" w:type="dxa"/>
              <w:right w:w="90" w:type="dxa"/>
            </w:tcMar>
          </w:tcPr>
          <w:p w14:paraId="7B815E17" w14:textId="77777777" w:rsidR="00B067A9" w:rsidRDefault="00000000">
            <w:r>
              <w:rPr>
                <w:sz w:val="16"/>
              </w:rPr>
              <w:t>Too specific to support comparison with analogous analysis in medicine, finance, science, or administration.</w:t>
            </w:r>
          </w:p>
        </w:tc>
      </w:tr>
      <w:tr w:rsidR="00B067A9" w14:paraId="17B30C88" w14:textId="77777777">
        <w:trPr>
          <w:cantSplit/>
          <w:jc w:val="center"/>
        </w:trPr>
        <w:tc>
          <w:tcPr>
            <w:tcW w:w="2088" w:type="dxa"/>
            <w:shd w:val="clear" w:color="auto" w:fill="F7F9FB"/>
            <w:tcMar>
              <w:top w:w="80" w:type="dxa"/>
              <w:left w:w="90" w:type="dxa"/>
              <w:bottom w:w="80" w:type="dxa"/>
              <w:right w:w="90" w:type="dxa"/>
            </w:tcMar>
          </w:tcPr>
          <w:p w14:paraId="7EFD6C50" w14:textId="77777777" w:rsidR="00B067A9" w:rsidRDefault="00000000">
            <w:r>
              <w:rPr>
                <w:sz w:val="16"/>
              </w:rPr>
              <w:t>O*NET generalized activity</w:t>
            </w:r>
          </w:p>
        </w:tc>
        <w:tc>
          <w:tcPr>
            <w:tcW w:w="2592" w:type="dxa"/>
            <w:shd w:val="clear" w:color="auto" w:fill="F7F9FB"/>
            <w:tcMar>
              <w:top w:w="80" w:type="dxa"/>
              <w:left w:w="90" w:type="dxa"/>
              <w:bottom w:w="80" w:type="dxa"/>
              <w:right w:w="90" w:type="dxa"/>
            </w:tcMar>
          </w:tcPr>
          <w:p w14:paraId="5B312E66" w14:textId="77777777" w:rsidR="00B067A9" w:rsidRDefault="00000000">
            <w:r>
              <w:rPr>
                <w:sz w:val="16"/>
              </w:rPr>
              <w:t>“Making Decisions and Solving Problems.”</w:t>
            </w:r>
          </w:p>
        </w:tc>
        <w:tc>
          <w:tcPr>
            <w:tcW w:w="2736" w:type="dxa"/>
            <w:shd w:val="clear" w:color="auto" w:fill="F7F9FB"/>
            <w:tcMar>
              <w:top w:w="80" w:type="dxa"/>
              <w:left w:w="90" w:type="dxa"/>
              <w:bottom w:w="80" w:type="dxa"/>
              <w:right w:w="90" w:type="dxa"/>
            </w:tcMar>
          </w:tcPr>
          <w:p w14:paraId="08CDEA22" w14:textId="77777777" w:rsidR="00B067A9" w:rsidRDefault="00000000">
            <w:r>
              <w:rPr>
                <w:sz w:val="16"/>
              </w:rPr>
              <w:t>Supports cross-occupation description.</w:t>
            </w:r>
          </w:p>
        </w:tc>
        <w:tc>
          <w:tcPr>
            <w:tcW w:w="3600" w:type="dxa"/>
            <w:shd w:val="clear" w:color="auto" w:fill="F7F9FB"/>
            <w:tcMar>
              <w:top w:w="80" w:type="dxa"/>
              <w:left w:w="90" w:type="dxa"/>
              <w:bottom w:w="80" w:type="dxa"/>
              <w:right w:w="90" w:type="dxa"/>
            </w:tcMar>
          </w:tcPr>
          <w:p w14:paraId="5E9BBD1E" w14:textId="77777777" w:rsidR="00B067A9" w:rsidRDefault="00000000">
            <w:r>
              <w:rPr>
                <w:sz w:val="16"/>
              </w:rPr>
              <w:t>Intentionally combines analysis, appraisal, advising, design, and troubleshooting that can be different benchmark targets.</w:t>
            </w:r>
          </w:p>
        </w:tc>
      </w:tr>
      <w:tr w:rsidR="00B067A9" w14:paraId="2856FF82" w14:textId="77777777">
        <w:trPr>
          <w:cantSplit/>
          <w:jc w:val="center"/>
        </w:trPr>
        <w:tc>
          <w:tcPr>
            <w:tcW w:w="2088" w:type="dxa"/>
            <w:tcMar>
              <w:top w:w="80" w:type="dxa"/>
              <w:left w:w="90" w:type="dxa"/>
              <w:bottom w:w="80" w:type="dxa"/>
              <w:right w:w="90" w:type="dxa"/>
            </w:tcMar>
          </w:tcPr>
          <w:p w14:paraId="4AF46EB5" w14:textId="77777777" w:rsidR="00B067A9" w:rsidRDefault="00000000">
            <w:r>
              <w:rPr>
                <w:sz w:val="16"/>
              </w:rPr>
              <w:t>18-operation consolidation</w:t>
            </w:r>
          </w:p>
        </w:tc>
        <w:tc>
          <w:tcPr>
            <w:tcW w:w="2592" w:type="dxa"/>
            <w:tcMar>
              <w:top w:w="80" w:type="dxa"/>
              <w:left w:w="90" w:type="dxa"/>
              <w:bottom w:w="80" w:type="dxa"/>
              <w:right w:w="90" w:type="dxa"/>
            </w:tcMar>
          </w:tcPr>
          <w:p w14:paraId="1E480387" w14:textId="77777777" w:rsidR="00B067A9" w:rsidRDefault="00000000">
            <w:r>
              <w:rPr>
                <w:sz w:val="16"/>
              </w:rPr>
              <w:t>Analysis; appraisal; advising; design; troubleshooting; record keeping; etc.</w:t>
            </w:r>
          </w:p>
        </w:tc>
        <w:tc>
          <w:tcPr>
            <w:tcW w:w="2736" w:type="dxa"/>
            <w:tcMar>
              <w:top w:w="80" w:type="dxa"/>
              <w:left w:w="90" w:type="dxa"/>
              <w:bottom w:w="80" w:type="dxa"/>
              <w:right w:w="90" w:type="dxa"/>
            </w:tcMar>
          </w:tcPr>
          <w:p w14:paraId="4BBC097D" w14:textId="77777777" w:rsidR="00B067A9" w:rsidRDefault="00000000">
            <w:r>
              <w:rPr>
                <w:sz w:val="16"/>
              </w:rPr>
              <w:t>Names recurring input–output transformations at a comparable level.</w:t>
            </w:r>
          </w:p>
        </w:tc>
        <w:tc>
          <w:tcPr>
            <w:tcW w:w="3600" w:type="dxa"/>
            <w:tcMar>
              <w:top w:w="80" w:type="dxa"/>
              <w:left w:w="90" w:type="dxa"/>
              <w:bottom w:w="80" w:type="dxa"/>
              <w:right w:w="90" w:type="dxa"/>
            </w:tcMar>
          </w:tcPr>
          <w:p w14:paraId="07C4EA23" w14:textId="77777777" w:rsidR="00B067A9" w:rsidRDefault="00000000">
            <w:r>
              <w:rPr>
                <w:sz w:val="16"/>
              </w:rPr>
              <w:t>Requires the tested-setting and receiving-product fields to restore the context omitted by consolidation.</w:t>
            </w:r>
          </w:p>
        </w:tc>
      </w:tr>
    </w:tbl>
    <w:p w14:paraId="2C94D9F2" w14:textId="77777777" w:rsidR="00B067A9" w:rsidRDefault="00B067A9">
      <w:pPr>
        <w:spacing w:after="0"/>
      </w:pPr>
    </w:p>
    <w:p w14:paraId="6579E9D6" w14:textId="77777777" w:rsidR="00B067A9" w:rsidRDefault="00000000">
      <w:pPr>
        <w:spacing w:after="60" w:line="250" w:lineRule="auto"/>
      </w:pPr>
      <w:r>
        <w:t>The construction record will be reported in full. We embedded 12,464 O*NET task statements, reduced the embeddings to 15 dimensions with UMAP (cosine distance, n_neighbors=30, min_dist=0, seed=42), and obtained 108 HDBSCAN source clusters; 4,487 points treated as noise by HDBSCAN were soft-assigned for downstream review. The authors reviewed the contents of all clusters, not only selected exemplars, removed occupation-specific wording, and iteratively merged or separated clusters according to the transformation performed and the product left by the work. Four review rounds produced the 18-operation consolidation.</w:t>
      </w:r>
    </w:p>
    <w:p w14:paraId="110C972E" w14:textId="77777777" w:rsidR="00B067A9" w:rsidRDefault="00000000">
      <w:pPr>
        <w:spacing w:after="60" w:line="250" w:lineRule="auto"/>
      </w:pPr>
      <w:r>
        <w:t>No single statistic can validate an aim-dependent typology. Clustering research explicitly cautions that a useful partition depends on the purpose and should be evaluated using several forms of evidence. We therefore separate five questions rather than calling the result “accurate.”</w:t>
      </w:r>
    </w:p>
    <w:tbl>
      <w:tblPr>
        <w:tblStyle w:val="TableGrid"/>
        <w:tblW w:w="0" w:type="auto"/>
        <w:jc w:val="center"/>
        <w:tblLook w:val="04A0" w:firstRow="1" w:lastRow="0" w:firstColumn="1" w:lastColumn="0" w:noHBand="0" w:noVBand="1"/>
      </w:tblPr>
      <w:tblGrid>
        <w:gridCol w:w="1489"/>
        <w:gridCol w:w="2166"/>
        <w:gridCol w:w="2158"/>
        <w:gridCol w:w="2305"/>
        <w:gridCol w:w="2516"/>
      </w:tblGrid>
      <w:tr w:rsidR="00B067A9" w14:paraId="34114464" w14:textId="77777777">
        <w:trPr>
          <w:tblHeader/>
          <w:jc w:val="center"/>
        </w:trPr>
        <w:tc>
          <w:tcPr>
            <w:tcW w:w="1512" w:type="dxa"/>
            <w:shd w:val="clear" w:color="auto" w:fill="D9E4F0"/>
            <w:tcMar>
              <w:top w:w="80" w:type="dxa"/>
              <w:left w:w="90" w:type="dxa"/>
              <w:bottom w:w="80" w:type="dxa"/>
              <w:right w:w="90" w:type="dxa"/>
            </w:tcMar>
            <w:vAlign w:val="center"/>
          </w:tcPr>
          <w:p w14:paraId="2B106A6C" w14:textId="77777777" w:rsidR="00B067A9" w:rsidRDefault="00000000">
            <w:r>
              <w:rPr>
                <w:b/>
                <w:color w:val="192D44"/>
                <w:sz w:val="15"/>
              </w:rPr>
              <w:t>Question</w:t>
            </w:r>
          </w:p>
        </w:tc>
        <w:tc>
          <w:tcPr>
            <w:tcW w:w="2232" w:type="dxa"/>
            <w:shd w:val="clear" w:color="auto" w:fill="D9E4F0"/>
            <w:tcMar>
              <w:top w:w="80" w:type="dxa"/>
              <w:left w:w="90" w:type="dxa"/>
              <w:bottom w:w="80" w:type="dxa"/>
              <w:right w:w="90" w:type="dxa"/>
            </w:tcMar>
            <w:vAlign w:val="center"/>
          </w:tcPr>
          <w:p w14:paraId="2FCF793E" w14:textId="77777777" w:rsidR="00B067A9" w:rsidRDefault="00000000">
            <w:r>
              <w:rPr>
                <w:b/>
                <w:color w:val="192D44"/>
                <w:sz w:val="15"/>
              </w:rPr>
              <w:t>Evidence</w:t>
            </w:r>
          </w:p>
        </w:tc>
        <w:tc>
          <w:tcPr>
            <w:tcW w:w="2232" w:type="dxa"/>
            <w:shd w:val="clear" w:color="auto" w:fill="D9E4F0"/>
            <w:tcMar>
              <w:top w:w="80" w:type="dxa"/>
              <w:left w:w="90" w:type="dxa"/>
              <w:bottom w:w="80" w:type="dxa"/>
              <w:right w:w="90" w:type="dxa"/>
            </w:tcMar>
            <w:vAlign w:val="center"/>
          </w:tcPr>
          <w:p w14:paraId="456B085B" w14:textId="77777777" w:rsidR="00B067A9" w:rsidRDefault="00000000">
            <w:r>
              <w:rPr>
                <w:b/>
                <w:color w:val="192D44"/>
                <w:sz w:val="15"/>
              </w:rPr>
              <w:t>Result</w:t>
            </w:r>
          </w:p>
        </w:tc>
        <w:tc>
          <w:tcPr>
            <w:tcW w:w="2376" w:type="dxa"/>
            <w:shd w:val="clear" w:color="auto" w:fill="D9E4F0"/>
            <w:tcMar>
              <w:top w:w="80" w:type="dxa"/>
              <w:left w:w="90" w:type="dxa"/>
              <w:bottom w:w="80" w:type="dxa"/>
              <w:right w:w="90" w:type="dxa"/>
            </w:tcMar>
            <w:vAlign w:val="center"/>
          </w:tcPr>
          <w:p w14:paraId="362C53D1" w14:textId="77777777" w:rsidR="00B067A9" w:rsidRDefault="00000000">
            <w:r>
              <w:rPr>
                <w:b/>
                <w:color w:val="192D44"/>
                <w:sz w:val="15"/>
              </w:rPr>
              <w:t>What it supports</w:t>
            </w:r>
          </w:p>
        </w:tc>
        <w:tc>
          <w:tcPr>
            <w:tcW w:w="2592" w:type="dxa"/>
            <w:shd w:val="clear" w:color="auto" w:fill="D9E4F0"/>
            <w:tcMar>
              <w:top w:w="80" w:type="dxa"/>
              <w:left w:w="90" w:type="dxa"/>
              <w:bottom w:w="80" w:type="dxa"/>
              <w:right w:w="90" w:type="dxa"/>
            </w:tcMar>
            <w:vAlign w:val="center"/>
          </w:tcPr>
          <w:p w14:paraId="5D983AB6" w14:textId="77777777" w:rsidR="00B067A9" w:rsidRDefault="00000000">
            <w:r>
              <w:rPr>
                <w:b/>
                <w:color w:val="192D44"/>
                <w:sz w:val="15"/>
              </w:rPr>
              <w:t>What it does not support</w:t>
            </w:r>
          </w:p>
        </w:tc>
      </w:tr>
      <w:tr w:rsidR="00B067A9" w14:paraId="30519F2B" w14:textId="77777777">
        <w:trPr>
          <w:cantSplit/>
          <w:jc w:val="center"/>
        </w:trPr>
        <w:tc>
          <w:tcPr>
            <w:tcW w:w="1512" w:type="dxa"/>
            <w:tcMar>
              <w:top w:w="80" w:type="dxa"/>
              <w:left w:w="90" w:type="dxa"/>
              <w:bottom w:w="80" w:type="dxa"/>
              <w:right w:w="90" w:type="dxa"/>
            </w:tcMar>
          </w:tcPr>
          <w:p w14:paraId="157975DD" w14:textId="77777777" w:rsidR="00B067A9" w:rsidRDefault="00000000">
            <w:r>
              <w:rPr>
                <w:sz w:val="15"/>
              </w:rPr>
              <w:lastRenderedPageBreak/>
              <w:t>Internal coherence</w:t>
            </w:r>
          </w:p>
        </w:tc>
        <w:tc>
          <w:tcPr>
            <w:tcW w:w="2232" w:type="dxa"/>
            <w:tcMar>
              <w:top w:w="80" w:type="dxa"/>
              <w:left w:w="90" w:type="dxa"/>
              <w:bottom w:w="80" w:type="dxa"/>
              <w:right w:w="90" w:type="dxa"/>
            </w:tcMar>
          </w:tcPr>
          <w:p w14:paraId="6FAB6856" w14:textId="77777777" w:rsidR="00B067A9" w:rsidRDefault="00000000">
            <w:r>
              <w:rPr>
                <w:sz w:val="15"/>
              </w:rPr>
              <w:t>Task-to-operation-centroid cosine similarity; blinded 1–5 human coherence ratings.</w:t>
            </w:r>
          </w:p>
        </w:tc>
        <w:tc>
          <w:tcPr>
            <w:tcW w:w="2232" w:type="dxa"/>
            <w:tcMar>
              <w:top w:w="80" w:type="dxa"/>
              <w:left w:w="90" w:type="dxa"/>
              <w:bottom w:w="80" w:type="dxa"/>
              <w:right w:w="90" w:type="dxa"/>
            </w:tcMar>
          </w:tcPr>
          <w:p w14:paraId="1DCEAF45" w14:textId="77777777" w:rsidR="00B067A9" w:rsidRDefault="00000000">
            <w:r>
              <w:rPr>
                <w:sz w:val="15"/>
              </w:rPr>
              <w:t>Operation median similarity 0.538–0.911; weighted mean 0.581. Validator means 3.833 and 4.056; median 4 for both.</w:t>
            </w:r>
          </w:p>
        </w:tc>
        <w:tc>
          <w:tcPr>
            <w:tcW w:w="2376" w:type="dxa"/>
            <w:tcMar>
              <w:top w:w="80" w:type="dxa"/>
              <w:left w:w="90" w:type="dxa"/>
              <w:bottom w:w="80" w:type="dxa"/>
              <w:right w:w="90" w:type="dxa"/>
            </w:tcMar>
          </w:tcPr>
          <w:p w14:paraId="1D269F7E" w14:textId="77777777" w:rsidR="00B067A9" w:rsidRDefault="00000000">
            <w:r>
              <w:rPr>
                <w:sz w:val="15"/>
              </w:rPr>
              <w:t>Tasks grouped under an operation have interpretable semantic concentration.</w:t>
            </w:r>
          </w:p>
        </w:tc>
        <w:tc>
          <w:tcPr>
            <w:tcW w:w="2592" w:type="dxa"/>
            <w:tcMar>
              <w:top w:w="80" w:type="dxa"/>
              <w:left w:w="90" w:type="dxa"/>
              <w:bottom w:w="80" w:type="dxa"/>
              <w:right w:w="90" w:type="dxa"/>
            </w:tcMar>
          </w:tcPr>
          <w:p w14:paraId="6DC16BCE" w14:textId="77777777" w:rsidR="00B067A9" w:rsidRDefault="00000000">
            <w:r>
              <w:rPr>
                <w:sz w:val="15"/>
              </w:rPr>
              <w:t>No universal threshold or proof that the partition is uniquely correct.</w:t>
            </w:r>
          </w:p>
        </w:tc>
      </w:tr>
      <w:tr w:rsidR="00B067A9" w14:paraId="3469BA7E" w14:textId="77777777">
        <w:trPr>
          <w:cantSplit/>
          <w:jc w:val="center"/>
        </w:trPr>
        <w:tc>
          <w:tcPr>
            <w:tcW w:w="1512" w:type="dxa"/>
            <w:shd w:val="clear" w:color="auto" w:fill="F7F9FB"/>
            <w:tcMar>
              <w:top w:w="80" w:type="dxa"/>
              <w:left w:w="90" w:type="dxa"/>
              <w:bottom w:w="80" w:type="dxa"/>
              <w:right w:w="90" w:type="dxa"/>
            </w:tcMar>
          </w:tcPr>
          <w:p w14:paraId="46540CA9" w14:textId="77777777" w:rsidR="00B067A9" w:rsidRDefault="00000000">
            <w:r>
              <w:rPr>
                <w:sz w:val="15"/>
              </w:rPr>
              <w:t>Algorithm sensitivity</w:t>
            </w:r>
          </w:p>
        </w:tc>
        <w:tc>
          <w:tcPr>
            <w:tcW w:w="2232" w:type="dxa"/>
            <w:shd w:val="clear" w:color="auto" w:fill="F7F9FB"/>
            <w:tcMar>
              <w:top w:w="80" w:type="dxa"/>
              <w:left w:w="90" w:type="dxa"/>
              <w:bottom w:w="80" w:type="dxa"/>
              <w:right w:w="90" w:type="dxa"/>
            </w:tcMar>
          </w:tcPr>
          <w:p w14:paraId="217699A5" w14:textId="77777777" w:rsidR="00B067A9" w:rsidRDefault="00000000">
            <w:r>
              <w:rPr>
                <w:sz w:val="15"/>
              </w:rPr>
              <w:t>KMeans (k=40) compared with HDBSCAN non-noise assignments.</w:t>
            </w:r>
          </w:p>
        </w:tc>
        <w:tc>
          <w:tcPr>
            <w:tcW w:w="2232" w:type="dxa"/>
            <w:shd w:val="clear" w:color="auto" w:fill="F7F9FB"/>
            <w:tcMar>
              <w:top w:w="80" w:type="dxa"/>
              <w:left w:w="90" w:type="dxa"/>
              <w:bottom w:w="80" w:type="dxa"/>
              <w:right w:w="90" w:type="dxa"/>
            </w:tcMar>
          </w:tcPr>
          <w:p w14:paraId="5DF11825" w14:textId="77777777" w:rsidR="00B067A9" w:rsidRDefault="00000000">
            <w:r>
              <w:rPr>
                <w:sz w:val="15"/>
              </w:rPr>
              <w:t>ARI 0.460; NMI 0.822.</w:t>
            </w:r>
          </w:p>
        </w:tc>
        <w:tc>
          <w:tcPr>
            <w:tcW w:w="2376" w:type="dxa"/>
            <w:shd w:val="clear" w:color="auto" w:fill="F7F9FB"/>
            <w:tcMar>
              <w:top w:w="80" w:type="dxa"/>
              <w:left w:w="90" w:type="dxa"/>
              <w:bottom w:w="80" w:type="dxa"/>
              <w:right w:w="90" w:type="dxa"/>
            </w:tcMar>
          </w:tcPr>
          <w:p w14:paraId="05382F0B" w14:textId="77777777" w:rsidR="00B067A9" w:rsidRDefault="00000000">
            <w:r>
              <w:rPr>
                <w:sz w:val="15"/>
              </w:rPr>
              <w:t>A related broad organization is present under a different algorithm.</w:t>
            </w:r>
          </w:p>
        </w:tc>
        <w:tc>
          <w:tcPr>
            <w:tcW w:w="2592" w:type="dxa"/>
            <w:shd w:val="clear" w:color="auto" w:fill="F7F9FB"/>
            <w:tcMar>
              <w:top w:w="80" w:type="dxa"/>
              <w:left w:w="90" w:type="dxa"/>
              <w:bottom w:w="80" w:type="dxa"/>
              <w:right w:w="90" w:type="dxa"/>
            </w:tcMar>
          </w:tcPr>
          <w:p w14:paraId="5771662D" w14:textId="77777777" w:rsidR="00B067A9" w:rsidRDefault="00000000">
            <w:r>
              <w:rPr>
                <w:sz w:val="15"/>
              </w:rPr>
              <w:t>Not a repeated-seed stability study and not exact reproducibility; k=40 is an alternative granularity, not a gold standard.</w:t>
            </w:r>
          </w:p>
        </w:tc>
      </w:tr>
      <w:tr w:rsidR="00B067A9" w14:paraId="0312ACCC" w14:textId="77777777">
        <w:trPr>
          <w:cantSplit/>
          <w:jc w:val="center"/>
        </w:trPr>
        <w:tc>
          <w:tcPr>
            <w:tcW w:w="1512" w:type="dxa"/>
            <w:tcMar>
              <w:top w:w="80" w:type="dxa"/>
              <w:left w:w="90" w:type="dxa"/>
              <w:bottom w:w="80" w:type="dxa"/>
              <w:right w:w="90" w:type="dxa"/>
            </w:tcMar>
          </w:tcPr>
          <w:p w14:paraId="57244E10" w14:textId="77777777" w:rsidR="00B067A9" w:rsidRDefault="00000000">
            <w:r>
              <w:rPr>
                <w:sz w:val="15"/>
              </w:rPr>
              <w:t>External recoverability</w:t>
            </w:r>
          </w:p>
        </w:tc>
        <w:tc>
          <w:tcPr>
            <w:tcW w:w="2232" w:type="dxa"/>
            <w:tcMar>
              <w:top w:w="80" w:type="dxa"/>
              <w:left w:w="90" w:type="dxa"/>
              <w:bottom w:w="80" w:type="dxa"/>
              <w:right w:w="90" w:type="dxa"/>
            </w:tcMar>
          </w:tcPr>
          <w:p w14:paraId="26D390EF" w14:textId="77777777" w:rsidR="00B067A9" w:rsidRDefault="00000000">
            <w:r>
              <w:rPr>
                <w:sz w:val="15"/>
              </w:rPr>
              <w:t>Mapping to independently developed ESCO v1.1.1 skills; nearest-neighbor permutation baseline.</w:t>
            </w:r>
          </w:p>
        </w:tc>
        <w:tc>
          <w:tcPr>
            <w:tcW w:w="2232" w:type="dxa"/>
            <w:tcMar>
              <w:top w:w="80" w:type="dxa"/>
              <w:left w:w="90" w:type="dxa"/>
              <w:bottom w:w="80" w:type="dxa"/>
              <w:right w:w="90" w:type="dxa"/>
            </w:tcMar>
          </w:tcPr>
          <w:p w14:paraId="1D6BE17D" w14:textId="77777777" w:rsidR="00B067A9" w:rsidRDefault="00000000">
            <w:r>
              <w:rPr>
                <w:sz w:val="15"/>
              </w:rPr>
              <w:t>5,730/5,826 scoped skills mapped; all 18 recovered; 3,893 high-confidence; k=1 same-operation 45.15% versus 8.52% permuted.</w:t>
            </w:r>
          </w:p>
        </w:tc>
        <w:tc>
          <w:tcPr>
            <w:tcW w:w="2376" w:type="dxa"/>
            <w:tcMar>
              <w:top w:w="80" w:type="dxa"/>
              <w:left w:w="90" w:type="dxa"/>
              <w:bottom w:w="80" w:type="dxa"/>
              <w:right w:w="90" w:type="dxa"/>
            </w:tcMar>
          </w:tcPr>
          <w:p w14:paraId="4EB648E2" w14:textId="77777777" w:rsidR="00B067A9" w:rsidRDefault="00000000">
            <w:r>
              <w:rPr>
                <w:sz w:val="15"/>
              </w:rPr>
              <w:t>The distinctions transfer beyond O*NET and show non-random local structure.</w:t>
            </w:r>
          </w:p>
        </w:tc>
        <w:tc>
          <w:tcPr>
            <w:tcW w:w="2592" w:type="dxa"/>
            <w:tcMar>
              <w:top w:w="80" w:type="dxa"/>
              <w:left w:w="90" w:type="dxa"/>
              <w:bottom w:w="80" w:type="dxa"/>
              <w:right w:w="90" w:type="dxa"/>
            </w:tcMar>
          </w:tcPr>
          <w:p w14:paraId="4216E316" w14:textId="77777777" w:rsidR="00B067A9" w:rsidRDefault="00000000">
            <w:r>
              <w:rPr>
                <w:sz w:val="15"/>
              </w:rPr>
              <w:t>Not task-classification accuracy and not evidence that every mapping is substantively correct.</w:t>
            </w:r>
          </w:p>
        </w:tc>
      </w:tr>
      <w:tr w:rsidR="00B067A9" w14:paraId="283627FE" w14:textId="77777777">
        <w:trPr>
          <w:cantSplit/>
          <w:jc w:val="center"/>
        </w:trPr>
        <w:tc>
          <w:tcPr>
            <w:tcW w:w="1512" w:type="dxa"/>
            <w:shd w:val="clear" w:color="auto" w:fill="F7F9FB"/>
            <w:tcMar>
              <w:top w:w="80" w:type="dxa"/>
              <w:left w:w="90" w:type="dxa"/>
              <w:bottom w:w="80" w:type="dxa"/>
              <w:right w:w="90" w:type="dxa"/>
            </w:tcMar>
          </w:tcPr>
          <w:p w14:paraId="7E7BAD80" w14:textId="77777777" w:rsidR="00B067A9" w:rsidRDefault="00000000">
            <w:r>
              <w:rPr>
                <w:sz w:val="15"/>
              </w:rPr>
              <w:t>Open-label interpretability</w:t>
            </w:r>
          </w:p>
        </w:tc>
        <w:tc>
          <w:tcPr>
            <w:tcW w:w="2232" w:type="dxa"/>
            <w:shd w:val="clear" w:color="auto" w:fill="F7F9FB"/>
            <w:tcMar>
              <w:top w:w="80" w:type="dxa"/>
              <w:left w:w="90" w:type="dxa"/>
              <w:bottom w:w="80" w:type="dxa"/>
              <w:right w:w="90" w:type="dxa"/>
            </w:tcMar>
          </w:tcPr>
          <w:p w14:paraId="69BC0BD3" w14:textId="77777777" w:rsidR="00B067A9" w:rsidRDefault="00000000">
            <w:r>
              <w:rPr>
                <w:sz w:val="15"/>
              </w:rPr>
              <w:t>Two independent validators; 18 blinded task cards presented in randomized order; open labels, coherence, and outlier marking.</w:t>
            </w:r>
          </w:p>
        </w:tc>
        <w:tc>
          <w:tcPr>
            <w:tcW w:w="2232" w:type="dxa"/>
            <w:shd w:val="clear" w:color="auto" w:fill="F7F9FB"/>
            <w:tcMar>
              <w:top w:w="80" w:type="dxa"/>
              <w:left w:w="90" w:type="dxa"/>
              <w:bottom w:w="80" w:type="dxa"/>
              <w:right w:w="90" w:type="dxa"/>
            </w:tcMar>
          </w:tcPr>
          <w:p w14:paraId="6E1E85E0" w14:textId="77777777" w:rsidR="00B067A9" w:rsidRDefault="00000000">
            <w:r>
              <w:rPr>
                <w:sz w:val="15"/>
              </w:rPr>
              <w:t>Exact coherence agreement 12/18; within one point 18/18; quadratic weighted κ=0.802. Strict direct recovery 15/18 and 16/18; direct-or-partial 17/18 each. Joint outliers 3/71.</w:t>
            </w:r>
          </w:p>
        </w:tc>
        <w:tc>
          <w:tcPr>
            <w:tcW w:w="2376" w:type="dxa"/>
            <w:shd w:val="clear" w:color="auto" w:fill="F7F9FB"/>
            <w:tcMar>
              <w:top w:w="80" w:type="dxa"/>
              <w:left w:w="90" w:type="dxa"/>
              <w:bottom w:w="80" w:type="dxa"/>
              <w:right w:w="90" w:type="dxa"/>
            </w:tcMar>
          </w:tcPr>
          <w:p w14:paraId="2402D59E" w14:textId="77777777" w:rsidR="00B067A9" w:rsidRDefault="00000000">
            <w:r>
              <w:rPr>
                <w:sz w:val="15"/>
              </w:rPr>
              <w:t>Most operations can be independently recognized without definitions.</w:t>
            </w:r>
          </w:p>
        </w:tc>
        <w:tc>
          <w:tcPr>
            <w:tcW w:w="2592" w:type="dxa"/>
            <w:shd w:val="clear" w:color="auto" w:fill="F7F9FB"/>
            <w:tcMar>
              <w:top w:w="80" w:type="dxa"/>
              <w:left w:w="90" w:type="dxa"/>
              <w:bottom w:w="80" w:type="dxa"/>
              <w:right w:w="90" w:type="dxa"/>
            </w:tcMar>
          </w:tcPr>
          <w:p w14:paraId="1BC9CFD0" w14:textId="77777777" w:rsidR="00B067A9" w:rsidRDefault="00000000">
            <w:r>
              <w:rPr>
                <w:sz w:val="15"/>
              </w:rPr>
              <w:t>Small validator sample; manually selected cards; author-coded correspondence; incomplete corpus annotation.</w:t>
            </w:r>
          </w:p>
        </w:tc>
      </w:tr>
      <w:tr w:rsidR="00B067A9" w14:paraId="3DB4D87B" w14:textId="77777777">
        <w:trPr>
          <w:cantSplit/>
          <w:jc w:val="center"/>
        </w:trPr>
        <w:tc>
          <w:tcPr>
            <w:tcW w:w="1512" w:type="dxa"/>
            <w:tcMar>
              <w:top w:w="80" w:type="dxa"/>
              <w:left w:w="90" w:type="dxa"/>
              <w:bottom w:w="80" w:type="dxa"/>
              <w:right w:w="90" w:type="dxa"/>
            </w:tcMar>
          </w:tcPr>
          <w:p w14:paraId="40A9156A" w14:textId="77777777" w:rsidR="00B067A9" w:rsidRDefault="00000000">
            <w:r>
              <w:rPr>
                <w:sz w:val="15"/>
              </w:rPr>
              <w:t>Definition recognition</w:t>
            </w:r>
          </w:p>
        </w:tc>
        <w:tc>
          <w:tcPr>
            <w:tcW w:w="2232" w:type="dxa"/>
            <w:tcMar>
              <w:top w:w="80" w:type="dxa"/>
              <w:left w:w="90" w:type="dxa"/>
              <w:bottom w:w="80" w:type="dxa"/>
              <w:right w:w="90" w:type="dxa"/>
            </w:tcMar>
          </w:tcPr>
          <w:p w14:paraId="31A74AB1" w14:textId="77777777" w:rsidR="00B067A9" w:rsidRDefault="00000000">
            <w:r>
              <w:rPr>
                <w:sz w:val="15"/>
              </w:rPr>
              <w:t>Stage 2 matching after definitions were revealed.</w:t>
            </w:r>
          </w:p>
        </w:tc>
        <w:tc>
          <w:tcPr>
            <w:tcW w:w="2232" w:type="dxa"/>
            <w:tcMar>
              <w:top w:w="80" w:type="dxa"/>
              <w:left w:w="90" w:type="dxa"/>
              <w:bottom w:w="80" w:type="dxa"/>
              <w:right w:w="90" w:type="dxa"/>
            </w:tcMar>
          </w:tcPr>
          <w:p w14:paraId="79E93134" w14:textId="77777777" w:rsidR="00B067A9" w:rsidRDefault="00000000">
            <w:r>
              <w:rPr>
                <w:sz w:val="15"/>
              </w:rPr>
              <w:t>Both validators matched 18/18.</w:t>
            </w:r>
          </w:p>
        </w:tc>
        <w:tc>
          <w:tcPr>
            <w:tcW w:w="2376" w:type="dxa"/>
            <w:tcMar>
              <w:top w:w="80" w:type="dxa"/>
              <w:left w:w="90" w:type="dxa"/>
              <w:bottom w:w="80" w:type="dxa"/>
              <w:right w:w="90" w:type="dxa"/>
            </w:tcMar>
          </w:tcPr>
          <w:p w14:paraId="02118DFB" w14:textId="77777777" w:rsidR="00B067A9" w:rsidRDefault="00000000">
            <w:r>
              <w:rPr>
                <w:sz w:val="15"/>
              </w:rPr>
              <w:t>The definitions are legible and distinguishable after exposure.</w:t>
            </w:r>
          </w:p>
        </w:tc>
        <w:tc>
          <w:tcPr>
            <w:tcW w:w="2592" w:type="dxa"/>
            <w:tcMar>
              <w:top w:w="80" w:type="dxa"/>
              <w:left w:w="90" w:type="dxa"/>
              <w:bottom w:w="80" w:type="dxa"/>
              <w:right w:w="90" w:type="dxa"/>
            </w:tcMar>
          </w:tcPr>
          <w:p w14:paraId="768093D9" w14:textId="77777777" w:rsidR="00B067A9" w:rsidRDefault="00000000">
            <w:r>
              <w:rPr>
                <w:sz w:val="15"/>
              </w:rPr>
              <w:t>Not independent construct validation. Protocol Execution remained the weakest open-label abstraction.</w:t>
            </w:r>
          </w:p>
        </w:tc>
      </w:tr>
    </w:tbl>
    <w:p w14:paraId="5DE1BF9F" w14:textId="77777777" w:rsidR="00B067A9" w:rsidRDefault="00B067A9">
      <w:pPr>
        <w:spacing w:after="0"/>
      </w:pPr>
    </w:p>
    <w:p w14:paraId="388127E7" w14:textId="77777777" w:rsidR="00B067A9" w:rsidRDefault="00000000">
      <w:pPr>
        <w:spacing w:after="60" w:line="250" w:lineRule="auto"/>
      </w:pPr>
      <w:r>
        <w:t>We will report the failure rather than smoothing it away. Protocol Execution was not independently recovered: both validators identified navigation, and its coherence was 2/5. The Record Keeping card also exposed a boundary involving copy editing. These results support most of the consolidation while identifying where definitions or grouping should be reconsidered. They are more informative than an inflated “18/18 accuracy” claim, which we have removed.</w:t>
      </w:r>
    </w:p>
    <w:p w14:paraId="4DE4AD65" w14:textId="77777777" w:rsidR="00B067A9" w:rsidRDefault="00000000">
      <w:pPr>
        <w:spacing w:after="60" w:line="250" w:lineRule="auto"/>
      </w:pPr>
      <w:r>
        <w:t>A full crosswalk against the official O*NET Detailed and Intermediate Work Activities and annotation of a larger independent sample would be valuable follow-up validation. The paper’s central argument does not depend on the operations being the only possible taxonomy. It depends on benchmarks naming a defensible work construct at a level that permits comparison and then specifying the setting and receiving product. The current evidence supports the typology’s usability, interpretability, robustness at a broad level, and external recoverability for that purpose.</w:t>
      </w:r>
    </w:p>
    <w:p w14:paraId="58DCEBC8" w14:textId="77777777" w:rsidR="00B067A9" w:rsidRDefault="00000000">
      <w:pPr>
        <w:keepLines/>
        <w:shd w:val="clear" w:color="auto" w:fill="F6F6F6"/>
        <w:spacing w:before="60" w:after="100"/>
        <w:ind w:left="173" w:right="173"/>
      </w:pPr>
      <w:r>
        <w:rPr>
          <w:b/>
          <w:sz w:val="19"/>
        </w:rPr>
        <w:t xml:space="preserve">Manuscript revision. </w:t>
      </w:r>
      <w:r>
        <w:rPr>
          <w:i/>
          <w:sz w:val="19"/>
        </w:rPr>
        <w:t>Add the OfficeQA Pro redesign; describe the 18 operations as an aim-dependent benchmark-reporting consolidation; report the complete construction pipeline, all five validation layers, the failed Protocol Execution abstraction, the manually selected-card limitation, and the fact that Stage 2 measures definition recognition rather than independent validation.</w:t>
      </w:r>
    </w:p>
    <w:p w14:paraId="2E4E4DAB" w14:textId="77777777" w:rsidR="00B067A9" w:rsidRDefault="00000000">
      <w:pPr>
        <w:spacing w:before="40" w:after="20"/>
      </w:pPr>
      <w:r>
        <w:rPr>
          <w:b/>
          <w:color w:val="3C3C3C"/>
          <w:sz w:val="18"/>
        </w:rPr>
        <w:t>References cited in this reply</w:t>
      </w:r>
    </w:p>
    <w:p w14:paraId="0D06762F" w14:textId="77777777" w:rsidR="00B067A9" w:rsidRDefault="00000000">
      <w:pPr>
        <w:spacing w:after="30" w:line="240" w:lineRule="auto"/>
        <w:ind w:left="317" w:hanging="230"/>
      </w:pPr>
      <w:r>
        <w:rPr>
          <w:color w:val="414141"/>
          <w:sz w:val="16"/>
        </w:rPr>
        <w:t>[V1] O*NET Resource Center. O*NET Content Model and Work Activities hierarchy.</w:t>
      </w:r>
    </w:p>
    <w:p w14:paraId="4BF0B37A" w14:textId="77777777" w:rsidR="00B067A9" w:rsidRDefault="00000000">
      <w:pPr>
        <w:spacing w:after="30" w:line="240" w:lineRule="auto"/>
        <w:ind w:left="317" w:hanging="230"/>
      </w:pPr>
      <w:r>
        <w:rPr>
          <w:color w:val="414141"/>
          <w:sz w:val="16"/>
        </w:rPr>
        <w:t>[V2] Hennig, C. (2015). What Are the True Clusters? Pattern Recognition Letters, 64, 53–62. https://doi.org/10.1016/j.patrec.2015.04.009.</w:t>
      </w:r>
    </w:p>
    <w:p w14:paraId="6C223752" w14:textId="77777777" w:rsidR="00B067A9" w:rsidRDefault="00000000">
      <w:pPr>
        <w:spacing w:after="30" w:line="240" w:lineRule="auto"/>
        <w:ind w:left="317" w:hanging="230"/>
      </w:pPr>
      <w:r>
        <w:rPr>
          <w:color w:val="414141"/>
          <w:sz w:val="16"/>
        </w:rPr>
        <w:t>[V3] Ullmann, T., Hennig, C., &amp; Boulesteix, A.-L. (2022). Validation of Cluster Analysis Results on Validation Data: A Systematic Framework. WIREs Data Mining and Knowledge Discovery, 12, e1444. https://doi.org/10.1002/widm.1444.</w:t>
      </w:r>
    </w:p>
    <w:p w14:paraId="77B1231F" w14:textId="77777777" w:rsidR="00B067A9" w:rsidRDefault="00000000">
      <w:pPr>
        <w:spacing w:after="30" w:line="240" w:lineRule="auto"/>
        <w:ind w:left="317" w:hanging="230"/>
      </w:pPr>
      <w:r>
        <w:rPr>
          <w:color w:val="414141"/>
          <w:sz w:val="16"/>
        </w:rPr>
        <w:t>[V4] Nickerson, R. C., Varshney, U., &amp; Muntermann, J. (2013). A Method for Taxonomy Development and Its Application in Information Systems. European Journal of Information Systems, 22(3), 336–359. https://doi.org/10.1057/ejis.2012.26.</w:t>
      </w:r>
    </w:p>
    <w:p w14:paraId="619D5079" w14:textId="77777777" w:rsidR="00B067A9" w:rsidRDefault="00000000">
      <w:pPr>
        <w:spacing w:after="30" w:line="240" w:lineRule="auto"/>
        <w:ind w:left="317" w:hanging="230"/>
      </w:pPr>
      <w:r>
        <w:rPr>
          <w:color w:val="414141"/>
          <w:sz w:val="16"/>
        </w:rPr>
        <w:t>[V5] Doogan, C., &amp; Buntine, W. (2021). Topic Model or Topic Twaddle? Re-evaluating Semantic Interpretability Measures. NAACL 2021.</w:t>
      </w:r>
    </w:p>
    <w:p w14:paraId="6B2527AB" w14:textId="77777777" w:rsidR="00B067A9" w:rsidRDefault="00000000">
      <w:pPr>
        <w:spacing w:after="30" w:line="240" w:lineRule="auto"/>
        <w:ind w:left="317" w:hanging="230"/>
      </w:pPr>
      <w:r>
        <w:rPr>
          <w:color w:val="414141"/>
          <w:sz w:val="16"/>
        </w:rPr>
        <w:t>[V6] Eklund, A., &amp; Forsman, M. (2022). Topic Modeling by Clustering Language Model Embeddings: Human Validation on an Industry Dataset. EMNLP Industry Track 2022.</w:t>
      </w:r>
    </w:p>
    <w:p w14:paraId="0B6FB2AD" w14:textId="77777777" w:rsidR="00B067A9" w:rsidRDefault="00000000">
      <w:pPr>
        <w:keepNext/>
        <w:keepLines/>
        <w:shd w:val="clear" w:color="auto" w:fill="EAF0F7"/>
        <w:spacing w:before="140" w:after="100"/>
        <w:ind w:left="120" w:right="120"/>
      </w:pPr>
      <w:r>
        <w:rPr>
          <w:b/>
          <w:color w:val="23374E"/>
          <w:sz w:val="21"/>
        </w:rPr>
        <w:t>If effective work is eventually recognized through community consensus, how much practical improvement can this position produce?</w:t>
      </w:r>
    </w:p>
    <w:p w14:paraId="57264B5F" w14:textId="77777777" w:rsidR="00B067A9" w:rsidRDefault="00000000">
      <w:pPr>
        <w:spacing w:after="60" w:line="250" w:lineRule="auto"/>
      </w:pPr>
      <w:r>
        <w:t>Community consensus and direct workplace evidence remain necessary. The framework improves what the community is asked to judge. Without an explicit activity, setting, product, and claim boundary, later debate collapses several questions into “is this benchmark realistic?” With the representation, disagreement becomes local and answerable: Was the required source used? Was the agent acting within role? Did the scored object match the receiving product? Which workflow stages were actually represented?</w:t>
      </w:r>
    </w:p>
    <w:p w14:paraId="73266203" w14:textId="77777777" w:rsidR="00B067A9" w:rsidRDefault="00000000">
      <w:pPr>
        <w:spacing w:after="60" w:line="250" w:lineRule="auto"/>
      </w:pPr>
      <w:r>
        <w:t xml:space="preserve">This matters before consensus forms. Benchmark language is copied into model cards, system comparisons, investment decisions, and deployment discussions while direct workplace evidence is still unavailable. Early calibration can prevent a score for one interface procedure, final answer, or executable test suite from silently </w:t>
      </w:r>
      <w:r>
        <w:lastRenderedPageBreak/>
        <w:t>becoming evidence for an occupation or end-to-end workflow. It also makes cumulative evidence possible: later field studies can identify which setting elements transport and which benchmark components predict real outcomes.</w:t>
      </w:r>
    </w:p>
    <w:p w14:paraId="228AF983" w14:textId="77777777" w:rsidR="00B067A9" w:rsidRDefault="00000000">
      <w:pPr>
        <w:spacing w:after="60" w:line="250" w:lineRule="auto"/>
      </w:pPr>
      <w:r>
        <w:t>The practical gain is therefore not a promise that every benchmark will become more realistic. It is a more inspectable evidence record and a shared vocabulary for combining component benchmarks, work samples, and field outcomes. The APEX-SWE S3 analysis shows the immediate value: endpoint tests and source-provenance requirements can be separated instead of being treated as one notion of success.</w:t>
      </w:r>
    </w:p>
    <w:p w14:paraId="4892EA22" w14:textId="77777777" w:rsidR="00B067A9" w:rsidRDefault="00000000">
      <w:pPr>
        <w:keepLines/>
        <w:shd w:val="clear" w:color="auto" w:fill="F6F6F6"/>
        <w:spacing w:before="60" w:after="100"/>
        <w:ind w:left="173" w:right="173"/>
      </w:pPr>
      <w:r>
        <w:rPr>
          <w:b/>
          <w:sz w:val="19"/>
        </w:rPr>
        <w:t xml:space="preserve">Manuscript revision. </w:t>
      </w:r>
      <w:r>
        <w:rPr>
          <w:i/>
          <w:sz w:val="19"/>
        </w:rPr>
        <w:t>Clarify that the framework improves the evidence presented to community and workplace validation, supports cumulative comparison, and calibrates claims before direct deployment evidence exists.</w:t>
      </w:r>
    </w:p>
    <w:p w14:paraId="472D087F" w14:textId="77777777" w:rsidR="00B067A9" w:rsidRDefault="00000000">
      <w:pPr>
        <w:spacing w:before="40" w:after="20"/>
      </w:pPr>
      <w:r>
        <w:rPr>
          <w:b/>
          <w:color w:val="3C3C3C"/>
          <w:sz w:val="18"/>
        </w:rPr>
        <w:t>References cited in this reply</w:t>
      </w:r>
    </w:p>
    <w:p w14:paraId="25ABCA6D" w14:textId="77777777" w:rsidR="00B067A9" w:rsidRDefault="00000000">
      <w:pPr>
        <w:spacing w:after="30" w:line="240" w:lineRule="auto"/>
        <w:ind w:left="317" w:hanging="230"/>
      </w:pPr>
      <w:r>
        <w:rPr>
          <w:color w:val="414141"/>
          <w:sz w:val="16"/>
        </w:rPr>
        <w:t>[PC1] Kane, M. T. (2013). Validating the Interpretations and Uses of Test Scores. Journal of Educational Measurement, 50(1), 1–73.</w:t>
      </w:r>
    </w:p>
    <w:p w14:paraId="4A818CB7" w14:textId="77777777" w:rsidR="00B067A9" w:rsidRDefault="00000000">
      <w:pPr>
        <w:spacing w:after="30" w:line="240" w:lineRule="auto"/>
        <w:ind w:left="317" w:hanging="230"/>
      </w:pPr>
      <w:r>
        <w:rPr>
          <w:color w:val="414141"/>
          <w:sz w:val="16"/>
        </w:rPr>
        <w:t>[PC2] Pearl, J., &amp; Bareinboim, E. (2015). External Validity: From Do-Calculus to Transportability Across Populations. Statistical Science, 29(4), 579–595.</w:t>
      </w:r>
    </w:p>
    <w:p w14:paraId="67002F81" w14:textId="77777777" w:rsidR="00B067A9" w:rsidRDefault="00000000">
      <w:pPr>
        <w:pStyle w:val="Heading1"/>
      </w:pPr>
      <w:r>
        <w:t>Reviewer M9VA</w:t>
      </w:r>
    </w:p>
    <w:p w14:paraId="0D2B5EB4" w14:textId="77777777" w:rsidR="00B067A9" w:rsidRDefault="00000000">
      <w:pPr>
        <w:keepNext/>
        <w:keepLines/>
        <w:shd w:val="clear" w:color="auto" w:fill="EAF0F7"/>
        <w:spacing w:before="140" w:after="100"/>
        <w:ind w:left="120" w:right="120"/>
      </w:pPr>
      <w:r>
        <w:rPr>
          <w:b/>
          <w:color w:val="23374E"/>
          <w:sz w:val="21"/>
        </w:rPr>
        <w:t>The alternative views can coexist with the paper's position and therefore do not provide a genuine alternative.</w:t>
      </w:r>
    </w:p>
    <w:p w14:paraId="53DCD603" w14:textId="77777777" w:rsidR="00B067A9" w:rsidRDefault="00000000">
      <w:pPr>
        <w:spacing w:after="60" w:line="250" w:lineRule="auto"/>
      </w:pPr>
      <w:r>
        <w:t>We agree. The submitted section treated better environments, richer rubrics, human evaluation, domain-specific benchmarks, and community judgment as “alternatives.” They are not. Each can coexist with our position because each improves how a benchmark is implemented or interpreted without rejecting the need to align the work claim with the evidence. We will move those considerations into the implications section and replace them with positions that could make our representation unnecessary for a specified objective.</w:t>
      </w:r>
    </w:p>
    <w:tbl>
      <w:tblPr>
        <w:tblStyle w:val="TableGrid"/>
        <w:tblW w:w="0" w:type="auto"/>
        <w:jc w:val="center"/>
        <w:tblLook w:val="04A0" w:firstRow="1" w:lastRow="0" w:firstColumn="1" w:lastColumn="0" w:noHBand="0" w:noVBand="1"/>
      </w:tblPr>
      <w:tblGrid>
        <w:gridCol w:w="1909"/>
        <w:gridCol w:w="2933"/>
        <w:gridCol w:w="2587"/>
        <w:gridCol w:w="3205"/>
      </w:tblGrid>
      <w:tr w:rsidR="00B067A9" w14:paraId="3D512E99" w14:textId="77777777">
        <w:trPr>
          <w:tblHeader/>
          <w:jc w:val="center"/>
        </w:trPr>
        <w:tc>
          <w:tcPr>
            <w:tcW w:w="1944" w:type="dxa"/>
            <w:shd w:val="clear" w:color="auto" w:fill="D9E4F0"/>
            <w:tcMar>
              <w:top w:w="80" w:type="dxa"/>
              <w:left w:w="90" w:type="dxa"/>
              <w:bottom w:w="80" w:type="dxa"/>
              <w:right w:w="90" w:type="dxa"/>
            </w:tcMar>
            <w:vAlign w:val="center"/>
          </w:tcPr>
          <w:p w14:paraId="5A0B1AE3" w14:textId="77777777" w:rsidR="00B067A9" w:rsidRDefault="00000000">
            <w:r>
              <w:rPr>
                <w:b/>
                <w:color w:val="192D44"/>
                <w:sz w:val="16"/>
              </w:rPr>
              <w:t>Competing position</w:t>
            </w:r>
          </w:p>
        </w:tc>
        <w:tc>
          <w:tcPr>
            <w:tcW w:w="3024" w:type="dxa"/>
            <w:shd w:val="clear" w:color="auto" w:fill="D9E4F0"/>
            <w:tcMar>
              <w:top w:w="80" w:type="dxa"/>
              <w:left w:w="90" w:type="dxa"/>
              <w:bottom w:w="80" w:type="dxa"/>
              <w:right w:w="90" w:type="dxa"/>
            </w:tcMar>
            <w:vAlign w:val="center"/>
          </w:tcPr>
          <w:p w14:paraId="77136295" w14:textId="77777777" w:rsidR="00B067A9" w:rsidRDefault="00000000">
            <w:r>
              <w:rPr>
                <w:b/>
                <w:color w:val="192D44"/>
                <w:sz w:val="16"/>
              </w:rPr>
              <w:t>Strong form of the objection</w:t>
            </w:r>
          </w:p>
        </w:tc>
        <w:tc>
          <w:tcPr>
            <w:tcW w:w="2664" w:type="dxa"/>
            <w:shd w:val="clear" w:color="auto" w:fill="D9E4F0"/>
            <w:tcMar>
              <w:top w:w="80" w:type="dxa"/>
              <w:left w:w="90" w:type="dxa"/>
              <w:bottom w:w="80" w:type="dxa"/>
              <w:right w:w="90" w:type="dxa"/>
            </w:tcMar>
            <w:vAlign w:val="center"/>
          </w:tcPr>
          <w:p w14:paraId="3DB9F274" w14:textId="77777777" w:rsidR="00B067A9" w:rsidRDefault="00000000">
            <w:r>
              <w:rPr>
                <w:b/>
                <w:color w:val="192D44"/>
                <w:sz w:val="16"/>
              </w:rPr>
              <w:t>When we accept it</w:t>
            </w:r>
          </w:p>
        </w:tc>
        <w:tc>
          <w:tcPr>
            <w:tcW w:w="3312" w:type="dxa"/>
            <w:shd w:val="clear" w:color="auto" w:fill="D9E4F0"/>
            <w:tcMar>
              <w:top w:w="80" w:type="dxa"/>
              <w:left w:w="90" w:type="dxa"/>
              <w:bottom w:w="80" w:type="dxa"/>
              <w:right w:w="90" w:type="dxa"/>
            </w:tcMar>
            <w:vAlign w:val="center"/>
          </w:tcPr>
          <w:p w14:paraId="21971D71" w14:textId="77777777" w:rsidR="00B067A9" w:rsidRDefault="00000000">
            <w:r>
              <w:rPr>
                <w:b/>
                <w:color w:val="192D44"/>
                <w:sz w:val="16"/>
              </w:rPr>
              <w:t>Why it does not settle broader transport or claim meaning</w:t>
            </w:r>
          </w:p>
        </w:tc>
      </w:tr>
      <w:tr w:rsidR="00B067A9" w14:paraId="329B1C26" w14:textId="77777777">
        <w:trPr>
          <w:cantSplit/>
          <w:jc w:val="center"/>
        </w:trPr>
        <w:tc>
          <w:tcPr>
            <w:tcW w:w="1944" w:type="dxa"/>
            <w:tcMar>
              <w:top w:w="80" w:type="dxa"/>
              <w:left w:w="90" w:type="dxa"/>
              <w:bottom w:w="80" w:type="dxa"/>
              <w:right w:w="90" w:type="dxa"/>
            </w:tcMar>
          </w:tcPr>
          <w:p w14:paraId="6E758669" w14:textId="77777777" w:rsidR="00B067A9" w:rsidRDefault="00000000">
            <w:r>
              <w:rPr>
                <w:sz w:val="16"/>
              </w:rPr>
              <w:t>Direct workplace criterion validity</w:t>
            </w:r>
          </w:p>
        </w:tc>
        <w:tc>
          <w:tcPr>
            <w:tcW w:w="3024" w:type="dxa"/>
            <w:tcMar>
              <w:top w:w="80" w:type="dxa"/>
              <w:left w:w="90" w:type="dxa"/>
              <w:bottom w:w="80" w:type="dxa"/>
              <w:right w:w="90" w:type="dxa"/>
            </w:tcMar>
          </w:tcPr>
          <w:p w14:paraId="2DB25A63" w14:textId="77777777" w:rsidR="00B067A9" w:rsidRDefault="00000000">
            <w:r>
              <w:rPr>
                <w:sz w:val="16"/>
              </w:rPr>
              <w:t>A benchmark score is useful if it predicts or causally improves the workplace outcome of interest; an intermediate activity–setting–product representation adds little.</w:t>
            </w:r>
          </w:p>
        </w:tc>
        <w:tc>
          <w:tcPr>
            <w:tcW w:w="2664" w:type="dxa"/>
            <w:tcMar>
              <w:top w:w="80" w:type="dxa"/>
              <w:left w:w="90" w:type="dxa"/>
              <w:bottom w:w="80" w:type="dxa"/>
              <w:right w:w="90" w:type="dxa"/>
            </w:tcMar>
          </w:tcPr>
          <w:p w14:paraId="2E42658D" w14:textId="77777777" w:rsidR="00B067A9" w:rsidRDefault="00000000">
            <w:r>
              <w:rPr>
                <w:sz w:val="16"/>
              </w:rPr>
              <w:t>When prediction or intervention effects are established for the intended population, workflow, outcome, and use.</w:t>
            </w:r>
          </w:p>
        </w:tc>
        <w:tc>
          <w:tcPr>
            <w:tcW w:w="3312" w:type="dxa"/>
            <w:tcMar>
              <w:top w:w="80" w:type="dxa"/>
              <w:left w:w="90" w:type="dxa"/>
              <w:bottom w:w="80" w:type="dxa"/>
              <w:right w:w="90" w:type="dxa"/>
            </w:tcMar>
          </w:tcPr>
          <w:p w14:paraId="443EA70B" w14:textId="77777777" w:rsidR="00B067A9" w:rsidRDefault="00000000">
            <w:r>
              <w:rPr>
                <w:sz w:val="16"/>
              </w:rPr>
              <w:t>Evidence can fail to transport across organizations, roles, technologies, or outcomes; predictive association also does not explain which work conditions generated the relation.</w:t>
            </w:r>
          </w:p>
        </w:tc>
      </w:tr>
      <w:tr w:rsidR="00B067A9" w14:paraId="2FA08B76" w14:textId="77777777">
        <w:trPr>
          <w:cantSplit/>
          <w:jc w:val="center"/>
        </w:trPr>
        <w:tc>
          <w:tcPr>
            <w:tcW w:w="1944" w:type="dxa"/>
            <w:shd w:val="clear" w:color="auto" w:fill="F7F9FB"/>
            <w:tcMar>
              <w:top w:w="80" w:type="dxa"/>
              <w:left w:w="90" w:type="dxa"/>
              <w:bottom w:w="80" w:type="dxa"/>
              <w:right w:w="90" w:type="dxa"/>
            </w:tcMar>
          </w:tcPr>
          <w:p w14:paraId="0393BEC4" w14:textId="77777777" w:rsidR="00B067A9" w:rsidRDefault="00000000">
            <w:r>
              <w:rPr>
                <w:sz w:val="16"/>
              </w:rPr>
              <w:t>Representative work-sample sufficiency</w:t>
            </w:r>
          </w:p>
        </w:tc>
        <w:tc>
          <w:tcPr>
            <w:tcW w:w="3024" w:type="dxa"/>
            <w:shd w:val="clear" w:color="auto" w:fill="F7F9FB"/>
            <w:tcMar>
              <w:top w:w="80" w:type="dxa"/>
              <w:left w:w="90" w:type="dxa"/>
              <w:bottom w:w="80" w:type="dxa"/>
              <w:right w:w="90" w:type="dxa"/>
            </w:tcMar>
          </w:tcPr>
          <w:p w14:paraId="560A1A54" w14:textId="77777777" w:rsidR="00B067A9" w:rsidRDefault="00000000">
            <w:r>
              <w:rPr>
                <w:sz w:val="16"/>
              </w:rPr>
              <w:t>A benchmark directly samples the job and scores the same products or outcomes used in practice; additional abstraction is unnecessary.</w:t>
            </w:r>
          </w:p>
        </w:tc>
        <w:tc>
          <w:tcPr>
            <w:tcW w:w="2664" w:type="dxa"/>
            <w:shd w:val="clear" w:color="auto" w:fill="F7F9FB"/>
            <w:tcMar>
              <w:top w:w="80" w:type="dxa"/>
              <w:left w:w="90" w:type="dxa"/>
              <w:bottom w:w="80" w:type="dxa"/>
              <w:right w:w="90" w:type="dxa"/>
            </w:tcMar>
          </w:tcPr>
          <w:p w14:paraId="5CA0DA09" w14:textId="77777777" w:rsidR="00B067A9" w:rsidRDefault="00000000">
            <w:r>
              <w:rPr>
                <w:sz w:val="16"/>
              </w:rPr>
              <w:t>When tasks are sampled from an explicit job/workflow frame and the scoring object matches workplace performance.</w:t>
            </w:r>
          </w:p>
        </w:tc>
        <w:tc>
          <w:tcPr>
            <w:tcW w:w="3312" w:type="dxa"/>
            <w:shd w:val="clear" w:color="auto" w:fill="F7F9FB"/>
            <w:tcMar>
              <w:top w:w="80" w:type="dxa"/>
              <w:left w:w="90" w:type="dxa"/>
              <w:bottom w:w="80" w:type="dxa"/>
              <w:right w:w="90" w:type="dxa"/>
            </w:tcMar>
          </w:tcPr>
          <w:p w14:paraId="21D97D16" w14:textId="77777777" w:rsidR="00B067A9" w:rsidRDefault="00000000">
            <w:r>
              <w:rPr>
                <w:sz w:val="16"/>
              </w:rPr>
              <w:t>Large task counts, expert authorship, or realistic appearance do not by themselves establish a sampling frame or coverage of omitted activities and stages.</w:t>
            </w:r>
          </w:p>
        </w:tc>
      </w:tr>
      <w:tr w:rsidR="00B067A9" w14:paraId="4DB0D968" w14:textId="77777777">
        <w:trPr>
          <w:cantSplit/>
          <w:jc w:val="center"/>
        </w:trPr>
        <w:tc>
          <w:tcPr>
            <w:tcW w:w="1944" w:type="dxa"/>
            <w:tcMar>
              <w:top w:w="80" w:type="dxa"/>
              <w:left w:w="90" w:type="dxa"/>
              <w:bottom w:w="80" w:type="dxa"/>
              <w:right w:w="90" w:type="dxa"/>
            </w:tcMar>
          </w:tcPr>
          <w:p w14:paraId="3D12F8DF" w14:textId="77777777" w:rsidR="00B067A9" w:rsidRDefault="00000000">
            <w:r>
              <w:rPr>
                <w:sz w:val="16"/>
              </w:rPr>
              <w:t>Capability-first prediction</w:t>
            </w:r>
          </w:p>
        </w:tc>
        <w:tc>
          <w:tcPr>
            <w:tcW w:w="3024" w:type="dxa"/>
            <w:tcMar>
              <w:top w:w="80" w:type="dxa"/>
              <w:left w:w="90" w:type="dxa"/>
              <w:bottom w:w="80" w:type="dxa"/>
              <w:right w:w="90" w:type="dxa"/>
            </w:tcMar>
          </w:tcPr>
          <w:p w14:paraId="1BE25609" w14:textId="77777777" w:rsidR="00B067A9" w:rsidRDefault="00000000">
            <w:r>
              <w:rPr>
                <w:sz w:val="16"/>
              </w:rPr>
              <w:t>Simple or latent capability measures accurately predict complex agent performance, so direct measurement of every work component is inefficient.</w:t>
            </w:r>
          </w:p>
        </w:tc>
        <w:tc>
          <w:tcPr>
            <w:tcW w:w="2664" w:type="dxa"/>
            <w:tcMar>
              <w:top w:w="80" w:type="dxa"/>
              <w:left w:w="90" w:type="dxa"/>
              <w:bottom w:w="80" w:type="dxa"/>
              <w:right w:w="90" w:type="dxa"/>
            </w:tcMar>
          </w:tcPr>
          <w:p w14:paraId="550B54A3" w14:textId="77777777" w:rsidR="00B067A9" w:rsidRDefault="00000000">
            <w:r>
              <w:rPr>
                <w:sz w:val="16"/>
              </w:rPr>
              <w:t>When the objective is model ranking or forecasting and the predictive relationship remains stable in the target domain.</w:t>
            </w:r>
          </w:p>
        </w:tc>
        <w:tc>
          <w:tcPr>
            <w:tcW w:w="3312" w:type="dxa"/>
            <w:tcMar>
              <w:top w:w="80" w:type="dxa"/>
              <w:left w:w="90" w:type="dxa"/>
              <w:bottom w:w="80" w:type="dxa"/>
              <w:right w:w="90" w:type="dxa"/>
            </w:tcMar>
          </w:tcPr>
          <w:p w14:paraId="2EBAC1FD" w14:textId="77777777" w:rsidR="00B067A9" w:rsidRDefault="00000000">
            <w:r>
              <w:rPr>
                <w:sz w:val="16"/>
              </w:rPr>
              <w:t>A predictive proxy does not identify role, authority, workflow, product, or the semantic work claim warranted by the score.</w:t>
            </w:r>
          </w:p>
        </w:tc>
      </w:tr>
      <w:tr w:rsidR="00B067A9" w14:paraId="7A8369EC" w14:textId="77777777">
        <w:trPr>
          <w:cantSplit/>
          <w:jc w:val="center"/>
        </w:trPr>
        <w:tc>
          <w:tcPr>
            <w:tcW w:w="1944" w:type="dxa"/>
            <w:shd w:val="clear" w:color="auto" w:fill="F7F9FB"/>
            <w:tcMar>
              <w:top w:w="80" w:type="dxa"/>
              <w:left w:w="90" w:type="dxa"/>
              <w:bottom w:w="80" w:type="dxa"/>
              <w:right w:w="90" w:type="dxa"/>
            </w:tcMar>
          </w:tcPr>
          <w:p w14:paraId="14914419" w14:textId="77777777" w:rsidR="00B067A9" w:rsidRDefault="00000000">
            <w:r>
              <w:rPr>
                <w:sz w:val="16"/>
              </w:rPr>
              <w:t>Portfolio-level sufficiency</w:t>
            </w:r>
          </w:p>
        </w:tc>
        <w:tc>
          <w:tcPr>
            <w:tcW w:w="3024" w:type="dxa"/>
            <w:shd w:val="clear" w:color="auto" w:fill="F7F9FB"/>
            <w:tcMar>
              <w:top w:w="80" w:type="dxa"/>
              <w:left w:w="90" w:type="dxa"/>
              <w:bottom w:w="80" w:type="dxa"/>
              <w:right w:w="90" w:type="dxa"/>
            </w:tcMar>
          </w:tcPr>
          <w:p w14:paraId="23EE3A57" w14:textId="77777777" w:rsidR="00B067A9" w:rsidRDefault="00000000">
            <w:r>
              <w:rPr>
                <w:sz w:val="16"/>
              </w:rPr>
              <w:t>The policy objective is to allocate benchmark effort across occupations and skills; individual score interpretation is secondary.</w:t>
            </w:r>
          </w:p>
        </w:tc>
        <w:tc>
          <w:tcPr>
            <w:tcW w:w="2664" w:type="dxa"/>
            <w:shd w:val="clear" w:color="auto" w:fill="F7F9FB"/>
            <w:tcMar>
              <w:top w:w="80" w:type="dxa"/>
              <w:left w:w="90" w:type="dxa"/>
              <w:bottom w:w="80" w:type="dxa"/>
              <w:right w:w="90" w:type="dxa"/>
            </w:tcMar>
          </w:tcPr>
          <w:p w14:paraId="0540EB7C" w14:textId="77777777" w:rsidR="00B067A9" w:rsidRDefault="00000000">
            <w:r>
              <w:rPr>
                <w:sz w:val="16"/>
              </w:rPr>
              <w:t>For questions about research allocation, labor-market coverage, and which domains are neglected.</w:t>
            </w:r>
          </w:p>
        </w:tc>
        <w:tc>
          <w:tcPr>
            <w:tcW w:w="3312" w:type="dxa"/>
            <w:shd w:val="clear" w:color="auto" w:fill="F7F9FB"/>
            <w:tcMar>
              <w:top w:w="80" w:type="dxa"/>
              <w:left w:w="90" w:type="dxa"/>
              <w:bottom w:w="80" w:type="dxa"/>
              <w:right w:w="90" w:type="dxa"/>
            </w:tcMar>
          </w:tcPr>
          <w:p w14:paraId="2696994A" w14:textId="77777777" w:rsidR="00B067A9" w:rsidRDefault="00000000">
            <w:r>
              <w:rPr>
                <w:sz w:val="16"/>
              </w:rPr>
              <w:t>Portfolio alignment does not determine what a particular benchmark score means or whether its scored object is sufficient for its stated work claim.</w:t>
            </w:r>
          </w:p>
        </w:tc>
      </w:tr>
    </w:tbl>
    <w:p w14:paraId="1E836BDC" w14:textId="77777777" w:rsidR="00B067A9" w:rsidRDefault="00B067A9">
      <w:pPr>
        <w:spacing w:after="0"/>
      </w:pPr>
    </w:p>
    <w:p w14:paraId="32CDAAC5" w14:textId="77777777" w:rsidR="00B067A9" w:rsidRDefault="00000000">
      <w:pPr>
        <w:spacing w:after="60" w:line="250" w:lineRule="auto"/>
      </w:pPr>
      <w:r>
        <w:t>These are genuine alternatives because they change the necessary evidence. Noy and Zhang randomized 453 professionals on occupation-specific writing tasks and measured time and independently rated quality. Brynjolfsson, Li, and Raymond studied the introduction of an AI assistant among 5,172 customer-support agents and measured issues resolved per hour and quality-related outcomes. Dell’Acqua et al. studied 758 consultants on realistic consulting tasks and showed a jagged performance frontier: AI improved performance on tasks within its capability frontier and harmed performance on a task outside it. For the specific populations, workflows, and outcomes studied, such evidence is stronger than inference from a public benchmark. We accept that a separate 18-operation representation may add little to the criterion-validity conclusion those studies directly establish.</w:t>
      </w:r>
    </w:p>
    <w:p w14:paraId="171D04DC" w14:textId="77777777" w:rsidR="00B067A9" w:rsidRDefault="00000000">
      <w:pPr>
        <w:spacing w:after="60" w:line="250" w:lineRule="auto"/>
      </w:pPr>
      <w:r>
        <w:t>The limitation is transport. A relationship established for one organization, role, task distribution, interface, or outcome does not automatically license the same claim elsewhere. Argument-based validity distinguishes the score interpretation from its proposed use, and transportability research requires explicit assumptions about what differs between study and target settings. Our framework is most useful before direct workplace validation exists, when public pre-deployment benchmarks are asked to carry a broader work claim, or when evidence must be compared across settings.</w:t>
      </w:r>
    </w:p>
    <w:p w14:paraId="4F5035BA" w14:textId="77777777" w:rsidR="00B067A9" w:rsidRDefault="00000000">
      <w:pPr>
        <w:spacing w:after="60" w:line="250" w:lineRule="auto"/>
      </w:pPr>
      <w:r>
        <w:t xml:space="preserve">Representative work samples provide a second strong objection. Personnel-selection research finds that work-sample tests predict job performance, although the corrected mean validity in Roth et al.’s meta-analysis was approximately </w:t>
      </w:r>
      <w:r>
        <w:lastRenderedPageBreak/>
        <w:t>.33 rather than the larger values sometimes claimed. If a benchmark has an explicit sampling frame over a job or workflow and scores the same products and outcomes as practice, it may support that sampled domain without our intermediate consolidation. Our argument is directed at cases where “realistic,” “expert-created,” or “many tasks” substitutes for a documented relationship between the sampled tasks and the broader work claim.</w:t>
      </w:r>
    </w:p>
    <w:p w14:paraId="5329F730" w14:textId="77777777" w:rsidR="00B067A9" w:rsidRDefault="00000000">
      <w:pPr>
        <w:spacing w:after="60" w:line="250" w:lineRule="auto"/>
      </w:pPr>
      <w:r>
        <w:t>Ruan et al. provide the capability-first objection: agent performance for advanced models can be predicted from simpler non-agentic benchmarks through a low-dimensional capability space. This is compelling when the objective is forecasting or ranking. It is not a semantic interpretation of work capability. A predictor can be accurate while leaving unanswered what role the agent occupied, which materials and workflow conditions mattered, what product was completed, and which deployment claim follows. Wang et al.’s portfolio-level analysis is similarly sufficient for its own policy question—where benchmark development is concentrated relative to the labor market—without replacing item-level claim interpretation.</w:t>
      </w:r>
    </w:p>
    <w:p w14:paraId="0BFCC562" w14:textId="77777777" w:rsidR="00B067A9" w:rsidRDefault="00000000">
      <w:pPr>
        <w:keepLines/>
        <w:shd w:val="clear" w:color="auto" w:fill="F6F6F6"/>
        <w:spacing w:before="60" w:after="100"/>
        <w:ind w:left="173" w:right="173"/>
      </w:pPr>
      <w:r>
        <w:rPr>
          <w:b/>
          <w:sz w:val="19"/>
        </w:rPr>
        <w:t xml:space="preserve">Manuscript revision. </w:t>
      </w:r>
      <w:r>
        <w:rPr>
          <w:i/>
          <w:sz w:val="19"/>
        </w:rPr>
        <w:t>Replace the original “alternatives” section with these four genuine objections; move better environments, rubrics, human evaluation, domain specificity, and community consensus to a separate section as compatible implementation strategies; state the exact conditions under which each competing position weakens or displaces our proposal.</w:t>
      </w:r>
    </w:p>
    <w:p w14:paraId="7B2CE503" w14:textId="77777777" w:rsidR="00B067A9" w:rsidRDefault="00000000">
      <w:pPr>
        <w:spacing w:before="40" w:after="20"/>
      </w:pPr>
      <w:r>
        <w:rPr>
          <w:b/>
          <w:color w:val="3C3C3C"/>
          <w:sz w:val="18"/>
        </w:rPr>
        <w:t>References cited in this reply</w:t>
      </w:r>
    </w:p>
    <w:p w14:paraId="045AAEF0" w14:textId="77777777" w:rsidR="00B067A9" w:rsidRDefault="00000000">
      <w:pPr>
        <w:spacing w:after="30" w:line="240" w:lineRule="auto"/>
        <w:ind w:left="317" w:hanging="230"/>
      </w:pPr>
      <w:r>
        <w:rPr>
          <w:color w:val="414141"/>
          <w:sz w:val="16"/>
        </w:rPr>
        <w:t>[ALT1] Noy, S., &amp; Zhang, W. (2023). Experimental Evidence on the Productivity Effects of Generative Artificial Intelligence. Science, 381(6654), 187–192. https://doi.org/10.1126/science.adh2586.</w:t>
      </w:r>
    </w:p>
    <w:p w14:paraId="25F5D0A1" w14:textId="77777777" w:rsidR="00B067A9" w:rsidRDefault="00000000">
      <w:pPr>
        <w:spacing w:after="30" w:line="240" w:lineRule="auto"/>
        <w:ind w:left="317" w:hanging="230"/>
      </w:pPr>
      <w:r>
        <w:rPr>
          <w:color w:val="414141"/>
          <w:sz w:val="16"/>
        </w:rPr>
        <w:t>[ALT2] Brynjolfsson, E., Li, D., &amp; Raymond, L. (2025). Generative AI at Work. Quarterly Journal of Economics, 140(2), 889–942. https://doi.org/10.1093/qje/qjae044.</w:t>
      </w:r>
    </w:p>
    <w:p w14:paraId="6251871B" w14:textId="77777777" w:rsidR="00B067A9" w:rsidRDefault="00000000">
      <w:pPr>
        <w:spacing w:after="30" w:line="240" w:lineRule="auto"/>
        <w:ind w:left="317" w:hanging="230"/>
      </w:pPr>
      <w:r>
        <w:rPr>
          <w:color w:val="414141"/>
          <w:sz w:val="16"/>
        </w:rPr>
        <w:t>[ALT3] Dell’Acqua, F., et al. (2026). Navigating the Jagged Technological Frontier: Field Experimental Evidence of the Effects of Artificial Intelligence on Knowledge Worker Productivity and Quality. Organization Science, 37(2), 403–423. https://doi.org/10.1287/orsc.2025.21838.</w:t>
      </w:r>
    </w:p>
    <w:p w14:paraId="6CB8EFBF" w14:textId="77777777" w:rsidR="00B067A9" w:rsidRDefault="00000000">
      <w:pPr>
        <w:spacing w:after="30" w:line="240" w:lineRule="auto"/>
        <w:ind w:left="317" w:hanging="230"/>
      </w:pPr>
      <w:r>
        <w:rPr>
          <w:color w:val="414141"/>
          <w:sz w:val="16"/>
        </w:rPr>
        <w:t>[ALT4] Roth, P. L., Bobko, P., &amp; McFarland, L. A. (2005). A Meta-Analysis of Work Sample Test Validity. Personnel Psychology, 58(4), 1009–1037. https://doi.org/10.1111/j.1744-6570.2005.00714.x.</w:t>
      </w:r>
    </w:p>
    <w:p w14:paraId="0DD26388" w14:textId="77777777" w:rsidR="00B067A9" w:rsidRDefault="00000000">
      <w:pPr>
        <w:spacing w:after="30" w:line="240" w:lineRule="auto"/>
        <w:ind w:left="317" w:hanging="230"/>
      </w:pPr>
      <w:r>
        <w:rPr>
          <w:color w:val="414141"/>
          <w:sz w:val="16"/>
        </w:rPr>
        <w:t>[ALT5] Ruan, Y., Maddison, C. J., &amp; Hashimoto, T. (2024). Observational Scaling Laws and the Predictability of Language Model Performance. NeurIPS 2024.</w:t>
      </w:r>
    </w:p>
    <w:p w14:paraId="5B411685" w14:textId="77777777" w:rsidR="00B067A9" w:rsidRDefault="00000000">
      <w:pPr>
        <w:spacing w:after="30" w:line="240" w:lineRule="auto"/>
        <w:ind w:left="317" w:hanging="230"/>
      </w:pPr>
      <w:r>
        <w:rPr>
          <w:color w:val="414141"/>
          <w:sz w:val="16"/>
        </w:rPr>
        <w:t>[ALT6] Wang, Z. Z., et al. (2026). How Well Does Agent Development Reflect Real-World Work? arXiv:2603.01203.</w:t>
      </w:r>
    </w:p>
    <w:p w14:paraId="6B09DC68" w14:textId="77777777" w:rsidR="00B067A9" w:rsidRDefault="00000000">
      <w:pPr>
        <w:spacing w:after="30" w:line="240" w:lineRule="auto"/>
        <w:ind w:left="317" w:hanging="230"/>
      </w:pPr>
      <w:r>
        <w:rPr>
          <w:color w:val="414141"/>
          <w:sz w:val="16"/>
        </w:rPr>
        <w:t>[ALT7] Kane, M. T. (2013). Validating the Interpretations and Uses of Test Scores. Journal of Educational Measurement, 50(1), 1–73.</w:t>
      </w:r>
    </w:p>
    <w:p w14:paraId="745977CA" w14:textId="77777777" w:rsidR="00B067A9" w:rsidRDefault="00000000">
      <w:pPr>
        <w:spacing w:after="30" w:line="240" w:lineRule="auto"/>
        <w:ind w:left="317" w:hanging="230"/>
      </w:pPr>
      <w:r>
        <w:rPr>
          <w:color w:val="414141"/>
          <w:sz w:val="16"/>
        </w:rPr>
        <w:t>[ALT8] Pearl, J., &amp; Bareinboim, E. (2015). External Validity: From Do-Calculus to Transportability Across Populations. Statistical Science, 29(4), 579–595.</w:t>
      </w:r>
    </w:p>
    <w:p w14:paraId="275583E2" w14:textId="77777777" w:rsidR="00B067A9" w:rsidRDefault="00000000">
      <w:pPr>
        <w:keepNext/>
        <w:keepLines/>
        <w:shd w:val="clear" w:color="auto" w:fill="EAF0F7"/>
        <w:spacing w:before="140" w:after="100"/>
        <w:ind w:left="120" w:right="120"/>
      </w:pPr>
      <w:r>
        <w:rPr>
          <w:b/>
          <w:color w:val="23374E"/>
          <w:sz w:val="21"/>
        </w:rPr>
        <w:t>The position may restate ordinary good scientific and reporting practice rather than make a novel contribution.</w:t>
      </w:r>
    </w:p>
    <w:p w14:paraId="16B1468D" w14:textId="77777777" w:rsidR="00B067A9" w:rsidRDefault="00000000">
      <w:pPr>
        <w:spacing w:after="60" w:line="250" w:lineRule="auto"/>
      </w:pPr>
      <w:r>
        <w:t>We agree with the premise that “define your construct and avoid overclaiming” is ordinary good science. The paper’s contribution must therefore be judged by whether it supplies something more operational. It does: a common representation of work claims and a procedure that generates a bounded interpretation, a design requirement, and a horizontal comparison.</w:t>
      </w:r>
    </w:p>
    <w:p w14:paraId="29EC53B5" w14:textId="77777777" w:rsidR="00B067A9" w:rsidRDefault="00000000">
      <w:pPr>
        <w:spacing w:after="60" w:line="250" w:lineRule="auto"/>
      </w:pPr>
      <w:r>
        <w:t>The representation changes the unit of analysis. Occupational titles are too broad, and benchmark task descriptions are often too local. The activity names the shared transformation; the tested setting specifies materials, tools, role, authority, and workflow state; the receiving product states what must remain usable after the episode; the scored object records what the evaluation actually observes; and the claim is derived from their intersection. This is closer to a claim grammar than a checklist. It produces a comparable structured object for each benchmark.</w:t>
      </w:r>
    </w:p>
    <w:p w14:paraId="6A542157" w14:textId="77777777" w:rsidR="00B067A9" w:rsidRDefault="00000000">
      <w:pPr>
        <w:spacing w:after="60" w:line="250" w:lineRule="auto"/>
      </w:pPr>
      <w:r>
        <w:t>Consider three benchmarks that all plausibly concern analysis. OfficeQA Pro scores a final numerical answer over fixed documents. APEX-SWE may score executable code and a service-state change. A professional deliverable benchmark may score a report against an expert artifact. Generic construct-validity advice says each should justify its task and metric. Our representation makes their evidence commensurable: the shared activity can be analysis, while the setting, receiving product, and scored object differ. It becomes possible to say that two benchmarks share an activity but test different products, or share a workplace label while testing different activities. That horizontal comparison is difficult when each paper uses its own labels such as “assistant,” “office,” “enterprise,” “economically valuable,” or “knowledge work.”</w:t>
      </w:r>
    </w:p>
    <w:p w14:paraId="388FF799" w14:textId="77777777" w:rsidR="00B067A9" w:rsidRDefault="00000000">
      <w:pPr>
        <w:spacing w:after="60" w:line="250" w:lineRule="auto"/>
      </w:pPr>
      <w:r>
        <w:t>The APEX-SWE S3 discrepancy provides the concrete added result. The executable tests establish that a script runs and creates a nonempty object with the expected schema. They do not establish that the required users.csv supplied the rows. The distinction is not simply “the metric may be incomplete.” It identifies a missing link between a tested-setting material, the receiving product’s provenance, and the claim. This diagnosis implies a specific design fix: add a row-level provenance check or narrow the claim to endpoint construction. It also implies a specific report: the benchmark verifies local ticket completion and service state, not every production workflow stage.</w:t>
      </w:r>
    </w:p>
    <w:p w14:paraId="061A7F21" w14:textId="77777777" w:rsidR="00B067A9" w:rsidRDefault="00000000">
      <w:pPr>
        <w:keepLines/>
        <w:shd w:val="clear" w:color="auto" w:fill="F6F6F6"/>
        <w:spacing w:before="60" w:after="100"/>
        <w:ind w:left="173" w:right="173"/>
      </w:pPr>
      <w:r>
        <w:rPr>
          <w:b/>
          <w:sz w:val="19"/>
        </w:rPr>
        <w:t xml:space="preserve">Manuscript revision. </w:t>
      </w:r>
      <w:r>
        <w:rPr>
          <w:i/>
          <w:sz w:val="19"/>
        </w:rPr>
        <w:t>Define the paper’s contribution as a structured work-claim representation, demonstrate the additional output through APEX-SWE and OfficeQA Pro, and add a horizontal-comparison table showing shared activities, different settings, different scored products, and different supported claims.</w:t>
      </w:r>
    </w:p>
    <w:p w14:paraId="418BC099" w14:textId="77777777" w:rsidR="00B067A9" w:rsidRDefault="00000000">
      <w:pPr>
        <w:spacing w:before="40" w:after="20"/>
      </w:pPr>
      <w:r>
        <w:rPr>
          <w:b/>
          <w:color w:val="3C3C3C"/>
          <w:sz w:val="18"/>
        </w:rPr>
        <w:lastRenderedPageBreak/>
        <w:t>References cited in this reply</w:t>
      </w:r>
    </w:p>
    <w:p w14:paraId="29687C7C" w14:textId="77777777" w:rsidR="00B067A9" w:rsidRDefault="00000000">
      <w:pPr>
        <w:spacing w:after="30" w:line="240" w:lineRule="auto"/>
        <w:ind w:left="317" w:hanging="230"/>
      </w:pPr>
      <w:r>
        <w:rPr>
          <w:color w:val="414141"/>
          <w:sz w:val="16"/>
        </w:rPr>
        <w:t>[N1] Bean, A. M., et al. (2025). Measuring What Matters: Construct Validity in Large Language Model Benchmarks. NeurIPS 2025 Datasets and Benchmarks Track.</w:t>
      </w:r>
    </w:p>
    <w:p w14:paraId="287C5ECA" w14:textId="77777777" w:rsidR="00B067A9" w:rsidRDefault="00000000">
      <w:pPr>
        <w:spacing w:after="30" w:line="240" w:lineRule="auto"/>
        <w:ind w:left="317" w:hanging="230"/>
      </w:pPr>
      <w:r>
        <w:rPr>
          <w:color w:val="414141"/>
          <w:sz w:val="16"/>
        </w:rPr>
        <w:t>[N2] Wang, Z. Z., et al. (2026). How Well Does Agent Development Reflect Real-World Work? arXiv:2603.01203.</w:t>
      </w:r>
    </w:p>
    <w:p w14:paraId="464D38A2" w14:textId="77777777" w:rsidR="00B067A9" w:rsidRDefault="00000000">
      <w:pPr>
        <w:spacing w:after="30" w:line="240" w:lineRule="auto"/>
        <w:ind w:left="317" w:hanging="230"/>
      </w:pPr>
      <w:r>
        <w:rPr>
          <w:color w:val="414141"/>
          <w:sz w:val="16"/>
        </w:rPr>
        <w:t>[N3] Kane, M. T. (2013). Validating the Interpretations and Uses of Test Scores. Journal of Educational Measurement, 50(1), 1–73.</w:t>
      </w:r>
    </w:p>
    <w:p w14:paraId="1B82831C" w14:textId="77777777" w:rsidR="00B067A9" w:rsidRDefault="00000000">
      <w:pPr>
        <w:spacing w:after="30" w:line="240" w:lineRule="auto"/>
        <w:ind w:left="317" w:hanging="230"/>
      </w:pPr>
      <w:r>
        <w:rPr>
          <w:color w:val="414141"/>
          <w:sz w:val="16"/>
        </w:rPr>
        <w:t>[N4] Kottamasu, A., et al. (2026). APEX-SWE. arXiv:2601.08806.</w:t>
      </w:r>
    </w:p>
    <w:p w14:paraId="78EC7DFE" w14:textId="77777777" w:rsidR="00B067A9" w:rsidRDefault="00000000">
      <w:pPr>
        <w:spacing w:after="30" w:line="240" w:lineRule="auto"/>
        <w:ind w:left="317" w:hanging="230"/>
      </w:pPr>
      <w:r>
        <w:rPr>
          <w:color w:val="414141"/>
          <w:sz w:val="16"/>
        </w:rPr>
        <w:t>[N5] Mercor (2026). APEX-SWE open-source S3 snapshot task materials.</w:t>
      </w:r>
    </w:p>
    <w:p w14:paraId="23AA7BA7" w14:textId="77777777" w:rsidR="00B067A9" w:rsidRDefault="00000000">
      <w:pPr>
        <w:keepNext/>
        <w:keepLines/>
        <w:shd w:val="clear" w:color="auto" w:fill="EAF0F7"/>
        <w:spacing w:before="140" w:after="100"/>
        <w:ind w:left="120" w:right="120"/>
      </w:pPr>
      <w:r>
        <w:rPr>
          <w:b/>
          <w:color w:val="23374E"/>
          <w:sz w:val="21"/>
        </w:rPr>
        <w:t>The knowledge-work scope may be unnecessarily limited.</w:t>
      </w:r>
    </w:p>
    <w:p w14:paraId="5E566B3D" w14:textId="77777777" w:rsidR="00B067A9" w:rsidRDefault="00000000">
      <w:pPr>
        <w:spacing w:after="60" w:line="250" w:lineRule="auto"/>
      </w:pPr>
      <w:r>
        <w:t>The inference logic is extensible beyond knowledge tasks, and we will say so directly. We retain the knowledge-work focus because it is the empirical domain analyzed in the occupational corpus and the three cases, and because answer–product gaps are especially consequential when the result must be justified, reviewed, and incorporated into another actor’s workflow. We do not claim that knowledge work forms a closed category or that other work lacks role, environment, or product requirements.</w:t>
      </w:r>
    </w:p>
    <w:p w14:paraId="345CFE7E" w14:textId="77777777" w:rsidR="00B067A9" w:rsidRDefault="00000000">
      <w:pPr>
        <w:spacing w:after="60" w:line="250" w:lineRule="auto"/>
      </w:pPr>
      <w:r>
        <w:t>The expanded comparison distinguishes physical, transactional, interpersonal, and knowledge-task products. The same three questions—what activity is represented, under what setting, and what product counts as completion—can be applied to each domain. Their answers differ. In BEHAVIOR, goal-state predicates are central. In WorkBench, correct database transitions and unintended side effects matter. In SOTOPIA, social goal attainment and interaction quality matter. In knowledge tasks, epistemic and organizational sufficiency often matters. This strengthens the framework by showing that its logic is general while its empirical theory and examples are specifically developed for knowledge tasks.</w:t>
      </w:r>
    </w:p>
    <w:p w14:paraId="6E9C00DC" w14:textId="77777777" w:rsidR="00B067A9" w:rsidRDefault="00000000">
      <w:pPr>
        <w:keepLines/>
        <w:shd w:val="clear" w:color="auto" w:fill="F6F6F6"/>
        <w:spacing w:before="60" w:after="100"/>
        <w:ind w:left="173" w:right="173"/>
      </w:pPr>
      <w:r>
        <w:rPr>
          <w:b/>
          <w:sz w:val="19"/>
        </w:rPr>
        <w:t xml:space="preserve">Manuscript revision. </w:t>
      </w:r>
      <w:r>
        <w:rPr>
          <w:i/>
          <w:sz w:val="19"/>
        </w:rPr>
        <w:t>State that the framework can be extended to other forms of work; retain knowledge tasks as the focal empirical domain; add the four-domain product-sufficiency comparison and avoid claiming categorical uniqueness.</w:t>
      </w:r>
    </w:p>
    <w:p w14:paraId="71D9F6FF" w14:textId="77777777" w:rsidR="00B067A9" w:rsidRDefault="00000000">
      <w:pPr>
        <w:spacing w:before="40" w:after="20"/>
      </w:pPr>
      <w:r>
        <w:rPr>
          <w:b/>
          <w:color w:val="3C3C3C"/>
          <w:sz w:val="18"/>
        </w:rPr>
        <w:t>References cited in this reply</w:t>
      </w:r>
    </w:p>
    <w:p w14:paraId="51E5973C" w14:textId="77777777" w:rsidR="00B067A9" w:rsidRDefault="00000000">
      <w:pPr>
        <w:spacing w:after="30" w:line="240" w:lineRule="auto"/>
        <w:ind w:left="317" w:hanging="230"/>
      </w:pPr>
      <w:r>
        <w:rPr>
          <w:color w:val="414141"/>
          <w:sz w:val="16"/>
        </w:rPr>
        <w:t>[S1] Blackler, F. (1995). Knowledge, Knowledge Work and Organizations. Organization Studies, 16(6), 1021–1046.</w:t>
      </w:r>
    </w:p>
    <w:p w14:paraId="6FE7C9B6" w14:textId="77777777" w:rsidR="00B067A9" w:rsidRDefault="00000000">
      <w:pPr>
        <w:spacing w:after="30" w:line="240" w:lineRule="auto"/>
        <w:ind w:left="317" w:hanging="230"/>
      </w:pPr>
      <w:r>
        <w:rPr>
          <w:color w:val="414141"/>
          <w:sz w:val="16"/>
        </w:rPr>
        <w:t>[S2] Margaryan, A., Milligan, C., &amp; Littlejohn, A. (2011). Validation of Davenport’s Classification Structure of Knowledge-Intensive Processes. Journal of Knowledge Management, 15(4), 568–581.</w:t>
      </w:r>
    </w:p>
    <w:p w14:paraId="2A32410E" w14:textId="77777777" w:rsidR="00B067A9" w:rsidRDefault="00000000">
      <w:pPr>
        <w:spacing w:after="30" w:line="240" w:lineRule="auto"/>
        <w:ind w:left="317" w:hanging="230"/>
      </w:pPr>
      <w:r>
        <w:rPr>
          <w:color w:val="414141"/>
          <w:sz w:val="16"/>
        </w:rPr>
        <w:t>[S3] Srivastava, S., et al. (2022). BEHAVIOR. CoRL 2022.</w:t>
      </w:r>
    </w:p>
    <w:p w14:paraId="64F68C2D" w14:textId="77777777" w:rsidR="00B067A9" w:rsidRDefault="00000000">
      <w:pPr>
        <w:spacing w:after="30" w:line="240" w:lineRule="auto"/>
        <w:ind w:left="317" w:hanging="230"/>
      </w:pPr>
      <w:r>
        <w:rPr>
          <w:color w:val="414141"/>
          <w:sz w:val="16"/>
        </w:rPr>
        <w:t>[S4] Styles, O., et al. (2024). WorkBench: A Benchmark Dataset for Agents in a Realistic Workplace Setting. COLM 2024.</w:t>
      </w:r>
    </w:p>
    <w:p w14:paraId="616C8F3C" w14:textId="77777777" w:rsidR="00B067A9" w:rsidRDefault="00000000">
      <w:pPr>
        <w:spacing w:after="30" w:line="240" w:lineRule="auto"/>
        <w:ind w:left="317" w:hanging="230"/>
      </w:pPr>
      <w:r>
        <w:rPr>
          <w:color w:val="414141"/>
          <w:sz w:val="16"/>
        </w:rPr>
        <w:t>[S5] Zhou, X., et al. (2024). SOTOPIA. ICLR 2024.</w:t>
      </w:r>
    </w:p>
    <w:p w14:paraId="1CBFD86D" w14:textId="77777777" w:rsidR="00B067A9" w:rsidRDefault="00000000">
      <w:pPr>
        <w:keepNext/>
        <w:keepLines/>
        <w:shd w:val="clear" w:color="auto" w:fill="EAF0F7"/>
        <w:spacing w:before="140" w:after="100"/>
        <w:ind w:left="120" w:right="120"/>
      </w:pPr>
      <w:r>
        <w:rPr>
          <w:b/>
          <w:color w:val="23374E"/>
          <w:sz w:val="21"/>
        </w:rPr>
        <w:t>Are the 2023–2024 benchmarks and the traditional-NLP framing still current? Do recent papers still make claims from narrow tasks to knowledge work?</w:t>
      </w:r>
    </w:p>
    <w:p w14:paraId="06DE8918" w14:textId="77777777" w:rsidR="00B067A9" w:rsidRDefault="00000000">
      <w:pPr>
        <w:spacing w:after="60" w:line="250" w:lineRule="auto"/>
      </w:pPr>
      <w:r>
        <w:t>Yes, although the claim should be made carefully. We do not have a prevalence study and will not say that most recent agent benchmarks overclaim. We can show two current patterns: answer-centric or NLP-derived task constructions remain active in agent evaluation, and bounded interface or state-transition tasks are still used to discuss knowledge work, workplace automation, or enterprise capability. The concern is therefore current even when the underlying benchmarks are substantial and useful.</w:t>
      </w:r>
    </w:p>
    <w:tbl>
      <w:tblPr>
        <w:tblStyle w:val="TableGrid"/>
        <w:tblW w:w="0" w:type="auto"/>
        <w:jc w:val="center"/>
        <w:tblLook w:val="04A0" w:firstRow="1" w:lastRow="0" w:firstColumn="1" w:lastColumn="0" w:noHBand="0" w:noVBand="1"/>
      </w:tblPr>
      <w:tblGrid>
        <w:gridCol w:w="1895"/>
        <w:gridCol w:w="2456"/>
        <w:gridCol w:w="1815"/>
        <w:gridCol w:w="1914"/>
        <w:gridCol w:w="2554"/>
      </w:tblGrid>
      <w:tr w:rsidR="00B067A9" w14:paraId="44F863B4" w14:textId="77777777">
        <w:trPr>
          <w:tblHeader/>
          <w:jc w:val="center"/>
        </w:trPr>
        <w:tc>
          <w:tcPr>
            <w:tcW w:w="2088" w:type="dxa"/>
            <w:shd w:val="clear" w:color="auto" w:fill="D9E4F0"/>
            <w:tcMar>
              <w:top w:w="80" w:type="dxa"/>
              <w:left w:w="90" w:type="dxa"/>
              <w:bottom w:w="80" w:type="dxa"/>
              <w:right w:w="90" w:type="dxa"/>
            </w:tcMar>
            <w:vAlign w:val="center"/>
          </w:tcPr>
          <w:p w14:paraId="223E19BD" w14:textId="77777777" w:rsidR="00B067A9" w:rsidRDefault="00000000">
            <w:r>
              <w:rPr>
                <w:b/>
                <w:color w:val="192D44"/>
                <w:sz w:val="14"/>
              </w:rPr>
              <w:t>Benchmark and framing</w:t>
            </w:r>
          </w:p>
        </w:tc>
        <w:tc>
          <w:tcPr>
            <w:tcW w:w="2808" w:type="dxa"/>
            <w:shd w:val="clear" w:color="auto" w:fill="D9E4F0"/>
            <w:tcMar>
              <w:top w:w="80" w:type="dxa"/>
              <w:left w:w="90" w:type="dxa"/>
              <w:bottom w:w="80" w:type="dxa"/>
              <w:right w:w="90" w:type="dxa"/>
            </w:tcMar>
            <w:vAlign w:val="center"/>
          </w:tcPr>
          <w:p w14:paraId="436E2E18" w14:textId="77777777" w:rsidR="00B067A9" w:rsidRDefault="00000000">
            <w:r>
              <w:rPr>
                <w:b/>
                <w:color w:val="192D44"/>
                <w:sz w:val="14"/>
              </w:rPr>
              <w:t>What is directly evaluated</w:t>
            </w:r>
          </w:p>
        </w:tc>
        <w:tc>
          <w:tcPr>
            <w:tcW w:w="1944" w:type="dxa"/>
            <w:shd w:val="clear" w:color="auto" w:fill="D9E4F0"/>
            <w:tcMar>
              <w:top w:w="80" w:type="dxa"/>
              <w:left w:w="90" w:type="dxa"/>
              <w:bottom w:w="80" w:type="dxa"/>
              <w:right w:w="90" w:type="dxa"/>
            </w:tcMar>
            <w:vAlign w:val="center"/>
          </w:tcPr>
          <w:p w14:paraId="74EB1EAA" w14:textId="77777777" w:rsidR="00B067A9" w:rsidRDefault="00000000">
            <w:r>
              <w:rPr>
                <w:b/>
                <w:color w:val="192D44"/>
                <w:sz w:val="14"/>
              </w:rPr>
              <w:t>Primary scored object</w:t>
            </w:r>
          </w:p>
        </w:tc>
        <w:tc>
          <w:tcPr>
            <w:tcW w:w="2160" w:type="dxa"/>
            <w:shd w:val="clear" w:color="auto" w:fill="D9E4F0"/>
            <w:tcMar>
              <w:top w:w="80" w:type="dxa"/>
              <w:left w:w="90" w:type="dxa"/>
              <w:bottom w:w="80" w:type="dxa"/>
              <w:right w:w="90" w:type="dxa"/>
            </w:tcMar>
            <w:vAlign w:val="center"/>
          </w:tcPr>
          <w:p w14:paraId="7B0458B0" w14:textId="77777777" w:rsidR="00B067A9" w:rsidRDefault="00000000">
            <w:r>
              <w:rPr>
                <w:b/>
                <w:color w:val="192D44"/>
                <w:sz w:val="14"/>
              </w:rPr>
              <w:t>Work-level wording</w:t>
            </w:r>
          </w:p>
        </w:tc>
        <w:tc>
          <w:tcPr>
            <w:tcW w:w="2952" w:type="dxa"/>
            <w:shd w:val="clear" w:color="auto" w:fill="D9E4F0"/>
            <w:tcMar>
              <w:top w:w="80" w:type="dxa"/>
              <w:left w:w="90" w:type="dxa"/>
              <w:bottom w:w="80" w:type="dxa"/>
              <w:right w:w="90" w:type="dxa"/>
            </w:tcMar>
            <w:vAlign w:val="center"/>
          </w:tcPr>
          <w:p w14:paraId="70CB5E95" w14:textId="77777777" w:rsidR="00B067A9" w:rsidRDefault="00000000">
            <w:r>
              <w:rPr>
                <w:b/>
                <w:color w:val="192D44"/>
                <w:sz w:val="14"/>
              </w:rPr>
              <w:t>Claim boundary under our representation</w:t>
            </w:r>
          </w:p>
        </w:tc>
      </w:tr>
      <w:tr w:rsidR="00B067A9" w14:paraId="2B909ECF" w14:textId="77777777">
        <w:trPr>
          <w:cantSplit/>
          <w:jc w:val="center"/>
        </w:trPr>
        <w:tc>
          <w:tcPr>
            <w:tcW w:w="2088" w:type="dxa"/>
            <w:tcMar>
              <w:top w:w="80" w:type="dxa"/>
              <w:left w:w="90" w:type="dxa"/>
              <w:bottom w:w="80" w:type="dxa"/>
              <w:right w:w="90" w:type="dxa"/>
            </w:tcMar>
          </w:tcPr>
          <w:p w14:paraId="0815C7B0" w14:textId="77777777" w:rsidR="00B067A9" w:rsidRDefault="00000000">
            <w:r>
              <w:rPr>
                <w:sz w:val="14"/>
              </w:rPr>
              <w:t>WorkArena (ICML 2024): “common knowledge work tasks”; tasks said to span typical daily work of knowledge workers using enterprise software.</w:t>
            </w:r>
          </w:p>
        </w:tc>
        <w:tc>
          <w:tcPr>
            <w:tcW w:w="2808" w:type="dxa"/>
            <w:tcMar>
              <w:top w:w="80" w:type="dxa"/>
              <w:left w:w="90" w:type="dxa"/>
              <w:bottom w:w="80" w:type="dxa"/>
              <w:right w:w="90" w:type="dxa"/>
            </w:tcMar>
          </w:tcPr>
          <w:p w14:paraId="469A4F81" w14:textId="77777777" w:rsidR="00B067A9" w:rsidRDefault="00000000">
            <w:r>
              <w:rPr>
                <w:sz w:val="14"/>
              </w:rPr>
              <w:t>33 atomic ServiceNow tasks, including knowledge-base search, form filling, catalog ordering, list filtering, navigation, and dashboard question answering.</w:t>
            </w:r>
          </w:p>
        </w:tc>
        <w:tc>
          <w:tcPr>
            <w:tcW w:w="1944" w:type="dxa"/>
            <w:tcMar>
              <w:top w:w="80" w:type="dxa"/>
              <w:left w:w="90" w:type="dxa"/>
              <w:bottom w:w="80" w:type="dxa"/>
              <w:right w:w="90" w:type="dxa"/>
            </w:tcMar>
          </w:tcPr>
          <w:p w14:paraId="28E8D3EB" w14:textId="77777777" w:rsidR="00B067A9" w:rsidRDefault="00000000">
            <w:r>
              <w:rPr>
                <w:sz w:val="14"/>
              </w:rPr>
              <w:t>Page or application state validated for the configured task.</w:t>
            </w:r>
          </w:p>
        </w:tc>
        <w:tc>
          <w:tcPr>
            <w:tcW w:w="2160" w:type="dxa"/>
            <w:tcMar>
              <w:top w:w="80" w:type="dxa"/>
              <w:left w:w="90" w:type="dxa"/>
              <w:bottom w:w="80" w:type="dxa"/>
              <w:right w:w="90" w:type="dxa"/>
            </w:tcMar>
          </w:tcPr>
          <w:p w14:paraId="07169FDD" w14:textId="77777777" w:rsidR="00B067A9" w:rsidRDefault="00000000">
            <w:r>
              <w:rPr>
                <w:sz w:val="14"/>
              </w:rPr>
              <w:t>Discusses the gap toward full task automation.</w:t>
            </w:r>
          </w:p>
        </w:tc>
        <w:tc>
          <w:tcPr>
            <w:tcW w:w="2952" w:type="dxa"/>
            <w:tcMar>
              <w:top w:w="80" w:type="dxa"/>
              <w:left w:w="90" w:type="dxa"/>
              <w:bottom w:w="80" w:type="dxa"/>
              <w:right w:w="90" w:type="dxa"/>
            </w:tcMar>
          </w:tcPr>
          <w:p w14:paraId="09FF8B53" w14:textId="77777777" w:rsidR="00B067A9" w:rsidRDefault="00000000">
            <w:r>
              <w:rPr>
                <w:sz w:val="14"/>
              </w:rPr>
              <w:t>Strong evidence for the included ServiceNow procedures in the configured environment; not by itself a representative sample of knowledge work or full automation.</w:t>
            </w:r>
          </w:p>
        </w:tc>
      </w:tr>
      <w:tr w:rsidR="00B067A9" w14:paraId="35987218" w14:textId="77777777">
        <w:trPr>
          <w:cantSplit/>
          <w:jc w:val="center"/>
        </w:trPr>
        <w:tc>
          <w:tcPr>
            <w:tcW w:w="2088" w:type="dxa"/>
            <w:shd w:val="clear" w:color="auto" w:fill="F7F9FB"/>
            <w:tcMar>
              <w:top w:w="80" w:type="dxa"/>
              <w:left w:w="90" w:type="dxa"/>
              <w:bottom w:w="80" w:type="dxa"/>
              <w:right w:w="90" w:type="dxa"/>
            </w:tcMar>
          </w:tcPr>
          <w:p w14:paraId="662932C1" w14:textId="77777777" w:rsidR="00B067A9" w:rsidRDefault="00000000">
            <w:r>
              <w:rPr>
                <w:sz w:val="14"/>
              </w:rPr>
              <w:t>WorkArena++ (NeurIPS 2024): 682 tasks described as realistic workflows routinely performed by knowledge workers.</w:t>
            </w:r>
          </w:p>
        </w:tc>
        <w:tc>
          <w:tcPr>
            <w:tcW w:w="2808" w:type="dxa"/>
            <w:shd w:val="clear" w:color="auto" w:fill="F7F9FB"/>
            <w:tcMar>
              <w:top w:w="80" w:type="dxa"/>
              <w:left w:w="90" w:type="dxa"/>
              <w:bottom w:w="80" w:type="dxa"/>
              <w:right w:w="90" w:type="dxa"/>
            </w:tcMar>
          </w:tcPr>
          <w:p w14:paraId="558D01DC" w14:textId="77777777" w:rsidR="00B067A9" w:rsidRDefault="00000000">
            <w:r>
              <w:rPr>
                <w:sz w:val="14"/>
              </w:rPr>
              <w:t>Compositions of WorkArena actions requiring planning, retrieval, contextual understanding, and logical/arithmetic reasoning.</w:t>
            </w:r>
          </w:p>
        </w:tc>
        <w:tc>
          <w:tcPr>
            <w:tcW w:w="1944" w:type="dxa"/>
            <w:shd w:val="clear" w:color="auto" w:fill="F7F9FB"/>
            <w:tcMar>
              <w:top w:w="80" w:type="dxa"/>
              <w:left w:w="90" w:type="dxa"/>
              <w:bottom w:w="80" w:type="dxa"/>
              <w:right w:w="90" w:type="dxa"/>
            </w:tcMar>
          </w:tcPr>
          <w:p w14:paraId="1D8D3668" w14:textId="77777777" w:rsidR="00B067A9" w:rsidRDefault="00000000">
            <w:r>
              <w:rPr>
                <w:sz w:val="14"/>
              </w:rPr>
              <w:t>Successful completion of the configured ServiceNow workflow.</w:t>
            </w:r>
          </w:p>
        </w:tc>
        <w:tc>
          <w:tcPr>
            <w:tcW w:w="2160" w:type="dxa"/>
            <w:shd w:val="clear" w:color="auto" w:fill="F7F9FB"/>
            <w:tcMar>
              <w:top w:w="80" w:type="dxa"/>
              <w:left w:w="90" w:type="dxa"/>
              <w:bottom w:w="80" w:type="dxa"/>
              <w:right w:w="90" w:type="dxa"/>
            </w:tcMar>
          </w:tcPr>
          <w:p w14:paraId="4D6CF352" w14:textId="77777777" w:rsidR="00B067A9" w:rsidRDefault="00000000">
            <w:r>
              <w:rPr>
                <w:sz w:val="14"/>
              </w:rPr>
              <w:t>Used to evaluate workplace assistants and autonomous agents in enterprise settings.</w:t>
            </w:r>
          </w:p>
        </w:tc>
        <w:tc>
          <w:tcPr>
            <w:tcW w:w="2952" w:type="dxa"/>
            <w:shd w:val="clear" w:color="auto" w:fill="F7F9FB"/>
            <w:tcMar>
              <w:top w:w="80" w:type="dxa"/>
              <w:left w:w="90" w:type="dxa"/>
              <w:bottom w:w="80" w:type="dxa"/>
              <w:right w:w="90" w:type="dxa"/>
            </w:tcMar>
          </w:tcPr>
          <w:p w14:paraId="67BF6BD3" w14:textId="77777777" w:rsidR="00B067A9" w:rsidRDefault="00000000">
            <w:r>
              <w:rPr>
                <w:sz w:val="14"/>
              </w:rPr>
              <w:t>Substantially stronger workflow evidence; broader knowledge-work coverage still depends on the workflow sampling frame, roles, receiving products, and omitted stages.</w:t>
            </w:r>
          </w:p>
        </w:tc>
      </w:tr>
      <w:tr w:rsidR="00B067A9" w14:paraId="39066A62" w14:textId="77777777">
        <w:trPr>
          <w:cantSplit/>
          <w:jc w:val="center"/>
        </w:trPr>
        <w:tc>
          <w:tcPr>
            <w:tcW w:w="2088" w:type="dxa"/>
            <w:tcMar>
              <w:top w:w="80" w:type="dxa"/>
              <w:left w:w="90" w:type="dxa"/>
              <w:bottom w:w="80" w:type="dxa"/>
              <w:right w:w="90" w:type="dxa"/>
            </w:tcMar>
          </w:tcPr>
          <w:p w14:paraId="345DC089" w14:textId="77777777" w:rsidR="00B067A9" w:rsidRDefault="00000000">
            <w:r>
              <w:rPr>
                <w:sz w:val="14"/>
              </w:rPr>
              <w:t>WorkBench (COLM 2024): agents in a realistic workplace setting; 690 tasks representing common business activities.</w:t>
            </w:r>
          </w:p>
        </w:tc>
        <w:tc>
          <w:tcPr>
            <w:tcW w:w="2808" w:type="dxa"/>
            <w:tcMar>
              <w:top w:w="80" w:type="dxa"/>
              <w:left w:w="90" w:type="dxa"/>
              <w:bottom w:w="80" w:type="dxa"/>
              <w:right w:w="90" w:type="dxa"/>
            </w:tcMar>
          </w:tcPr>
          <w:p w14:paraId="0BB01BFE" w14:textId="77777777" w:rsidR="00B067A9" w:rsidRDefault="00000000">
            <w:r>
              <w:rPr>
                <w:sz w:val="14"/>
              </w:rPr>
              <w:t>Tool-mediated email, scheduling, and related tasks over five databases and 26 tools.</w:t>
            </w:r>
          </w:p>
        </w:tc>
        <w:tc>
          <w:tcPr>
            <w:tcW w:w="1944" w:type="dxa"/>
            <w:tcMar>
              <w:top w:w="80" w:type="dxa"/>
              <w:left w:w="90" w:type="dxa"/>
              <w:bottom w:w="80" w:type="dxa"/>
              <w:right w:w="90" w:type="dxa"/>
            </w:tcMar>
          </w:tcPr>
          <w:p w14:paraId="7E2E990A" w14:textId="77777777" w:rsidR="00B067A9" w:rsidRDefault="00000000">
            <w:r>
              <w:rPr>
                <w:sz w:val="14"/>
              </w:rPr>
              <w:t>Unique expected database values or state changes.</w:t>
            </w:r>
          </w:p>
        </w:tc>
        <w:tc>
          <w:tcPr>
            <w:tcW w:w="2160" w:type="dxa"/>
            <w:tcMar>
              <w:top w:w="80" w:type="dxa"/>
              <w:left w:w="90" w:type="dxa"/>
              <w:bottom w:w="80" w:type="dxa"/>
              <w:right w:w="90" w:type="dxa"/>
            </w:tcMar>
          </w:tcPr>
          <w:p w14:paraId="5CB2168F" w14:textId="77777777" w:rsidR="00B067A9" w:rsidRDefault="00000000">
            <w:r>
              <w:rPr>
                <w:sz w:val="14"/>
              </w:rPr>
              <w:t>Raises questions about use in high-stakes workplace settings.</w:t>
            </w:r>
          </w:p>
        </w:tc>
        <w:tc>
          <w:tcPr>
            <w:tcW w:w="2952" w:type="dxa"/>
            <w:tcMar>
              <w:top w:w="80" w:type="dxa"/>
              <w:left w:w="90" w:type="dxa"/>
              <w:bottom w:w="80" w:type="dxa"/>
              <w:right w:w="90" w:type="dxa"/>
            </w:tcMar>
          </w:tcPr>
          <w:p w14:paraId="37184471" w14:textId="77777777" w:rsidR="00B067A9" w:rsidRDefault="00000000">
            <w:r>
              <w:rPr>
                <w:sz w:val="14"/>
              </w:rPr>
              <w:t>Supports execution of the included administrative state changes; broader workplace use also requires policy, judgment, quality, authority, and handling of exceptions and side effects.</w:t>
            </w:r>
          </w:p>
        </w:tc>
      </w:tr>
      <w:tr w:rsidR="00B067A9" w14:paraId="545D145C" w14:textId="77777777">
        <w:trPr>
          <w:cantSplit/>
          <w:jc w:val="center"/>
        </w:trPr>
        <w:tc>
          <w:tcPr>
            <w:tcW w:w="2088" w:type="dxa"/>
            <w:shd w:val="clear" w:color="auto" w:fill="F7F9FB"/>
            <w:tcMar>
              <w:top w:w="80" w:type="dxa"/>
              <w:left w:w="90" w:type="dxa"/>
              <w:bottom w:w="80" w:type="dxa"/>
              <w:right w:w="90" w:type="dxa"/>
            </w:tcMar>
          </w:tcPr>
          <w:p w14:paraId="462C0872" w14:textId="77777777" w:rsidR="00B067A9" w:rsidRDefault="00000000">
            <w:r>
              <w:rPr>
                <w:sz w:val="14"/>
              </w:rPr>
              <w:t>AssistantBench (EMNLP 2024): realistic and time-consuming web assistance.</w:t>
            </w:r>
          </w:p>
        </w:tc>
        <w:tc>
          <w:tcPr>
            <w:tcW w:w="2808" w:type="dxa"/>
            <w:shd w:val="clear" w:color="auto" w:fill="F7F9FB"/>
            <w:tcMar>
              <w:top w:w="80" w:type="dxa"/>
              <w:left w:w="90" w:type="dxa"/>
              <w:bottom w:w="80" w:type="dxa"/>
              <w:right w:w="90" w:type="dxa"/>
            </w:tcMar>
          </w:tcPr>
          <w:p w14:paraId="224CC4E6" w14:textId="77777777" w:rsidR="00B067A9" w:rsidRDefault="00000000">
            <w:r>
              <w:rPr>
                <w:sz w:val="14"/>
              </w:rPr>
              <w:t>214 open-web information-seeking tasks, such as real-estate monitoring and locating businesses.</w:t>
            </w:r>
          </w:p>
        </w:tc>
        <w:tc>
          <w:tcPr>
            <w:tcW w:w="1944" w:type="dxa"/>
            <w:shd w:val="clear" w:color="auto" w:fill="F7F9FB"/>
            <w:tcMar>
              <w:top w:w="80" w:type="dxa"/>
              <w:left w:w="90" w:type="dxa"/>
              <w:bottom w:w="80" w:type="dxa"/>
              <w:right w:w="90" w:type="dxa"/>
            </w:tcMar>
          </w:tcPr>
          <w:p w14:paraId="762A69F8" w14:textId="77777777" w:rsidR="00B067A9" w:rsidRDefault="00000000">
            <w:r>
              <w:rPr>
                <w:sz w:val="14"/>
              </w:rPr>
              <w:t>Automatically evaluated final answers.</w:t>
            </w:r>
          </w:p>
        </w:tc>
        <w:tc>
          <w:tcPr>
            <w:tcW w:w="2160" w:type="dxa"/>
            <w:shd w:val="clear" w:color="auto" w:fill="F7F9FB"/>
            <w:tcMar>
              <w:top w:w="80" w:type="dxa"/>
              <w:left w:w="90" w:type="dxa"/>
              <w:bottom w:w="80" w:type="dxa"/>
              <w:right w:w="90" w:type="dxa"/>
            </w:tcMar>
          </w:tcPr>
          <w:p w14:paraId="543034B2" w14:textId="77777777" w:rsidR="00B067A9" w:rsidRDefault="00000000">
            <w:r>
              <w:rPr>
                <w:sz w:val="14"/>
              </w:rPr>
              <w:t>Evaluates realistic web agents and assistants.</w:t>
            </w:r>
          </w:p>
        </w:tc>
        <w:tc>
          <w:tcPr>
            <w:tcW w:w="2952" w:type="dxa"/>
            <w:shd w:val="clear" w:color="auto" w:fill="F7F9FB"/>
            <w:tcMar>
              <w:top w:w="80" w:type="dxa"/>
              <w:left w:w="90" w:type="dxa"/>
              <w:bottom w:w="80" w:type="dxa"/>
              <w:right w:w="90" w:type="dxa"/>
            </w:tcMar>
          </w:tcPr>
          <w:p w14:paraId="58627631" w14:textId="77777777" w:rsidR="00B067A9" w:rsidRDefault="00000000">
            <w:r>
              <w:rPr>
                <w:sz w:val="14"/>
              </w:rPr>
              <w:t>Supports the included information-gathering and answer-production tasks; not all persistent monitoring, communication, provenance, or handoff functions of assistance.</w:t>
            </w:r>
          </w:p>
        </w:tc>
      </w:tr>
      <w:tr w:rsidR="00B067A9" w14:paraId="1FEE18FF" w14:textId="77777777">
        <w:trPr>
          <w:cantSplit/>
          <w:jc w:val="center"/>
        </w:trPr>
        <w:tc>
          <w:tcPr>
            <w:tcW w:w="2088" w:type="dxa"/>
            <w:tcMar>
              <w:top w:w="80" w:type="dxa"/>
              <w:left w:w="90" w:type="dxa"/>
              <w:bottom w:w="80" w:type="dxa"/>
              <w:right w:w="90" w:type="dxa"/>
            </w:tcMar>
          </w:tcPr>
          <w:p w14:paraId="11E2F01B" w14:textId="77777777" w:rsidR="00B067A9" w:rsidRDefault="00000000">
            <w:r>
              <w:rPr>
                <w:sz w:val="14"/>
              </w:rPr>
              <w:lastRenderedPageBreak/>
              <w:t>PeopleJoin (Findings ACL 2025): LM-mediated collaborative problem solving in synthetic organizations.</w:t>
            </w:r>
          </w:p>
        </w:tc>
        <w:tc>
          <w:tcPr>
            <w:tcW w:w="2808" w:type="dxa"/>
            <w:tcMar>
              <w:top w:w="80" w:type="dxa"/>
              <w:left w:w="90" w:type="dxa"/>
              <w:bottom w:w="80" w:type="dxa"/>
              <w:right w:w="90" w:type="dxa"/>
            </w:tcMar>
          </w:tcPr>
          <w:p w14:paraId="4A21F7C0" w14:textId="77777777" w:rsidR="00B067A9" w:rsidRDefault="00000000">
            <w:r>
              <w:rPr>
                <w:sz w:val="14"/>
              </w:rPr>
              <w:t>Database QA and multi-document summarization adapted so information is distributed across 2–20 synthetic users; agents identify and query teammates.</w:t>
            </w:r>
          </w:p>
        </w:tc>
        <w:tc>
          <w:tcPr>
            <w:tcW w:w="1944" w:type="dxa"/>
            <w:tcMar>
              <w:top w:w="80" w:type="dxa"/>
              <w:left w:w="90" w:type="dxa"/>
              <w:bottom w:w="80" w:type="dxa"/>
              <w:right w:w="90" w:type="dxa"/>
            </w:tcMar>
          </w:tcPr>
          <w:p w14:paraId="142A6695" w14:textId="77777777" w:rsidR="00B067A9" w:rsidRDefault="00000000">
            <w:r>
              <w:rPr>
                <w:sz w:val="14"/>
              </w:rPr>
              <w:t>Final answer or summary plus accuracy/efficiency measures.</w:t>
            </w:r>
          </w:p>
        </w:tc>
        <w:tc>
          <w:tcPr>
            <w:tcW w:w="2160" w:type="dxa"/>
            <w:tcMar>
              <w:top w:w="80" w:type="dxa"/>
              <w:left w:w="90" w:type="dxa"/>
              <w:bottom w:w="80" w:type="dxa"/>
              <w:right w:w="90" w:type="dxa"/>
            </w:tcMar>
          </w:tcPr>
          <w:p w14:paraId="39AE0FD6" w14:textId="77777777" w:rsidR="00B067A9" w:rsidRDefault="00000000">
            <w:r>
              <w:rPr>
                <w:sz w:val="14"/>
              </w:rPr>
              <w:t>Frames the tasks as multi-user collaboration and organizational information gathering.</w:t>
            </w:r>
          </w:p>
        </w:tc>
        <w:tc>
          <w:tcPr>
            <w:tcW w:w="2952" w:type="dxa"/>
            <w:tcMar>
              <w:top w:w="80" w:type="dxa"/>
              <w:left w:w="90" w:type="dxa"/>
              <w:bottom w:w="80" w:type="dxa"/>
              <w:right w:w="90" w:type="dxa"/>
            </w:tcMar>
          </w:tcPr>
          <w:p w14:paraId="65A256F0" w14:textId="77777777" w:rsidR="00B067A9" w:rsidRDefault="00000000">
            <w:r>
              <w:rPr>
                <w:sz w:val="14"/>
              </w:rPr>
              <w:t>Demonstrates coordination under the synthetic distribution protocol; does not by itself establish collaboration across open-ended organizational goals, authority, negotiation, and durable shared artifacts.</w:t>
            </w:r>
          </w:p>
        </w:tc>
      </w:tr>
      <w:tr w:rsidR="00B067A9" w14:paraId="0AB3048D" w14:textId="77777777">
        <w:trPr>
          <w:cantSplit/>
          <w:jc w:val="center"/>
        </w:trPr>
        <w:tc>
          <w:tcPr>
            <w:tcW w:w="2088" w:type="dxa"/>
            <w:shd w:val="clear" w:color="auto" w:fill="F7F9FB"/>
            <w:tcMar>
              <w:top w:w="80" w:type="dxa"/>
              <w:left w:w="90" w:type="dxa"/>
              <w:bottom w:w="80" w:type="dxa"/>
              <w:right w:w="90" w:type="dxa"/>
            </w:tcMar>
          </w:tcPr>
          <w:p w14:paraId="0C41A005" w14:textId="77777777" w:rsidR="00B067A9" w:rsidRDefault="00000000">
            <w:r>
              <w:rPr>
                <w:sz w:val="14"/>
              </w:rPr>
              <w:t>EnterpriseBench (EMNLP 2025): “Can LLMs Help You at Work?”</w:t>
            </w:r>
          </w:p>
        </w:tc>
        <w:tc>
          <w:tcPr>
            <w:tcW w:w="2808" w:type="dxa"/>
            <w:shd w:val="clear" w:color="auto" w:fill="F7F9FB"/>
            <w:tcMar>
              <w:top w:w="80" w:type="dxa"/>
              <w:left w:w="90" w:type="dxa"/>
              <w:bottom w:w="80" w:type="dxa"/>
              <w:right w:w="90" w:type="dxa"/>
            </w:tcMar>
          </w:tcPr>
          <w:p w14:paraId="4CA487D4" w14:textId="77777777" w:rsidR="00B067A9" w:rsidRDefault="00000000">
            <w:r>
              <w:rPr>
                <w:sz w:val="14"/>
              </w:rPr>
              <w:t>500 tasks across software engineering, HR, finance, and administration with fragmented sources, access controls, and cross-functional workflows.</w:t>
            </w:r>
          </w:p>
        </w:tc>
        <w:tc>
          <w:tcPr>
            <w:tcW w:w="1944" w:type="dxa"/>
            <w:shd w:val="clear" w:color="auto" w:fill="F7F9FB"/>
            <w:tcMar>
              <w:top w:w="80" w:type="dxa"/>
              <w:left w:w="90" w:type="dxa"/>
              <w:bottom w:w="80" w:type="dxa"/>
              <w:right w:w="90" w:type="dxa"/>
            </w:tcMar>
          </w:tcPr>
          <w:p w14:paraId="5EFBA9B4" w14:textId="77777777" w:rsidR="00B067A9" w:rsidRDefault="00000000">
            <w:r>
              <w:rPr>
                <w:sz w:val="14"/>
              </w:rPr>
              <w:t>Task completion in the enterprise sandbox.</w:t>
            </w:r>
          </w:p>
        </w:tc>
        <w:tc>
          <w:tcPr>
            <w:tcW w:w="2160" w:type="dxa"/>
            <w:shd w:val="clear" w:color="auto" w:fill="F7F9FB"/>
            <w:tcMar>
              <w:top w:w="80" w:type="dxa"/>
              <w:left w:w="90" w:type="dxa"/>
              <w:bottom w:w="80" w:type="dxa"/>
              <w:right w:w="90" w:type="dxa"/>
            </w:tcMar>
          </w:tcPr>
          <w:p w14:paraId="77AA487C" w14:textId="77777777" w:rsidR="00B067A9" w:rsidRDefault="00000000">
            <w:r>
              <w:rPr>
                <w:sz w:val="14"/>
              </w:rPr>
              <w:t>Discusses enterprise-focused AI systems.</w:t>
            </w:r>
          </w:p>
        </w:tc>
        <w:tc>
          <w:tcPr>
            <w:tcW w:w="2952" w:type="dxa"/>
            <w:shd w:val="clear" w:color="auto" w:fill="F7F9FB"/>
            <w:tcMar>
              <w:top w:w="80" w:type="dxa"/>
              <w:left w:w="90" w:type="dxa"/>
              <w:bottom w:w="80" w:type="dxa"/>
              <w:right w:w="90" w:type="dxa"/>
            </w:tcMar>
          </w:tcPr>
          <w:p w14:paraId="5AABC50A" w14:textId="77777777" w:rsidR="00B067A9" w:rsidRDefault="00000000">
            <w:r>
              <w:rPr>
                <w:sz w:val="14"/>
              </w:rPr>
              <w:t>A strong setting-oriented benchmark; the shared activity and receiving product still matter for comparing its heterogeneous tasks with other “enterprise” benchmarks.</w:t>
            </w:r>
          </w:p>
        </w:tc>
      </w:tr>
    </w:tbl>
    <w:p w14:paraId="10C248A0" w14:textId="77777777" w:rsidR="00B067A9" w:rsidRDefault="00B067A9">
      <w:pPr>
        <w:spacing w:after="0"/>
      </w:pPr>
    </w:p>
    <w:p w14:paraId="0868ECD5" w14:textId="77777777" w:rsidR="00B067A9" w:rsidRDefault="00000000">
      <w:pPr>
        <w:spacing w:after="60" w:line="250" w:lineRule="auto"/>
      </w:pPr>
      <w:r>
        <w:t>These examples should not be presented as accusations. WorkArena++ and EnterpriseBench, in particular, make serious efforts to represent complex workflows and enterprise constraints. They also illustrate why task count and environmental richness do not eliminate the need for common terminology. Two benchmarks may both be called “knowledge work” while one scores atomic interface states and another scores cross-functional workflows; a third may use a final answer. Conversely, tasks with different occupational labels may instantiate the same work activity. The activity–setting–product representation enables a horizontal comparison that paper-specific labels do not.</w:t>
      </w:r>
    </w:p>
    <w:p w14:paraId="3C525E87" w14:textId="77777777" w:rsidR="00B067A9" w:rsidRDefault="00000000">
      <w:pPr>
        <w:spacing w:after="60" w:line="250" w:lineRule="auto"/>
      </w:pPr>
      <w:r>
        <w:t>PeopleJoin is particularly direct evidence that traditional NLP task forms remain current. Its two domains are explicitly adapted from database question answering and multi-document summarization, then redistributed across synthetic organizations and framed as collaborative problem solving. That is a legitimate and useful construction. It also shows why the claim boundary matters: the benchmark establishes performance on coordination protocols around those inherited information tasks, not every form of organizational collaboration. AssistantBench similarly gives answer-centric scoring to realistic web tasks. Beyond Text independently shows why expert document research cannot be reduced to extracting an answer from text: experts work iteratively, use contextual and social knowledge, and treat documents as situated objects.</w:t>
      </w:r>
    </w:p>
    <w:p w14:paraId="3F012EE5" w14:textId="77777777" w:rsidR="00B067A9" w:rsidRDefault="00000000">
      <w:pPr>
        <w:keepLines/>
        <w:shd w:val="clear" w:color="auto" w:fill="F6F6F6"/>
        <w:spacing w:before="60" w:after="100"/>
        <w:ind w:left="173" w:right="173"/>
      </w:pPr>
      <w:r>
        <w:rPr>
          <w:b/>
          <w:sz w:val="19"/>
        </w:rPr>
        <w:t xml:space="preserve">Manuscript revision. </w:t>
      </w:r>
      <w:r>
        <w:rPr>
          <w:i/>
          <w:sz w:val="19"/>
        </w:rPr>
        <w:t>Replace vague claims that the field “still overclaims” with this evidence-based formulation: recent benchmarks continue to use answer-centric, NLP-derived, interface, and state-transition tasks to discuss assistants and work; the paper offers a common representation for stating exactly what those scores support. Explicitly state that the examples establish existence, not prevalence.</w:t>
      </w:r>
    </w:p>
    <w:p w14:paraId="2B70D678" w14:textId="77777777" w:rsidR="00B067A9" w:rsidRDefault="00000000">
      <w:pPr>
        <w:spacing w:before="40" w:after="20"/>
      </w:pPr>
      <w:r>
        <w:rPr>
          <w:b/>
          <w:color w:val="3C3C3C"/>
          <w:sz w:val="18"/>
        </w:rPr>
        <w:t>References cited in this reply</w:t>
      </w:r>
    </w:p>
    <w:p w14:paraId="22E073D1" w14:textId="77777777" w:rsidR="00B067A9" w:rsidRDefault="00000000">
      <w:pPr>
        <w:spacing w:after="30" w:line="240" w:lineRule="auto"/>
        <w:ind w:left="317" w:hanging="230"/>
      </w:pPr>
      <w:r>
        <w:rPr>
          <w:color w:val="414141"/>
          <w:sz w:val="16"/>
        </w:rPr>
        <w:t>[C1] Drouin, A., et al. (2024). WorkArena: How Capable Are Web Agents at Solving Common Knowledge Work Tasks? ICML 2024.</w:t>
      </w:r>
    </w:p>
    <w:p w14:paraId="17C7D193" w14:textId="77777777" w:rsidR="00B067A9" w:rsidRDefault="00000000">
      <w:pPr>
        <w:spacing w:after="30" w:line="240" w:lineRule="auto"/>
        <w:ind w:left="317" w:hanging="230"/>
      </w:pPr>
      <w:r>
        <w:rPr>
          <w:color w:val="414141"/>
          <w:sz w:val="16"/>
        </w:rPr>
        <w:t>[C2] Boisvert, L., et al. (2024). WorkArena++: Towards Compositional Planning and Reasoning-Based Common Knowledge Work Tasks. NeurIPS 2024 Datasets and Benchmarks Track.</w:t>
      </w:r>
    </w:p>
    <w:p w14:paraId="67BFB42A" w14:textId="77777777" w:rsidR="00B067A9" w:rsidRDefault="00000000">
      <w:pPr>
        <w:spacing w:after="30" w:line="240" w:lineRule="auto"/>
        <w:ind w:left="317" w:hanging="230"/>
      </w:pPr>
      <w:r>
        <w:rPr>
          <w:color w:val="414141"/>
          <w:sz w:val="16"/>
        </w:rPr>
        <w:t>[C3] Styles, O., et al. (2024). WorkBench: A Benchmark Dataset for Agents in a Realistic Workplace Setting. COLM 2024.</w:t>
      </w:r>
    </w:p>
    <w:p w14:paraId="406F9F33" w14:textId="77777777" w:rsidR="00B067A9" w:rsidRDefault="00000000">
      <w:pPr>
        <w:spacing w:after="30" w:line="240" w:lineRule="auto"/>
        <w:ind w:left="317" w:hanging="230"/>
      </w:pPr>
      <w:r>
        <w:rPr>
          <w:color w:val="414141"/>
          <w:sz w:val="16"/>
        </w:rPr>
        <w:t>[C4] Yoran, O., et al. (2024). AssistantBench: Can Web Agents Solve Realistic and Time-Consuming Tasks? EMNLP 2024. https://doi.org/10.18653/v1/2024.emnlp-main.505.</w:t>
      </w:r>
    </w:p>
    <w:p w14:paraId="153B4F9B" w14:textId="77777777" w:rsidR="00B067A9" w:rsidRDefault="00000000">
      <w:pPr>
        <w:spacing w:after="30" w:line="240" w:lineRule="auto"/>
        <w:ind w:left="317" w:hanging="230"/>
      </w:pPr>
      <w:r>
        <w:rPr>
          <w:color w:val="414141"/>
          <w:sz w:val="16"/>
        </w:rPr>
        <w:t>[C5] Jhamtani, H., Andreas, J., &amp; Van Durme, B. (2025). LLM Agents for Coordinating Multi-User Information Gathering. Findings of ACL 2025. https://doi.org/10.18653/v1/2025.findings-acl.916.</w:t>
      </w:r>
    </w:p>
    <w:p w14:paraId="1F69AC40" w14:textId="77777777" w:rsidR="00B067A9" w:rsidRDefault="00000000">
      <w:pPr>
        <w:spacing w:after="30" w:line="240" w:lineRule="auto"/>
        <w:ind w:left="317" w:hanging="230"/>
      </w:pPr>
      <w:r>
        <w:rPr>
          <w:color w:val="414141"/>
          <w:sz w:val="16"/>
        </w:rPr>
        <w:t>[C6] Vishwakarma, H., et al. (2025). Can LLMs Help You at Work? A Sandbox for Evaluating LLM Agents in Enterprise Environments. EMNLP 2025.</w:t>
      </w:r>
    </w:p>
    <w:p w14:paraId="3401DCE8" w14:textId="77777777" w:rsidR="00B067A9" w:rsidRDefault="00000000">
      <w:pPr>
        <w:spacing w:after="30" w:line="240" w:lineRule="auto"/>
        <w:ind w:left="317" w:hanging="230"/>
      </w:pPr>
      <w:r>
        <w:rPr>
          <w:color w:val="414141"/>
          <w:sz w:val="16"/>
        </w:rPr>
        <w:t>[C7] Gururaja, S., et al. (2025). Beyond Text: Characterizing Domain Expert Needs in Document Research. Findings of ACL 2025.</w:t>
      </w:r>
    </w:p>
    <w:p w14:paraId="468478F6" w14:textId="77777777" w:rsidR="00B067A9" w:rsidRDefault="00000000">
      <w:pPr>
        <w:keepNext/>
        <w:keepLines/>
        <w:shd w:val="clear" w:color="auto" w:fill="EAF0F7"/>
        <w:spacing w:before="140" w:after="100"/>
        <w:ind w:left="120" w:right="120"/>
      </w:pPr>
      <w:r>
        <w:rPr>
          <w:b/>
          <w:color w:val="23374E"/>
          <w:sz w:val="21"/>
        </w:rPr>
        <w:t>What is distinctive about knowledge tasks relative to agentic tasks in general?</w:t>
      </w:r>
    </w:p>
    <w:p w14:paraId="6321568C" w14:textId="77777777" w:rsidR="00B067A9" w:rsidRDefault="00000000">
      <w:pPr>
        <w:spacing w:after="60" w:line="250" w:lineRule="auto"/>
      </w:pPr>
      <w:r>
        <w:t>The concise answer is that “agentic” is a mode of execution, whereas knowledge describes what successful performance must accomplish. The distinctive issue is not that knowledge tasks always require traces or always end in a file. It is that the result often has to be epistemically warranted and organizationally usable.</w:t>
      </w:r>
    </w:p>
    <w:p w14:paraId="11022941" w14:textId="77777777" w:rsidR="00B067A9" w:rsidRDefault="00000000">
      <w:pPr>
        <w:spacing w:after="60" w:line="250" w:lineRule="auto"/>
      </w:pPr>
      <w:r>
        <w:t>Epistemic sufficiency concerns whether the result is supported by the right evidence: source identity and version, relevant context, assumptions, uncertainty, conflicts, and the relation between evidence and conclusion. Organizational sufficiency concerns whether the result can legitimately enter the next workflow stage: role and authority, canonical record or artifact state, reviewability, actionability, and handoff. A correct-looking answer can fail either test. It may cite an obsolete source, conceal a disputed assumption, be produced by an actor without authority, or exist only in chat when the workflow requires an updated record or executable artifact.</w:t>
      </w:r>
    </w:p>
    <w:p w14:paraId="1AF567C6" w14:textId="77777777" w:rsidR="00B067A9" w:rsidRDefault="00000000">
      <w:pPr>
        <w:spacing w:after="60" w:line="250" w:lineRule="auto"/>
      </w:pPr>
      <w:r>
        <w:t>This is not a universal boundary. Some knowledge tasks are routine and tightly specified; some physical or service tasks involve complex judgment and documentation. Organizational scholarship therefore cautions against a single essentialist definition of knowledge work. We use a family-resemblance definition tied to the evaluation problem: when the intended work claim depends on interpreting and situating information for downstream use, the benchmark should represent and score the conditions that make that result sufficient.</w:t>
      </w:r>
    </w:p>
    <w:p w14:paraId="539AE381" w14:textId="77777777" w:rsidR="00B067A9" w:rsidRDefault="00000000">
      <w:pPr>
        <w:keepLines/>
        <w:shd w:val="clear" w:color="auto" w:fill="F6F6F6"/>
        <w:spacing w:before="60" w:after="100"/>
        <w:ind w:left="173" w:right="173"/>
      </w:pPr>
      <w:r>
        <w:rPr>
          <w:b/>
          <w:sz w:val="19"/>
        </w:rPr>
        <w:lastRenderedPageBreak/>
        <w:t xml:space="preserve">Manuscript revision. </w:t>
      </w:r>
      <w:r>
        <w:rPr>
          <w:i/>
          <w:sz w:val="19"/>
        </w:rPr>
        <w:t>Replace the former document-centered wording with the epistemic/organizational sufficiency distinction, acknowledge overlap and heterogeneous knowledge-work forms, and connect the distinction directly to the three framework steps.</w:t>
      </w:r>
    </w:p>
    <w:p w14:paraId="7816BE20" w14:textId="77777777" w:rsidR="00B067A9" w:rsidRDefault="00000000">
      <w:pPr>
        <w:spacing w:before="40" w:after="20"/>
      </w:pPr>
      <w:r>
        <w:rPr>
          <w:b/>
          <w:color w:val="3C3C3C"/>
          <w:sz w:val="18"/>
        </w:rPr>
        <w:t>References cited in this reply</w:t>
      </w:r>
    </w:p>
    <w:p w14:paraId="1B88D1E8" w14:textId="77777777" w:rsidR="00B067A9" w:rsidRDefault="00000000">
      <w:pPr>
        <w:spacing w:after="30" w:line="240" w:lineRule="auto"/>
        <w:ind w:left="317" w:hanging="230"/>
      </w:pPr>
      <w:r>
        <w:rPr>
          <w:color w:val="414141"/>
          <w:sz w:val="16"/>
        </w:rPr>
        <w:t>[D1] Blackler, F. (1995). Knowledge, Knowledge Work and Organizations. Organization Studies, 16(6), 1021–1046.</w:t>
      </w:r>
    </w:p>
    <w:p w14:paraId="6AE9638E" w14:textId="77777777" w:rsidR="00B067A9" w:rsidRDefault="00000000">
      <w:pPr>
        <w:spacing w:after="30" w:line="240" w:lineRule="auto"/>
        <w:ind w:left="317" w:hanging="230"/>
      </w:pPr>
      <w:r>
        <w:rPr>
          <w:color w:val="414141"/>
          <w:sz w:val="16"/>
        </w:rPr>
        <w:t>[D2] Pyöriä, P. (2005). The Concept of Knowledge Work Revisited. Journal of Knowledge Management, 9(3), 116–127.</w:t>
      </w:r>
    </w:p>
    <w:p w14:paraId="169D3A38" w14:textId="77777777" w:rsidR="00B067A9" w:rsidRDefault="00000000">
      <w:pPr>
        <w:spacing w:after="30" w:line="240" w:lineRule="auto"/>
        <w:ind w:left="317" w:hanging="230"/>
      </w:pPr>
      <w:r>
        <w:rPr>
          <w:color w:val="414141"/>
          <w:sz w:val="16"/>
        </w:rPr>
        <w:t>[D3] Margaryan, A., Milligan, C., &amp; Littlejohn, A. (2011). Validation of Davenport’s Classification Structure of Knowledge-Intensive Processes. Journal of Knowledge Management, 15(4), 568–581.</w:t>
      </w:r>
    </w:p>
    <w:p w14:paraId="28CF44F2" w14:textId="77777777" w:rsidR="00B067A9" w:rsidRDefault="00000000">
      <w:pPr>
        <w:spacing w:after="30" w:line="240" w:lineRule="auto"/>
        <w:ind w:left="317" w:hanging="230"/>
      </w:pPr>
      <w:r>
        <w:rPr>
          <w:color w:val="414141"/>
          <w:sz w:val="16"/>
        </w:rPr>
        <w:t>[D4] Gururaja, S., et al. (2025). Beyond Text. Findings of ACL 2025.</w:t>
      </w:r>
    </w:p>
    <w:p w14:paraId="3294C025" w14:textId="77777777" w:rsidR="00B067A9" w:rsidRDefault="00000000">
      <w:pPr>
        <w:spacing w:after="30" w:line="240" w:lineRule="auto"/>
        <w:ind w:left="317" w:hanging="230"/>
      </w:pPr>
      <w:r>
        <w:rPr>
          <w:color w:val="414141"/>
          <w:sz w:val="16"/>
        </w:rPr>
        <w:t>[D5] Ruan, S., et al. (2024). Re3. ACL 2024.</w:t>
      </w:r>
    </w:p>
    <w:p w14:paraId="0F9C292E" w14:textId="77777777" w:rsidR="00B067A9" w:rsidRDefault="00000000">
      <w:pPr>
        <w:keepNext/>
        <w:keepLines/>
        <w:shd w:val="clear" w:color="auto" w:fill="EAF0F7"/>
        <w:spacing w:before="140" w:after="100"/>
        <w:ind w:left="120" w:right="120"/>
      </w:pPr>
      <w:r>
        <w:rPr>
          <w:b/>
          <w:color w:val="23374E"/>
          <w:sz w:val="21"/>
        </w:rPr>
        <w:t>Step 2 resembles an execution environment and Step 3 resembles a rubric. How does the position differ from emerging agent-evaluation practice?</w:t>
      </w:r>
    </w:p>
    <w:p w14:paraId="74E4861A" w14:textId="77777777" w:rsidR="00B067A9" w:rsidRDefault="00000000">
      <w:pPr>
        <w:spacing w:after="60" w:line="250" w:lineRule="auto"/>
      </w:pPr>
      <w:r>
        <w:t>Execution environments and rubrics are necessary mechanisms, but they do not answer the same questions as Steps 2 and 3. Step 2 specifies the work meaning of the environment: which materials and versions are authoritative, which tools and permissions are available, what role and authority the agent has, and which workflow state is represented. Step 3 identifies the product the receiving workflow requires and then asks whether the benchmark’s scored object is sufficient evidence of that product. A rubric can score any object placed in front of it; the product analysis determines what object ought to exist.</w:t>
      </w:r>
    </w:p>
    <w:tbl>
      <w:tblPr>
        <w:tblStyle w:val="TableGrid"/>
        <w:tblW w:w="0" w:type="auto"/>
        <w:jc w:val="center"/>
        <w:tblLook w:val="04A0" w:firstRow="1" w:lastRow="0" w:firstColumn="1" w:lastColumn="0" w:noHBand="0" w:noVBand="1"/>
      </w:tblPr>
      <w:tblGrid>
        <w:gridCol w:w="1778"/>
        <w:gridCol w:w="2673"/>
        <w:gridCol w:w="3234"/>
        <w:gridCol w:w="2949"/>
      </w:tblGrid>
      <w:tr w:rsidR="00B067A9" w14:paraId="408EEE67" w14:textId="77777777">
        <w:trPr>
          <w:tblHeader/>
          <w:jc w:val="center"/>
        </w:trPr>
        <w:tc>
          <w:tcPr>
            <w:tcW w:w="1800" w:type="dxa"/>
            <w:shd w:val="clear" w:color="auto" w:fill="D9E4F0"/>
            <w:tcMar>
              <w:top w:w="80" w:type="dxa"/>
              <w:left w:w="90" w:type="dxa"/>
              <w:bottom w:w="80" w:type="dxa"/>
              <w:right w:w="90" w:type="dxa"/>
            </w:tcMar>
            <w:vAlign w:val="center"/>
          </w:tcPr>
          <w:p w14:paraId="7DF97CB7" w14:textId="77777777" w:rsidR="00B067A9" w:rsidRDefault="00000000">
            <w:r>
              <w:rPr>
                <w:b/>
                <w:color w:val="192D44"/>
                <w:sz w:val="16"/>
              </w:rPr>
              <w:t>Layer</w:t>
            </w:r>
          </w:p>
        </w:tc>
        <w:tc>
          <w:tcPr>
            <w:tcW w:w="2736" w:type="dxa"/>
            <w:shd w:val="clear" w:color="auto" w:fill="D9E4F0"/>
            <w:tcMar>
              <w:top w:w="80" w:type="dxa"/>
              <w:left w:w="90" w:type="dxa"/>
              <w:bottom w:w="80" w:type="dxa"/>
              <w:right w:w="90" w:type="dxa"/>
            </w:tcMar>
            <w:vAlign w:val="center"/>
          </w:tcPr>
          <w:p w14:paraId="673280A0" w14:textId="77777777" w:rsidR="00B067A9" w:rsidRDefault="00000000">
            <w:r>
              <w:rPr>
                <w:b/>
                <w:color w:val="192D44"/>
                <w:sz w:val="16"/>
              </w:rPr>
              <w:t>Question</w:t>
            </w:r>
          </w:p>
        </w:tc>
        <w:tc>
          <w:tcPr>
            <w:tcW w:w="3312" w:type="dxa"/>
            <w:shd w:val="clear" w:color="auto" w:fill="D9E4F0"/>
            <w:tcMar>
              <w:top w:w="80" w:type="dxa"/>
              <w:left w:w="90" w:type="dxa"/>
              <w:bottom w:w="80" w:type="dxa"/>
              <w:right w:w="90" w:type="dxa"/>
            </w:tcMar>
            <w:vAlign w:val="center"/>
          </w:tcPr>
          <w:p w14:paraId="177D559E" w14:textId="77777777" w:rsidR="00B067A9" w:rsidRDefault="00000000">
            <w:r>
              <w:rPr>
                <w:b/>
                <w:color w:val="192D44"/>
                <w:sz w:val="16"/>
              </w:rPr>
              <w:t>APEX-SWE S3 example</w:t>
            </w:r>
          </w:p>
        </w:tc>
        <w:tc>
          <w:tcPr>
            <w:tcW w:w="3024" w:type="dxa"/>
            <w:shd w:val="clear" w:color="auto" w:fill="D9E4F0"/>
            <w:tcMar>
              <w:top w:w="80" w:type="dxa"/>
              <w:left w:w="90" w:type="dxa"/>
              <w:bottom w:w="80" w:type="dxa"/>
              <w:right w:w="90" w:type="dxa"/>
            </w:tcMar>
            <w:vAlign w:val="center"/>
          </w:tcPr>
          <w:p w14:paraId="3E4A398F" w14:textId="77777777" w:rsidR="00B067A9" w:rsidRDefault="00000000">
            <w:r>
              <w:rPr>
                <w:b/>
                <w:color w:val="192D44"/>
                <w:sz w:val="16"/>
              </w:rPr>
              <w:t>Failure if the layer is omitted</w:t>
            </w:r>
          </w:p>
        </w:tc>
      </w:tr>
      <w:tr w:rsidR="00B067A9" w14:paraId="71FA25F9" w14:textId="77777777">
        <w:trPr>
          <w:cantSplit/>
          <w:jc w:val="center"/>
        </w:trPr>
        <w:tc>
          <w:tcPr>
            <w:tcW w:w="1800" w:type="dxa"/>
            <w:tcMar>
              <w:top w:w="80" w:type="dxa"/>
              <w:left w:w="90" w:type="dxa"/>
              <w:bottom w:w="80" w:type="dxa"/>
              <w:right w:w="90" w:type="dxa"/>
            </w:tcMar>
          </w:tcPr>
          <w:p w14:paraId="465CBBE3" w14:textId="77777777" w:rsidR="00B067A9" w:rsidRDefault="00000000">
            <w:r>
              <w:rPr>
                <w:sz w:val="16"/>
              </w:rPr>
              <w:t>Environment implementation</w:t>
            </w:r>
          </w:p>
        </w:tc>
        <w:tc>
          <w:tcPr>
            <w:tcW w:w="2736" w:type="dxa"/>
            <w:tcMar>
              <w:top w:w="80" w:type="dxa"/>
              <w:left w:w="90" w:type="dxa"/>
              <w:bottom w:w="80" w:type="dxa"/>
              <w:right w:w="90" w:type="dxa"/>
            </w:tcMar>
          </w:tcPr>
          <w:p w14:paraId="6EA0BE77" w14:textId="77777777" w:rsidR="00B067A9" w:rsidRDefault="00000000">
            <w:r>
              <w:rPr>
                <w:sz w:val="16"/>
              </w:rPr>
              <w:t>What services, files, tools, credentials, and state exist?</w:t>
            </w:r>
          </w:p>
        </w:tc>
        <w:tc>
          <w:tcPr>
            <w:tcW w:w="3312" w:type="dxa"/>
            <w:tcMar>
              <w:top w:w="80" w:type="dxa"/>
              <w:left w:w="90" w:type="dxa"/>
              <w:bottom w:w="80" w:type="dxa"/>
              <w:right w:w="90" w:type="dxa"/>
            </w:tcMar>
          </w:tcPr>
          <w:p w14:paraId="27B7D49E" w14:textId="77777777" w:rsidR="00B067A9" w:rsidRDefault="00000000">
            <w:r>
              <w:rPr>
                <w:sz w:val="16"/>
              </w:rPr>
              <w:t>Plane issue, connection data, LocalStack, bucket, users.csv, Python/boto3, Docker, tests.</w:t>
            </w:r>
          </w:p>
        </w:tc>
        <w:tc>
          <w:tcPr>
            <w:tcW w:w="3024" w:type="dxa"/>
            <w:tcMar>
              <w:top w:w="80" w:type="dxa"/>
              <w:left w:w="90" w:type="dxa"/>
              <w:bottom w:w="80" w:type="dxa"/>
              <w:right w:w="90" w:type="dxa"/>
            </w:tcMar>
          </w:tcPr>
          <w:p w14:paraId="52646EC4" w14:textId="77777777" w:rsidR="00B067A9" w:rsidRDefault="00000000">
            <w:r>
              <w:rPr>
                <w:sz w:val="16"/>
              </w:rPr>
              <w:t>The episode may be impossible or unrealistic, but its work meaning can still remain unspecified.</w:t>
            </w:r>
          </w:p>
        </w:tc>
      </w:tr>
      <w:tr w:rsidR="00B067A9" w14:paraId="2BF646B7" w14:textId="77777777">
        <w:trPr>
          <w:cantSplit/>
          <w:jc w:val="center"/>
        </w:trPr>
        <w:tc>
          <w:tcPr>
            <w:tcW w:w="1800" w:type="dxa"/>
            <w:shd w:val="clear" w:color="auto" w:fill="F7F9FB"/>
            <w:tcMar>
              <w:top w:w="80" w:type="dxa"/>
              <w:left w:w="90" w:type="dxa"/>
              <w:bottom w:w="80" w:type="dxa"/>
              <w:right w:w="90" w:type="dxa"/>
            </w:tcMar>
          </w:tcPr>
          <w:p w14:paraId="248FBA52" w14:textId="77777777" w:rsidR="00B067A9" w:rsidRDefault="00000000">
            <w:r>
              <w:rPr>
                <w:sz w:val="16"/>
              </w:rPr>
              <w:t>Step 2: tested setting</w:t>
            </w:r>
          </w:p>
        </w:tc>
        <w:tc>
          <w:tcPr>
            <w:tcW w:w="2736" w:type="dxa"/>
            <w:shd w:val="clear" w:color="auto" w:fill="F7F9FB"/>
            <w:tcMar>
              <w:top w:w="80" w:type="dxa"/>
              <w:left w:w="90" w:type="dxa"/>
              <w:bottom w:w="80" w:type="dxa"/>
              <w:right w:w="90" w:type="dxa"/>
            </w:tcMar>
          </w:tcPr>
          <w:p w14:paraId="38EB8ED1" w14:textId="77777777" w:rsidR="00B067A9" w:rsidRDefault="00000000">
            <w:r>
              <w:rPr>
                <w:sz w:val="16"/>
              </w:rPr>
              <w:t>Which materials are authoritative? What is the role, authority, scope, and represented workflow stage?</w:t>
            </w:r>
          </w:p>
        </w:tc>
        <w:tc>
          <w:tcPr>
            <w:tcW w:w="3312" w:type="dxa"/>
            <w:shd w:val="clear" w:color="auto" w:fill="F7F9FB"/>
            <w:tcMar>
              <w:top w:w="80" w:type="dxa"/>
              <w:left w:w="90" w:type="dxa"/>
              <w:bottom w:w="80" w:type="dxa"/>
              <w:right w:w="90" w:type="dxa"/>
            </w:tcMar>
          </w:tcPr>
          <w:p w14:paraId="3FD2B627" w14:textId="77777777" w:rsidR="00B067A9" w:rsidRDefault="00000000">
            <w:r>
              <w:rPr>
                <w:sz w:val="16"/>
              </w:rPr>
              <w:t>The ticket assigns one S3 snapshot implementation; users.csv is specified as input; security review, escalation, code review, deployment, and ownership are outside the episode.</w:t>
            </w:r>
          </w:p>
        </w:tc>
        <w:tc>
          <w:tcPr>
            <w:tcW w:w="3024" w:type="dxa"/>
            <w:shd w:val="clear" w:color="auto" w:fill="F7F9FB"/>
            <w:tcMar>
              <w:top w:w="80" w:type="dxa"/>
              <w:left w:w="90" w:type="dxa"/>
              <w:bottom w:w="80" w:type="dxa"/>
              <w:right w:w="90" w:type="dxa"/>
            </w:tcMar>
          </w:tcPr>
          <w:p w14:paraId="11A2C1EC" w14:textId="77777777" w:rsidR="00B067A9" w:rsidRDefault="00000000">
            <w:r>
              <w:rPr>
                <w:sz w:val="16"/>
              </w:rPr>
              <w:t>A rich environment can be mistaken for coverage of role, workflow, or source-use requirements that it does not test.</w:t>
            </w:r>
          </w:p>
        </w:tc>
      </w:tr>
      <w:tr w:rsidR="00B067A9" w14:paraId="738ABB45" w14:textId="77777777">
        <w:trPr>
          <w:cantSplit/>
          <w:jc w:val="center"/>
        </w:trPr>
        <w:tc>
          <w:tcPr>
            <w:tcW w:w="1800" w:type="dxa"/>
            <w:tcMar>
              <w:top w:w="80" w:type="dxa"/>
              <w:left w:w="90" w:type="dxa"/>
              <w:bottom w:w="80" w:type="dxa"/>
              <w:right w:w="90" w:type="dxa"/>
            </w:tcMar>
          </w:tcPr>
          <w:p w14:paraId="22039500" w14:textId="77777777" w:rsidR="00B067A9" w:rsidRDefault="00000000">
            <w:r>
              <w:rPr>
                <w:sz w:val="16"/>
              </w:rPr>
              <w:t>Step 3: receiving product</w:t>
            </w:r>
          </w:p>
        </w:tc>
        <w:tc>
          <w:tcPr>
            <w:tcW w:w="2736" w:type="dxa"/>
            <w:tcMar>
              <w:top w:w="80" w:type="dxa"/>
              <w:left w:w="90" w:type="dxa"/>
              <w:bottom w:w="80" w:type="dxa"/>
              <w:right w:w="90" w:type="dxa"/>
            </w:tcMar>
          </w:tcPr>
          <w:p w14:paraId="7E77F584" w14:textId="77777777" w:rsidR="00B067A9" w:rsidRDefault="00000000">
            <w:r>
              <w:rPr>
                <w:sz w:val="16"/>
              </w:rPr>
              <w:t>What must another actor or system be able to inspect, execute, revise, approve, or continue?</w:t>
            </w:r>
          </w:p>
        </w:tc>
        <w:tc>
          <w:tcPr>
            <w:tcW w:w="3312" w:type="dxa"/>
            <w:tcMar>
              <w:top w:w="80" w:type="dxa"/>
              <w:left w:w="90" w:type="dxa"/>
              <w:bottom w:w="80" w:type="dxa"/>
              <w:right w:w="90" w:type="dxa"/>
            </w:tcMar>
          </w:tcPr>
          <w:p w14:paraId="5B12C4F5" w14:textId="77777777" w:rsidR="00B067A9" w:rsidRDefault="00000000">
            <w:r>
              <w:rPr>
                <w:sz w:val="16"/>
              </w:rPr>
              <w:t>A runnable script and the required S3 object/state; possibly source-faithful rows if users.csv use is part of the intended product.</w:t>
            </w:r>
          </w:p>
        </w:tc>
        <w:tc>
          <w:tcPr>
            <w:tcW w:w="3024" w:type="dxa"/>
            <w:tcMar>
              <w:top w:w="80" w:type="dxa"/>
              <w:left w:w="90" w:type="dxa"/>
              <w:bottom w:w="80" w:type="dxa"/>
              <w:right w:w="90" w:type="dxa"/>
            </w:tcMar>
          </w:tcPr>
          <w:p w14:paraId="7A1ADC84" w14:textId="77777777" w:rsidR="00B067A9" w:rsidRDefault="00000000">
            <w:r>
              <w:rPr>
                <w:sz w:val="16"/>
              </w:rPr>
              <w:t>The benchmark may score a convenient proxy rather than the artifact or state that constitutes completion.</w:t>
            </w:r>
          </w:p>
        </w:tc>
      </w:tr>
      <w:tr w:rsidR="00B067A9" w14:paraId="2D81425A" w14:textId="77777777">
        <w:trPr>
          <w:cantSplit/>
          <w:jc w:val="center"/>
        </w:trPr>
        <w:tc>
          <w:tcPr>
            <w:tcW w:w="1800" w:type="dxa"/>
            <w:shd w:val="clear" w:color="auto" w:fill="F7F9FB"/>
            <w:tcMar>
              <w:top w:w="80" w:type="dxa"/>
              <w:left w:w="90" w:type="dxa"/>
              <w:bottom w:w="80" w:type="dxa"/>
              <w:right w:w="90" w:type="dxa"/>
            </w:tcMar>
          </w:tcPr>
          <w:p w14:paraId="2C3F47EB" w14:textId="77777777" w:rsidR="00B067A9" w:rsidRDefault="00000000">
            <w:r>
              <w:rPr>
                <w:sz w:val="16"/>
              </w:rPr>
              <w:t>Rubric/test implementation</w:t>
            </w:r>
          </w:p>
        </w:tc>
        <w:tc>
          <w:tcPr>
            <w:tcW w:w="2736" w:type="dxa"/>
            <w:shd w:val="clear" w:color="auto" w:fill="F7F9FB"/>
            <w:tcMar>
              <w:top w:w="80" w:type="dxa"/>
              <w:left w:w="90" w:type="dxa"/>
              <w:bottom w:w="80" w:type="dxa"/>
              <w:right w:w="90" w:type="dxa"/>
            </w:tcMar>
          </w:tcPr>
          <w:p w14:paraId="12B6D3F9" w14:textId="77777777" w:rsidR="00B067A9" w:rsidRDefault="00000000">
            <w:r>
              <w:rPr>
                <w:sz w:val="16"/>
              </w:rPr>
              <w:t>Which properties of the submitted object are checked?</w:t>
            </w:r>
          </w:p>
        </w:tc>
        <w:tc>
          <w:tcPr>
            <w:tcW w:w="3312" w:type="dxa"/>
            <w:shd w:val="clear" w:color="auto" w:fill="F7F9FB"/>
            <w:tcMar>
              <w:top w:w="80" w:type="dxa"/>
              <w:left w:w="90" w:type="dxa"/>
              <w:bottom w:w="80" w:type="dxa"/>
              <w:right w:w="90" w:type="dxa"/>
            </w:tcMar>
          </w:tcPr>
          <w:p w14:paraId="0AEEA385" w14:textId="77777777" w:rsidR="00B067A9" w:rsidRDefault="00000000">
            <w:r>
              <w:rPr>
                <w:sz w:val="16"/>
              </w:rPr>
              <w:t>Execution, path, schema, and nonempty output are checked; row-level correspondence to users.csv is not.</w:t>
            </w:r>
          </w:p>
        </w:tc>
        <w:tc>
          <w:tcPr>
            <w:tcW w:w="3024" w:type="dxa"/>
            <w:shd w:val="clear" w:color="auto" w:fill="F7F9FB"/>
            <w:tcMar>
              <w:top w:w="80" w:type="dxa"/>
              <w:left w:w="90" w:type="dxa"/>
              <w:bottom w:w="80" w:type="dxa"/>
              <w:right w:w="90" w:type="dxa"/>
            </w:tcMar>
          </w:tcPr>
          <w:p w14:paraId="0003D14E" w14:textId="77777777" w:rsidR="00B067A9" w:rsidRDefault="00000000">
            <w:r>
              <w:rPr>
                <w:sz w:val="16"/>
              </w:rPr>
              <w:t>A high score may be read as evidence of properties that the checks never secure.</w:t>
            </w:r>
          </w:p>
        </w:tc>
      </w:tr>
    </w:tbl>
    <w:p w14:paraId="52DB4632" w14:textId="77777777" w:rsidR="00B067A9" w:rsidRDefault="00B067A9">
      <w:pPr>
        <w:spacing w:after="0"/>
      </w:pPr>
    </w:p>
    <w:p w14:paraId="4120C91D" w14:textId="77777777" w:rsidR="00B067A9" w:rsidRDefault="00000000">
      <w:pPr>
        <w:spacing w:after="60" w:line="250" w:lineRule="auto"/>
      </w:pPr>
      <w:r>
        <w:t>The distinction changes benchmark design. If using users.csv is constitutive of the work product, the fix is not simply a more detailed prose rubric: the evaluation should compare produced rows with the supplied file or otherwise verify provenance. If endpoint state is the only intended construct, the prompt and claim should not imply stronger source fidelity. Step 2 and Step 3 therefore determine what the environment and rubric must represent; they are not synonyms for those implementation components.</w:t>
      </w:r>
    </w:p>
    <w:p w14:paraId="21D030B5" w14:textId="77777777" w:rsidR="00B067A9" w:rsidRDefault="00000000">
      <w:pPr>
        <w:keepLines/>
        <w:shd w:val="clear" w:color="auto" w:fill="F6F6F6"/>
        <w:spacing w:before="60" w:after="100"/>
        <w:ind w:left="173" w:right="173"/>
      </w:pPr>
      <w:r>
        <w:rPr>
          <w:b/>
          <w:sz w:val="19"/>
        </w:rPr>
        <w:t xml:space="preserve">Manuscript revision. </w:t>
      </w:r>
      <w:r>
        <w:rPr>
          <w:i/>
          <w:sz w:val="19"/>
        </w:rPr>
        <w:t>Add the four-layer environment–setting–product–rubric sequence and the APEX-SWE example showing how a rich environment and executable tests can still leave a material-provenance claim unsecured.</w:t>
      </w:r>
    </w:p>
    <w:p w14:paraId="4AE95B0E" w14:textId="77777777" w:rsidR="00B067A9" w:rsidRDefault="00000000">
      <w:pPr>
        <w:spacing w:before="40" w:after="20"/>
      </w:pPr>
      <w:r>
        <w:rPr>
          <w:b/>
          <w:color w:val="3C3C3C"/>
          <w:sz w:val="18"/>
        </w:rPr>
        <w:t>References cited in this reply</w:t>
      </w:r>
    </w:p>
    <w:p w14:paraId="755716FA" w14:textId="77777777" w:rsidR="00B067A9" w:rsidRDefault="00000000">
      <w:pPr>
        <w:spacing w:after="30" w:line="240" w:lineRule="auto"/>
        <w:ind w:left="317" w:hanging="230"/>
      </w:pPr>
      <w:r>
        <w:rPr>
          <w:color w:val="414141"/>
          <w:sz w:val="16"/>
        </w:rPr>
        <w:t>[E1] Kottamasu, A., et al. (2026). APEX-SWE. arXiv:2601.08806.</w:t>
      </w:r>
    </w:p>
    <w:p w14:paraId="29196E6E" w14:textId="77777777" w:rsidR="00B067A9" w:rsidRDefault="00000000">
      <w:pPr>
        <w:spacing w:after="30" w:line="240" w:lineRule="auto"/>
        <w:ind w:left="317" w:hanging="230"/>
      </w:pPr>
      <w:r>
        <w:rPr>
          <w:color w:val="414141"/>
          <w:sz w:val="16"/>
        </w:rPr>
        <w:t>[E2] Mercor (2026). APEX-SWE open-source S3 snapshot task specification, rubric, tests, and reference solution.</w:t>
      </w:r>
    </w:p>
    <w:p w14:paraId="4FAE444E" w14:textId="77777777" w:rsidR="00B067A9" w:rsidRDefault="00000000">
      <w:pPr>
        <w:spacing w:after="30" w:line="240" w:lineRule="auto"/>
        <w:ind w:left="317" w:hanging="230"/>
      </w:pPr>
      <w:r>
        <w:rPr>
          <w:color w:val="414141"/>
          <w:sz w:val="16"/>
        </w:rPr>
        <w:t>[E3] Kane, M. T. (2013). Validating the Interpretations and Uses of Test Scores. Journal of Educational Measurement, 50(1), 1–73.</w:t>
      </w:r>
    </w:p>
    <w:p w14:paraId="6B7F5613" w14:textId="77777777" w:rsidR="00B067A9" w:rsidRDefault="00000000">
      <w:pPr>
        <w:keepNext/>
        <w:keepLines/>
        <w:shd w:val="clear" w:color="auto" w:fill="EAF0F7"/>
        <w:spacing w:before="140" w:after="100"/>
        <w:ind w:left="120" w:right="120"/>
      </w:pPr>
      <w:r>
        <w:rPr>
          <w:b/>
          <w:color w:val="23374E"/>
          <w:sz w:val="21"/>
        </w:rPr>
        <w:t>Why are the work activities not treated as new tasks for agentic systems?</w:t>
      </w:r>
    </w:p>
    <w:p w14:paraId="0F160CC5" w14:textId="77777777" w:rsidR="00B067A9" w:rsidRDefault="00000000">
      <w:pPr>
        <w:spacing w:after="60" w:line="250" w:lineRule="auto"/>
      </w:pPr>
      <w:r>
        <w:t>They can be operationalized as agent tasks, but they are not themselves benchmark episodes. The work activity is the target construct; a benchmark task is one operationalization in a particular setting. One episode can combine several activities, and the same activity can be operationalized through many domains and products. Treating the activity name as a ready-made agent task would repeat the problem the paper is trying to solve: the construct would be collapsed into one local prompt and environment.</w:t>
      </w:r>
    </w:p>
    <w:p w14:paraId="5BF48A67" w14:textId="77777777" w:rsidR="00B067A9" w:rsidRDefault="00000000">
      <w:pPr>
        <w:spacing w:after="60" w:line="250" w:lineRule="auto"/>
      </w:pPr>
      <w:r>
        <w:t>For example, analysis can be operationalized as answering a numerical question over Treasury documents, interpreting imaging findings, comparing financial scenarios, or diagnosing a software incident. Those episodes can be compared at the activity level, but their materials, authority, risk, products, and scoring requirements differ. The benchmark should state which aspects of the activity the episode represents and what remains outside it.</w:t>
      </w:r>
    </w:p>
    <w:p w14:paraId="4F6E6B08" w14:textId="77777777" w:rsidR="00B067A9" w:rsidRDefault="00000000">
      <w:pPr>
        <w:keepLines/>
        <w:shd w:val="clear" w:color="auto" w:fill="F6F6F6"/>
        <w:spacing w:before="60" w:after="100"/>
        <w:ind w:left="173" w:right="173"/>
      </w:pPr>
      <w:r>
        <w:rPr>
          <w:b/>
          <w:sz w:val="19"/>
        </w:rPr>
        <w:lastRenderedPageBreak/>
        <w:t xml:space="preserve">Manuscript revision. </w:t>
      </w:r>
      <w:r>
        <w:rPr>
          <w:i/>
          <w:sz w:val="19"/>
        </w:rPr>
        <w:t>Add the construct-versus-operationalization distinction and use analysis across OfficeQA Pro, professional reporting, and APEX-SWE as the concrete example.</w:t>
      </w:r>
    </w:p>
    <w:p w14:paraId="5A0CF509" w14:textId="77777777" w:rsidR="00B067A9" w:rsidRDefault="00000000">
      <w:pPr>
        <w:spacing w:before="40" w:after="20"/>
      </w:pPr>
      <w:r>
        <w:rPr>
          <w:b/>
          <w:color w:val="3C3C3C"/>
          <w:sz w:val="18"/>
        </w:rPr>
        <w:t>References cited in this reply</w:t>
      </w:r>
    </w:p>
    <w:p w14:paraId="3E214006" w14:textId="77777777" w:rsidR="00B067A9" w:rsidRDefault="00000000">
      <w:pPr>
        <w:spacing w:after="30" w:line="240" w:lineRule="auto"/>
        <w:ind w:left="317" w:hanging="230"/>
      </w:pPr>
      <w:r>
        <w:rPr>
          <w:color w:val="414141"/>
          <w:sz w:val="16"/>
        </w:rPr>
        <w:t>[A1] Kane, M. T. (2013). Validating the Interpretations and Uses of Test Scores. Journal of Educational Measurement, 50(1), 1–73.</w:t>
      </w:r>
    </w:p>
    <w:p w14:paraId="1CA1F349" w14:textId="77777777" w:rsidR="00B067A9" w:rsidRDefault="00000000">
      <w:pPr>
        <w:spacing w:after="30" w:line="240" w:lineRule="auto"/>
        <w:ind w:left="317" w:hanging="230"/>
      </w:pPr>
      <w:r>
        <w:rPr>
          <w:color w:val="414141"/>
          <w:sz w:val="16"/>
        </w:rPr>
        <w:t>[A2] Bean, A. M., et al. (2025). Measuring What Matters. NeurIPS 2025 Datasets and Benchmarks Track.</w:t>
      </w:r>
    </w:p>
    <w:p w14:paraId="0BFEE77A" w14:textId="77777777" w:rsidR="00B067A9" w:rsidRDefault="00000000">
      <w:pPr>
        <w:pStyle w:val="Heading1"/>
      </w:pPr>
      <w:r>
        <w:t>Reviewer usAz</w:t>
      </w:r>
    </w:p>
    <w:p w14:paraId="4D02F063" w14:textId="77777777" w:rsidR="00B067A9" w:rsidRDefault="00000000">
      <w:pPr>
        <w:keepNext/>
        <w:keepLines/>
        <w:shd w:val="clear" w:color="auto" w:fill="EAF0F7"/>
        <w:spacing w:before="140" w:after="100"/>
        <w:ind w:left="120" w:right="120"/>
      </w:pPr>
      <w:r>
        <w:rPr>
          <w:b/>
          <w:color w:val="23374E"/>
          <w:sz w:val="21"/>
        </w:rPr>
        <w:t>The paper does not engage Bean et al. and Wang et al. sufficiently or explain what new point it contributes beyond them.</w:t>
      </w:r>
    </w:p>
    <w:p w14:paraId="04CCE13B" w14:textId="77777777" w:rsidR="00B067A9" w:rsidRDefault="00000000">
      <w:pPr>
        <w:spacing w:after="60" w:line="250" w:lineRule="auto"/>
      </w:pPr>
      <w:r>
        <w:t>We agree that the submitted version cited these papers without making the relationship legible. Bean et al. is the measurement foundation: it reviews 445 LLM benchmarks and analyzes the phenomenon–task–metric–claim chain. Wang et al. addresses work at the benchmark-portfolio level: it maps 43 benchmarks and 72,342 tasks to occupational domains and skills across 1,016 occupations, then studies coverage, realism, granular evaluation, and autonomy. We will treat both as foundations rather than foils.</w:t>
      </w:r>
    </w:p>
    <w:p w14:paraId="42E9510D" w14:textId="77777777" w:rsidR="00B067A9" w:rsidRDefault="00000000">
      <w:pPr>
        <w:spacing w:after="60" w:line="250" w:lineRule="auto"/>
      </w:pPr>
      <w:r>
        <w:t>Our question sits between them. For one work-facing benchmark, what work operation is represented, what materials/tools/role/workflow define the tested setting, what product must remain for the next actor, what object is actually scored, and what exact claim follows? At the cross-benchmark level, the same representation allows horizontal comparison of activities and products even when benchmark labels differ. This is not a competing general theory of validity or a second labor-market coverage map.</w:t>
      </w:r>
    </w:p>
    <w:p w14:paraId="0BD7378B" w14:textId="77777777" w:rsidR="00B067A9" w:rsidRDefault="00000000">
      <w:pPr>
        <w:spacing w:after="60" w:line="250" w:lineRule="auto"/>
      </w:pPr>
      <w:r>
        <w:t>APEX-SWE S3 is the worked distinction. Bean et al.’s framework motivates checking whether tests support the intended construct. Wang et al.’s map can locate the task in software and information work. Our analysis identifies the exact missing link—required source material versus endpoint tests—states the receiving product, and derives the supported claim. The result is actionable: either add a provenance-sensitive check or narrow the prompt and claim. That item-level inference is the additional contribution.</w:t>
      </w:r>
    </w:p>
    <w:p w14:paraId="5A7A7E7A" w14:textId="77777777" w:rsidR="00B067A9" w:rsidRDefault="00000000">
      <w:pPr>
        <w:keepLines/>
        <w:shd w:val="clear" w:color="auto" w:fill="F6F6F6"/>
        <w:spacing w:before="60" w:after="100"/>
        <w:ind w:left="173" w:right="173"/>
      </w:pPr>
      <w:r>
        <w:rPr>
          <w:b/>
          <w:sz w:val="19"/>
        </w:rPr>
        <w:t xml:space="preserve">Manuscript revision. </w:t>
      </w:r>
      <w:r>
        <w:rPr>
          <w:i/>
          <w:sz w:val="19"/>
        </w:rPr>
        <w:t>Rewrite the related-work and contribution paragraphs around the three levels—general construct validity, portfolio-level work alignment, and benchmark-level work-claim derivation—and use APEX-SWE as the direct demonstration.</w:t>
      </w:r>
    </w:p>
    <w:p w14:paraId="2852E3E4" w14:textId="77777777" w:rsidR="00B067A9" w:rsidRDefault="00000000">
      <w:pPr>
        <w:spacing w:before="40" w:after="20"/>
      </w:pPr>
      <w:r>
        <w:rPr>
          <w:b/>
          <w:color w:val="3C3C3C"/>
          <w:sz w:val="18"/>
        </w:rPr>
        <w:t>References cited in this reply</w:t>
      </w:r>
    </w:p>
    <w:p w14:paraId="0EFD65F1" w14:textId="77777777" w:rsidR="00B067A9" w:rsidRDefault="00000000">
      <w:pPr>
        <w:spacing w:after="30" w:line="240" w:lineRule="auto"/>
        <w:ind w:left="317" w:hanging="230"/>
      </w:pPr>
      <w:r>
        <w:rPr>
          <w:color w:val="414141"/>
          <w:sz w:val="16"/>
        </w:rPr>
        <w:t>[U1] Bean, A. M., et al. (2025). Measuring What Matters: Construct Validity in Large Language Model Benchmarks. NeurIPS 2025 Datasets and Benchmarks Track.</w:t>
      </w:r>
    </w:p>
    <w:p w14:paraId="2A3C864D" w14:textId="77777777" w:rsidR="00B067A9" w:rsidRDefault="00000000">
      <w:pPr>
        <w:spacing w:after="30" w:line="240" w:lineRule="auto"/>
        <w:ind w:left="317" w:hanging="230"/>
      </w:pPr>
      <w:r>
        <w:rPr>
          <w:color w:val="414141"/>
          <w:sz w:val="16"/>
        </w:rPr>
        <w:t>[U2] Wang, Z. Z., et al. (2026). How Well Does Agent Development Reflect Real-World Work? arXiv:2603.01203.</w:t>
      </w:r>
    </w:p>
    <w:p w14:paraId="6EF8F0D7" w14:textId="77777777" w:rsidR="00B067A9" w:rsidRDefault="00000000">
      <w:pPr>
        <w:spacing w:after="30" w:line="240" w:lineRule="auto"/>
        <w:ind w:left="317" w:hanging="230"/>
      </w:pPr>
      <w:r>
        <w:rPr>
          <w:color w:val="414141"/>
          <w:sz w:val="16"/>
        </w:rPr>
        <w:t>[U3] Kottamasu, A., et al. (2026). APEX-SWE. arXiv:2601.08806.</w:t>
      </w:r>
    </w:p>
    <w:p w14:paraId="5F3C6323" w14:textId="77777777" w:rsidR="00B067A9" w:rsidRDefault="00000000">
      <w:pPr>
        <w:spacing w:after="30" w:line="240" w:lineRule="auto"/>
        <w:ind w:left="317" w:hanging="230"/>
      </w:pPr>
      <w:r>
        <w:rPr>
          <w:color w:val="414141"/>
          <w:sz w:val="16"/>
        </w:rPr>
        <w:t>[U4] Mercor (2026). APEX-SWE open-source S3 snapshot task materials.</w:t>
      </w:r>
    </w:p>
    <w:p w14:paraId="2AB4194C" w14:textId="77777777" w:rsidR="00B067A9" w:rsidRDefault="00000000">
      <w:pPr>
        <w:keepNext/>
        <w:keepLines/>
        <w:shd w:val="clear" w:color="auto" w:fill="EAF0F7"/>
        <w:spacing w:before="140" w:after="100"/>
        <w:ind w:left="120" w:right="120"/>
      </w:pPr>
      <w:r>
        <w:rPr>
          <w:b/>
          <w:color w:val="23374E"/>
          <w:sz w:val="21"/>
        </w:rPr>
        <w:t>The three case analyses do not map directly to the paper's checkable questions.</w:t>
      </w:r>
    </w:p>
    <w:p w14:paraId="5A3B3B72" w14:textId="77777777" w:rsidR="00B067A9" w:rsidRDefault="00000000">
      <w:pPr>
        <w:spacing w:after="60" w:line="250" w:lineRule="auto"/>
      </w:pPr>
      <w:r>
        <w:t>We agree. The case narratives were organized differently, forcing the reader to reconstruct the framework. We will present all three cases under the same fields and answer each checkable question directly.</w:t>
      </w:r>
    </w:p>
    <w:tbl>
      <w:tblPr>
        <w:tblStyle w:val="TableGrid"/>
        <w:tblW w:w="0" w:type="auto"/>
        <w:jc w:val="center"/>
        <w:tblLook w:val="04A0" w:firstRow="1" w:lastRow="0" w:firstColumn="1" w:lastColumn="0" w:noHBand="0" w:noVBand="1"/>
      </w:tblPr>
      <w:tblGrid>
        <w:gridCol w:w="1279"/>
        <w:gridCol w:w="1804"/>
        <w:gridCol w:w="2633"/>
        <w:gridCol w:w="2629"/>
        <w:gridCol w:w="2289"/>
      </w:tblGrid>
      <w:tr w:rsidR="00B067A9" w14:paraId="7CBE7FF2" w14:textId="77777777">
        <w:trPr>
          <w:tblHeader/>
          <w:jc w:val="center"/>
        </w:trPr>
        <w:tc>
          <w:tcPr>
            <w:tcW w:w="1512" w:type="dxa"/>
            <w:shd w:val="clear" w:color="auto" w:fill="D9E4F0"/>
            <w:tcMar>
              <w:top w:w="80" w:type="dxa"/>
              <w:left w:w="90" w:type="dxa"/>
              <w:bottom w:w="80" w:type="dxa"/>
              <w:right w:w="90" w:type="dxa"/>
            </w:tcMar>
            <w:vAlign w:val="center"/>
          </w:tcPr>
          <w:p w14:paraId="2D645F27" w14:textId="77777777" w:rsidR="00B067A9" w:rsidRDefault="00000000">
            <w:r>
              <w:rPr>
                <w:b/>
                <w:color w:val="192D44"/>
                <w:sz w:val="15"/>
              </w:rPr>
              <w:t>Case</w:t>
            </w:r>
          </w:p>
        </w:tc>
        <w:tc>
          <w:tcPr>
            <w:tcW w:w="2088" w:type="dxa"/>
            <w:shd w:val="clear" w:color="auto" w:fill="D9E4F0"/>
            <w:tcMar>
              <w:top w:w="80" w:type="dxa"/>
              <w:left w:w="90" w:type="dxa"/>
              <w:bottom w:w="80" w:type="dxa"/>
              <w:right w:w="90" w:type="dxa"/>
            </w:tcMar>
            <w:vAlign w:val="center"/>
          </w:tcPr>
          <w:p w14:paraId="7EA333BB" w14:textId="77777777" w:rsidR="00B067A9" w:rsidRDefault="00000000">
            <w:r>
              <w:rPr>
                <w:b/>
                <w:color w:val="192D44"/>
                <w:sz w:val="15"/>
              </w:rPr>
              <w:t>Represented activity</w:t>
            </w:r>
          </w:p>
        </w:tc>
        <w:tc>
          <w:tcPr>
            <w:tcW w:w="3312" w:type="dxa"/>
            <w:shd w:val="clear" w:color="auto" w:fill="D9E4F0"/>
            <w:tcMar>
              <w:top w:w="80" w:type="dxa"/>
              <w:left w:w="90" w:type="dxa"/>
              <w:bottom w:w="80" w:type="dxa"/>
              <w:right w:w="90" w:type="dxa"/>
            </w:tcMar>
            <w:vAlign w:val="center"/>
          </w:tcPr>
          <w:p w14:paraId="56048199" w14:textId="77777777" w:rsidR="00B067A9" w:rsidRDefault="00000000">
            <w:r>
              <w:rPr>
                <w:b/>
                <w:color w:val="192D44"/>
                <w:sz w:val="15"/>
              </w:rPr>
              <w:t>Tested setting</w:t>
            </w:r>
          </w:p>
        </w:tc>
        <w:tc>
          <w:tcPr>
            <w:tcW w:w="3096" w:type="dxa"/>
            <w:shd w:val="clear" w:color="auto" w:fill="D9E4F0"/>
            <w:tcMar>
              <w:top w:w="80" w:type="dxa"/>
              <w:left w:w="90" w:type="dxa"/>
              <w:bottom w:w="80" w:type="dxa"/>
              <w:right w:w="90" w:type="dxa"/>
            </w:tcMar>
            <w:vAlign w:val="center"/>
          </w:tcPr>
          <w:p w14:paraId="05EC9D62" w14:textId="77777777" w:rsidR="00B067A9" w:rsidRDefault="00000000">
            <w:r>
              <w:rPr>
                <w:b/>
                <w:color w:val="192D44"/>
                <w:sz w:val="15"/>
              </w:rPr>
              <w:t>Receiving/scored product</w:t>
            </w:r>
          </w:p>
        </w:tc>
        <w:tc>
          <w:tcPr>
            <w:tcW w:w="2880" w:type="dxa"/>
            <w:shd w:val="clear" w:color="auto" w:fill="D9E4F0"/>
            <w:tcMar>
              <w:top w:w="80" w:type="dxa"/>
              <w:left w:w="90" w:type="dxa"/>
              <w:bottom w:w="80" w:type="dxa"/>
              <w:right w:w="90" w:type="dxa"/>
            </w:tcMar>
            <w:vAlign w:val="center"/>
          </w:tcPr>
          <w:p w14:paraId="615E6110" w14:textId="77777777" w:rsidR="00B067A9" w:rsidRDefault="00000000">
            <w:r>
              <w:rPr>
                <w:b/>
                <w:color w:val="192D44"/>
                <w:sz w:val="15"/>
              </w:rPr>
              <w:t>Strongest supported claim</w:t>
            </w:r>
          </w:p>
        </w:tc>
      </w:tr>
      <w:tr w:rsidR="00B067A9" w14:paraId="1E08EB5A" w14:textId="77777777">
        <w:trPr>
          <w:cantSplit/>
          <w:jc w:val="center"/>
        </w:trPr>
        <w:tc>
          <w:tcPr>
            <w:tcW w:w="1512" w:type="dxa"/>
            <w:tcMar>
              <w:top w:w="80" w:type="dxa"/>
              <w:left w:w="90" w:type="dxa"/>
              <w:bottom w:w="80" w:type="dxa"/>
              <w:right w:w="90" w:type="dxa"/>
            </w:tcMar>
          </w:tcPr>
          <w:p w14:paraId="333F5EA7" w14:textId="77777777" w:rsidR="00B067A9" w:rsidRDefault="00000000">
            <w:r>
              <w:rPr>
                <w:sz w:val="15"/>
              </w:rPr>
              <w:t>GDPVal case</w:t>
            </w:r>
          </w:p>
        </w:tc>
        <w:tc>
          <w:tcPr>
            <w:tcW w:w="2088" w:type="dxa"/>
            <w:tcMar>
              <w:top w:w="80" w:type="dxa"/>
              <w:left w:w="90" w:type="dxa"/>
              <w:bottom w:w="80" w:type="dxa"/>
              <w:right w:w="90" w:type="dxa"/>
            </w:tcMar>
          </w:tcPr>
          <w:p w14:paraId="211EEA30" w14:textId="77777777" w:rsidR="00B067A9" w:rsidRDefault="00000000">
            <w:r>
              <w:rPr>
                <w:sz w:val="15"/>
              </w:rPr>
              <w:t>Inspection and design within the specified compliance task.</w:t>
            </w:r>
          </w:p>
        </w:tc>
        <w:tc>
          <w:tcPr>
            <w:tcW w:w="3312" w:type="dxa"/>
            <w:tcMar>
              <w:top w:w="80" w:type="dxa"/>
              <w:left w:w="90" w:type="dxa"/>
              <w:bottom w:w="80" w:type="dxa"/>
              <w:right w:w="90" w:type="dxa"/>
            </w:tcMar>
          </w:tcPr>
          <w:p w14:paraId="3A0AEBC9" w14:textId="77777777" w:rsidR="00B067A9" w:rsidRDefault="00000000">
            <w:r>
              <w:rPr>
                <w:sz w:val="15"/>
              </w:rPr>
              <w:t>Federal grants-management role, fixed references, prompt-defined deliverable, and benchmark constraints.</w:t>
            </w:r>
          </w:p>
        </w:tc>
        <w:tc>
          <w:tcPr>
            <w:tcW w:w="3096" w:type="dxa"/>
            <w:tcMar>
              <w:top w:w="80" w:type="dxa"/>
              <w:left w:w="90" w:type="dxa"/>
              <w:bottom w:w="80" w:type="dxa"/>
              <w:right w:w="90" w:type="dxa"/>
            </w:tcMar>
          </w:tcPr>
          <w:p w14:paraId="50044846" w14:textId="77777777" w:rsidR="00B067A9" w:rsidRDefault="00000000">
            <w:r>
              <w:rPr>
                <w:sz w:val="15"/>
              </w:rPr>
              <w:t>Compliance artifact compared with an expert-created artifact.</w:t>
            </w:r>
          </w:p>
        </w:tc>
        <w:tc>
          <w:tcPr>
            <w:tcW w:w="2880" w:type="dxa"/>
            <w:tcMar>
              <w:top w:w="80" w:type="dxa"/>
              <w:left w:w="90" w:type="dxa"/>
              <w:bottom w:w="80" w:type="dxa"/>
              <w:right w:w="90" w:type="dxa"/>
            </w:tcMar>
          </w:tcPr>
          <w:p w14:paraId="4F557F7E" w14:textId="77777777" w:rsidR="00B067A9" w:rsidRDefault="00000000">
            <w:r>
              <w:rPr>
                <w:sz w:val="15"/>
              </w:rPr>
              <w:t>Production of the specified compliance deliverable under the supplied materials, role framing, and evaluation procedure.</w:t>
            </w:r>
          </w:p>
        </w:tc>
      </w:tr>
      <w:tr w:rsidR="00B067A9" w14:paraId="4EE8EFD6" w14:textId="77777777">
        <w:trPr>
          <w:cantSplit/>
          <w:jc w:val="center"/>
        </w:trPr>
        <w:tc>
          <w:tcPr>
            <w:tcW w:w="1512" w:type="dxa"/>
            <w:shd w:val="clear" w:color="auto" w:fill="F7F9FB"/>
            <w:tcMar>
              <w:top w:w="80" w:type="dxa"/>
              <w:left w:w="90" w:type="dxa"/>
              <w:bottom w:w="80" w:type="dxa"/>
              <w:right w:w="90" w:type="dxa"/>
            </w:tcMar>
          </w:tcPr>
          <w:p w14:paraId="5739A8B8" w14:textId="77777777" w:rsidR="00B067A9" w:rsidRDefault="00000000">
            <w:r>
              <w:rPr>
                <w:sz w:val="15"/>
              </w:rPr>
              <w:t>OfficeQA Pro</w:t>
            </w:r>
          </w:p>
        </w:tc>
        <w:tc>
          <w:tcPr>
            <w:tcW w:w="2088" w:type="dxa"/>
            <w:shd w:val="clear" w:color="auto" w:fill="F7F9FB"/>
            <w:tcMar>
              <w:top w:w="80" w:type="dxa"/>
              <w:left w:w="90" w:type="dxa"/>
              <w:bottom w:w="80" w:type="dxa"/>
              <w:right w:w="90" w:type="dxa"/>
            </w:tcMar>
          </w:tcPr>
          <w:p w14:paraId="5A0A908E" w14:textId="77777777" w:rsidR="00B067A9" w:rsidRDefault="00000000">
            <w:r>
              <w:rPr>
                <w:sz w:val="15"/>
              </w:rPr>
              <w:t>Grounded analysis; record use where the task requires identifying values in a fixed corpus.</w:t>
            </w:r>
          </w:p>
        </w:tc>
        <w:tc>
          <w:tcPr>
            <w:tcW w:w="3312" w:type="dxa"/>
            <w:shd w:val="clear" w:color="auto" w:fill="F7F9FB"/>
            <w:tcMar>
              <w:top w:w="80" w:type="dxa"/>
              <w:left w:w="90" w:type="dxa"/>
              <w:bottom w:w="80" w:type="dxa"/>
              <w:right w:w="90" w:type="dxa"/>
            </w:tcMar>
          </w:tcPr>
          <w:p w14:paraId="62587F23" w14:textId="77777777" w:rsidR="00B067A9" w:rsidRDefault="00000000">
            <w:r>
              <w:rPr>
                <w:sz w:val="15"/>
              </w:rPr>
              <w:t>Fixed Treasury Bulletin corpus, supplied external CPI value, and closed numerical question.</w:t>
            </w:r>
          </w:p>
        </w:tc>
        <w:tc>
          <w:tcPr>
            <w:tcW w:w="3096" w:type="dxa"/>
            <w:shd w:val="clear" w:color="auto" w:fill="F7F9FB"/>
            <w:tcMar>
              <w:top w:w="80" w:type="dxa"/>
              <w:left w:w="90" w:type="dxa"/>
              <w:bottom w:w="80" w:type="dxa"/>
              <w:right w:w="90" w:type="dxa"/>
            </w:tcMar>
          </w:tcPr>
          <w:p w14:paraId="78123C9A" w14:textId="77777777" w:rsidR="00B067A9" w:rsidRDefault="00000000">
            <w:r>
              <w:rPr>
                <w:sz w:val="15"/>
              </w:rPr>
              <w:t>Current score: final numerical answer under exact match/tolerance. Expanded analyst product: answer, sources/versions, extracted values/units, calculations, assumptions/conflicts.</w:t>
            </w:r>
          </w:p>
        </w:tc>
        <w:tc>
          <w:tcPr>
            <w:tcW w:w="2880" w:type="dxa"/>
            <w:shd w:val="clear" w:color="auto" w:fill="F7F9FB"/>
            <w:tcMar>
              <w:top w:w="80" w:type="dxa"/>
              <w:left w:w="90" w:type="dxa"/>
              <w:bottom w:w="80" w:type="dxa"/>
              <w:right w:w="90" w:type="dxa"/>
            </w:tcMar>
          </w:tcPr>
          <w:p w14:paraId="6EABC672" w14:textId="77777777" w:rsidR="00B067A9" w:rsidRDefault="00000000">
            <w:r>
              <w:rPr>
                <w:sz w:val="15"/>
              </w:rPr>
              <w:t>Current design supports grounded numerical question answering. The expanded design would support preparation of a reviewable analysis package.</w:t>
            </w:r>
          </w:p>
        </w:tc>
      </w:tr>
      <w:tr w:rsidR="00B067A9" w14:paraId="579ADCCE" w14:textId="77777777">
        <w:trPr>
          <w:cantSplit/>
          <w:jc w:val="center"/>
        </w:trPr>
        <w:tc>
          <w:tcPr>
            <w:tcW w:w="1512" w:type="dxa"/>
            <w:tcMar>
              <w:top w:w="80" w:type="dxa"/>
              <w:left w:w="90" w:type="dxa"/>
              <w:bottom w:w="80" w:type="dxa"/>
              <w:right w:w="90" w:type="dxa"/>
            </w:tcMar>
          </w:tcPr>
          <w:p w14:paraId="5945B849" w14:textId="77777777" w:rsidR="00B067A9" w:rsidRDefault="00000000">
            <w:r>
              <w:rPr>
                <w:sz w:val="15"/>
              </w:rPr>
              <w:t>APEX-SWE S3</w:t>
            </w:r>
          </w:p>
        </w:tc>
        <w:tc>
          <w:tcPr>
            <w:tcW w:w="2088" w:type="dxa"/>
            <w:tcMar>
              <w:top w:w="80" w:type="dxa"/>
              <w:left w:w="90" w:type="dxa"/>
              <w:bottom w:w="80" w:type="dxa"/>
              <w:right w:w="90" w:type="dxa"/>
            </w:tcMar>
          </w:tcPr>
          <w:p w14:paraId="62BBB6AA" w14:textId="77777777" w:rsidR="00B067A9" w:rsidRDefault="00000000">
            <w:r>
              <w:rPr>
                <w:sz w:val="15"/>
              </w:rPr>
              <w:t>Procedure execution and record/state creation; troubleshooting if execution fails.</w:t>
            </w:r>
          </w:p>
        </w:tc>
        <w:tc>
          <w:tcPr>
            <w:tcW w:w="3312" w:type="dxa"/>
            <w:tcMar>
              <w:top w:w="80" w:type="dxa"/>
              <w:left w:w="90" w:type="dxa"/>
              <w:bottom w:w="80" w:type="dxa"/>
              <w:right w:w="90" w:type="dxa"/>
            </w:tcMar>
          </w:tcPr>
          <w:p w14:paraId="565B720C" w14:textId="77777777" w:rsidR="00B067A9" w:rsidRDefault="00000000">
            <w:r>
              <w:rPr>
                <w:sz w:val="15"/>
              </w:rPr>
              <w:t>Plane issue, documentation, credentials, users.csv, LocalStack initial state, container, tools, tests, rubric, and one-hour limit.</w:t>
            </w:r>
          </w:p>
        </w:tc>
        <w:tc>
          <w:tcPr>
            <w:tcW w:w="3096" w:type="dxa"/>
            <w:tcMar>
              <w:top w:w="80" w:type="dxa"/>
              <w:left w:w="90" w:type="dxa"/>
              <w:bottom w:w="80" w:type="dxa"/>
              <w:right w:w="90" w:type="dxa"/>
            </w:tcMar>
          </w:tcPr>
          <w:p w14:paraId="0D330B7B" w14:textId="77777777" w:rsidR="00B067A9" w:rsidRDefault="00000000">
            <w:r>
              <w:rPr>
                <w:sz w:val="15"/>
              </w:rPr>
              <w:t>Runnable Python script plus required S3 object/state; tests check execution, path, schema, and nonempty output.</w:t>
            </w:r>
          </w:p>
        </w:tc>
        <w:tc>
          <w:tcPr>
            <w:tcW w:w="2880" w:type="dxa"/>
            <w:tcMar>
              <w:top w:w="80" w:type="dxa"/>
              <w:left w:w="90" w:type="dxa"/>
              <w:bottom w:w="80" w:type="dxa"/>
              <w:right w:w="90" w:type="dxa"/>
            </w:tcMar>
          </w:tcPr>
          <w:p w14:paraId="7A4C2E58" w14:textId="77777777" w:rsidR="00B067A9" w:rsidRDefault="00000000">
            <w:r>
              <w:rPr>
                <w:sz w:val="15"/>
              </w:rPr>
              <w:t>Completion of the specified integration ticket in the supplied environment, with partial—not fully secured—evidence of required source use.</w:t>
            </w:r>
          </w:p>
        </w:tc>
      </w:tr>
    </w:tbl>
    <w:p w14:paraId="6B15A7D2" w14:textId="77777777" w:rsidR="00B067A9" w:rsidRDefault="00B067A9">
      <w:pPr>
        <w:spacing w:after="0"/>
      </w:pPr>
    </w:p>
    <w:p w14:paraId="38D40D17" w14:textId="77777777" w:rsidR="00B067A9" w:rsidRDefault="00000000">
      <w:pPr>
        <w:spacing w:after="60" w:line="250" w:lineRule="auto"/>
      </w:pPr>
      <w:r>
        <w:t xml:space="preserve">The table will be followed by three short questions for every case: Did the result use the materials that should have been used? Did it remain within the assigned role, scope, and workflow step? Did it leave the product or state that a </w:t>
      </w:r>
      <w:r>
        <w:lastRenderedPageBreak/>
        <w:t>downstream actor could inspect, execute, modify, approve, or continue? The answer may be “yes,” “partly,” or “not represented”; the purpose is not to force every benchmark to cover everything.</w:t>
      </w:r>
    </w:p>
    <w:p w14:paraId="3A06F11D" w14:textId="77777777" w:rsidR="00B067A9" w:rsidRDefault="00000000">
      <w:pPr>
        <w:keepLines/>
        <w:shd w:val="clear" w:color="auto" w:fill="F6F6F6"/>
        <w:spacing w:before="60" w:after="100"/>
        <w:ind w:left="173" w:right="173"/>
      </w:pPr>
      <w:r>
        <w:rPr>
          <w:b/>
          <w:sz w:val="19"/>
        </w:rPr>
        <w:t xml:space="preserve">Manuscript revision. </w:t>
      </w:r>
      <w:r>
        <w:rPr>
          <w:i/>
          <w:sz w:val="19"/>
        </w:rPr>
        <w:t>Replace the differently structured case narratives with the common five-column table and answer the three checkable questions explicitly for every case.</w:t>
      </w:r>
    </w:p>
    <w:p w14:paraId="375CC37F" w14:textId="77777777" w:rsidR="00B067A9" w:rsidRDefault="00000000">
      <w:pPr>
        <w:keepNext/>
        <w:keepLines/>
        <w:shd w:val="clear" w:color="auto" w:fill="EAF0F7"/>
        <w:spacing w:before="140" w:after="100"/>
        <w:ind w:left="120" w:right="120"/>
      </w:pPr>
      <w:r>
        <w:rPr>
          <w:b/>
          <w:color w:val="23374E"/>
          <w:sz w:val="21"/>
        </w:rPr>
        <w:t>What is different from the union of Bean et al. and Wang et al.?</w:t>
      </w:r>
    </w:p>
    <w:p w14:paraId="7CC4B06E" w14:textId="77777777" w:rsidR="00B067A9" w:rsidRDefault="00000000">
      <w:pPr>
        <w:spacing w:after="60" w:line="250" w:lineRule="auto"/>
      </w:pPr>
      <w:r>
        <w:t>The union gives a strong general measurement framework and a strong portfolio-level map of work coverage. It still does not provide a standard representation of the receiving work product or a procedure for deriving a claim from the relation among activity, setting, scored object, and downstream use. Those are the paper’s additional objects.</w:t>
      </w:r>
    </w:p>
    <w:p w14:paraId="20B16F3D" w14:textId="77777777" w:rsidR="00B067A9" w:rsidRDefault="00000000">
      <w:pPr>
        <w:spacing w:after="60" w:line="250" w:lineRule="auto"/>
      </w:pPr>
      <w:r>
        <w:t>The difference is easiest to see when the same benchmark can be described as valid at one level and incomplete at another. APEX-SWE S3 has a realistic environment, a clear ticket, executable code, and automated tests. It can be mapped to software-engineering work and can validly measure local endpoint completion. The work-product analysis nevertheless reveals that the score does not fully secure a source-use requirement stated by the prompt and rubric. The appropriate conclusion is not “the benchmark is invalid.” It is a more precise pair of claims: strong evidence for the executable endpoint, partial evidence for material provenance. The framework is designed to produce that differentiated conclusion.</w:t>
      </w:r>
    </w:p>
    <w:p w14:paraId="520533A0" w14:textId="77777777" w:rsidR="00B067A9" w:rsidRDefault="00000000">
      <w:pPr>
        <w:spacing w:after="60" w:line="250" w:lineRule="auto"/>
      </w:pPr>
      <w:r>
        <w:t>Horizontal comparison is the second difference. Wang et al. compare benchmark portfolios using occupational domains and skills. Our representation compares the evidentiary form of individual benchmarks: two items may map to the same skill but score different products; two benchmarks may both claim “workplace” capability while one observes an answer and the other observes a persistent state. This makes benchmark results composable without pretending that their scores are equivalent.</w:t>
      </w:r>
    </w:p>
    <w:p w14:paraId="2C9A715E" w14:textId="77777777" w:rsidR="00B067A9" w:rsidRDefault="00000000">
      <w:pPr>
        <w:keepLines/>
        <w:shd w:val="clear" w:color="auto" w:fill="F6F6F6"/>
        <w:spacing w:before="60" w:after="100"/>
        <w:ind w:left="173" w:right="173"/>
      </w:pPr>
      <w:r>
        <w:rPr>
          <w:b/>
          <w:sz w:val="19"/>
        </w:rPr>
        <w:t xml:space="preserve">Manuscript revision. </w:t>
      </w:r>
      <w:r>
        <w:rPr>
          <w:i/>
          <w:sz w:val="19"/>
        </w:rPr>
        <w:t>Add the differentiated APEX-SWE result and describe horizontal comparison of scored products and supported claims as distinct from occupational portfolio coverage.</w:t>
      </w:r>
    </w:p>
    <w:p w14:paraId="3BFC00BC" w14:textId="77777777" w:rsidR="00B067A9" w:rsidRDefault="00000000">
      <w:pPr>
        <w:spacing w:before="40" w:after="20"/>
      </w:pPr>
      <w:r>
        <w:rPr>
          <w:b/>
          <w:color w:val="3C3C3C"/>
          <w:sz w:val="18"/>
        </w:rPr>
        <w:t>References cited in this reply</w:t>
      </w:r>
    </w:p>
    <w:p w14:paraId="4DB5011D" w14:textId="77777777" w:rsidR="00B067A9" w:rsidRDefault="00000000">
      <w:pPr>
        <w:spacing w:after="30" w:line="240" w:lineRule="auto"/>
        <w:ind w:left="317" w:hanging="230"/>
      </w:pPr>
      <w:r>
        <w:rPr>
          <w:color w:val="414141"/>
          <w:sz w:val="16"/>
        </w:rPr>
        <w:t>[UN1] Bean, A. M., et al. (2025). Measuring What Matters. NeurIPS 2025 Datasets and Benchmarks Track.</w:t>
      </w:r>
    </w:p>
    <w:p w14:paraId="33F8A70D" w14:textId="77777777" w:rsidR="00B067A9" w:rsidRDefault="00000000">
      <w:pPr>
        <w:spacing w:after="30" w:line="240" w:lineRule="auto"/>
        <w:ind w:left="317" w:hanging="230"/>
      </w:pPr>
      <w:r>
        <w:rPr>
          <w:color w:val="414141"/>
          <w:sz w:val="16"/>
        </w:rPr>
        <w:t>[UN2] Wang, Z. Z., et al. (2026). How Well Does Agent Development Reflect Real-World Work? arXiv:2603.01203.</w:t>
      </w:r>
    </w:p>
    <w:p w14:paraId="652D7EAE" w14:textId="77777777" w:rsidR="00B067A9" w:rsidRDefault="00000000">
      <w:pPr>
        <w:spacing w:after="30" w:line="240" w:lineRule="auto"/>
        <w:ind w:left="317" w:hanging="230"/>
      </w:pPr>
      <w:r>
        <w:rPr>
          <w:color w:val="414141"/>
          <w:sz w:val="16"/>
        </w:rPr>
        <w:t>[UN3] Kottamasu, A., et al. (2026). APEX-SWE. arXiv:2601.08806.</w:t>
      </w:r>
    </w:p>
    <w:p w14:paraId="1D61B4B3" w14:textId="77777777" w:rsidR="00B067A9" w:rsidRDefault="00000000">
      <w:pPr>
        <w:spacing w:after="30" w:line="240" w:lineRule="auto"/>
        <w:ind w:left="317" w:hanging="230"/>
      </w:pPr>
      <w:r>
        <w:rPr>
          <w:color w:val="414141"/>
          <w:sz w:val="16"/>
        </w:rPr>
        <w:t>[UN4] Mercor (2026). APEX-SWE open-source S3 snapshot task materials.</w:t>
      </w:r>
    </w:p>
    <w:p w14:paraId="485E088D" w14:textId="77777777" w:rsidR="00B067A9" w:rsidRDefault="00000000">
      <w:pPr>
        <w:keepNext/>
        <w:keepLines/>
        <w:shd w:val="clear" w:color="auto" w:fill="EAF0F7"/>
        <w:spacing w:before="140" w:after="100"/>
        <w:ind w:left="120" w:right="120"/>
      </w:pPr>
      <w:r>
        <w:rPr>
          <w:b/>
          <w:color w:val="23374E"/>
          <w:sz w:val="21"/>
        </w:rPr>
        <w:t>For APEX-SWE, what are the answers to the paper's checkable questions, and how does the benchmark cover the tested-setting dimensions?</w:t>
      </w:r>
    </w:p>
    <w:p w14:paraId="5A7AD4AD" w14:textId="77777777" w:rsidR="00B067A9" w:rsidRDefault="00000000">
      <w:pPr>
        <w:spacing w:after="60" w:line="250" w:lineRule="auto"/>
      </w:pPr>
      <w:r>
        <w:t>We answer the questions for the released Integration/1-aws-s3-snapshots case because its complete task specification, environment, rubric, tests, and reference solution are publicly inspectable. We do not infer from this one case to all 200 APEX-SWE tasks.</w:t>
      </w:r>
    </w:p>
    <w:tbl>
      <w:tblPr>
        <w:tblStyle w:val="TableGrid"/>
        <w:tblW w:w="0" w:type="auto"/>
        <w:jc w:val="center"/>
        <w:tblLook w:val="04A0" w:firstRow="1" w:lastRow="0" w:firstColumn="1" w:lastColumn="0" w:noHBand="0" w:noVBand="1"/>
      </w:tblPr>
      <w:tblGrid>
        <w:gridCol w:w="2112"/>
        <w:gridCol w:w="1773"/>
        <w:gridCol w:w="3993"/>
        <w:gridCol w:w="2756"/>
      </w:tblGrid>
      <w:tr w:rsidR="00B067A9" w14:paraId="780DBCC7" w14:textId="77777777">
        <w:trPr>
          <w:tblHeader/>
          <w:jc w:val="center"/>
        </w:trPr>
        <w:tc>
          <w:tcPr>
            <w:tcW w:w="2304" w:type="dxa"/>
            <w:shd w:val="clear" w:color="auto" w:fill="D9E4F0"/>
            <w:tcMar>
              <w:top w:w="80" w:type="dxa"/>
              <w:left w:w="90" w:type="dxa"/>
              <w:bottom w:w="80" w:type="dxa"/>
              <w:right w:w="90" w:type="dxa"/>
            </w:tcMar>
            <w:vAlign w:val="center"/>
          </w:tcPr>
          <w:p w14:paraId="353DC751" w14:textId="77777777" w:rsidR="00B067A9" w:rsidRDefault="00000000">
            <w:r>
              <w:rPr>
                <w:b/>
                <w:color w:val="192D44"/>
                <w:sz w:val="15"/>
              </w:rPr>
              <w:t>Checkable question</w:t>
            </w:r>
          </w:p>
        </w:tc>
        <w:tc>
          <w:tcPr>
            <w:tcW w:w="1872" w:type="dxa"/>
            <w:shd w:val="clear" w:color="auto" w:fill="D9E4F0"/>
            <w:tcMar>
              <w:top w:w="80" w:type="dxa"/>
              <w:left w:w="90" w:type="dxa"/>
              <w:bottom w:w="80" w:type="dxa"/>
              <w:right w:w="90" w:type="dxa"/>
            </w:tcMar>
            <w:vAlign w:val="center"/>
          </w:tcPr>
          <w:p w14:paraId="1E14396E" w14:textId="77777777" w:rsidR="00B067A9" w:rsidRDefault="00000000">
            <w:r>
              <w:rPr>
                <w:b/>
                <w:color w:val="192D44"/>
                <w:sz w:val="15"/>
              </w:rPr>
              <w:t>Direct answer</w:t>
            </w:r>
          </w:p>
        </w:tc>
        <w:tc>
          <w:tcPr>
            <w:tcW w:w="4464" w:type="dxa"/>
            <w:shd w:val="clear" w:color="auto" w:fill="D9E4F0"/>
            <w:tcMar>
              <w:top w:w="80" w:type="dxa"/>
              <w:left w:w="90" w:type="dxa"/>
              <w:bottom w:w="80" w:type="dxa"/>
              <w:right w:w="90" w:type="dxa"/>
            </w:tcMar>
            <w:vAlign w:val="center"/>
          </w:tcPr>
          <w:p w14:paraId="08EC03FC" w14:textId="77777777" w:rsidR="00B067A9" w:rsidRDefault="00000000">
            <w:r>
              <w:rPr>
                <w:b/>
                <w:color w:val="192D44"/>
                <w:sz w:val="15"/>
              </w:rPr>
              <w:t>Evidence</w:t>
            </w:r>
          </w:p>
        </w:tc>
        <w:tc>
          <w:tcPr>
            <w:tcW w:w="3024" w:type="dxa"/>
            <w:shd w:val="clear" w:color="auto" w:fill="D9E4F0"/>
            <w:tcMar>
              <w:top w:w="80" w:type="dxa"/>
              <w:left w:w="90" w:type="dxa"/>
              <w:bottom w:w="80" w:type="dxa"/>
              <w:right w:w="90" w:type="dxa"/>
            </w:tcMar>
            <w:vAlign w:val="center"/>
          </w:tcPr>
          <w:p w14:paraId="616197E9" w14:textId="77777777" w:rsidR="00B067A9" w:rsidRDefault="00000000">
            <w:r>
              <w:rPr>
                <w:b/>
                <w:color w:val="192D44"/>
                <w:sz w:val="15"/>
              </w:rPr>
              <w:t>Interpretation</w:t>
            </w:r>
          </w:p>
        </w:tc>
      </w:tr>
      <w:tr w:rsidR="00B067A9" w14:paraId="7CDC2B6B" w14:textId="77777777">
        <w:trPr>
          <w:cantSplit/>
          <w:jc w:val="center"/>
        </w:trPr>
        <w:tc>
          <w:tcPr>
            <w:tcW w:w="2304" w:type="dxa"/>
            <w:tcMar>
              <w:top w:w="80" w:type="dxa"/>
              <w:left w:w="90" w:type="dxa"/>
              <w:bottom w:w="80" w:type="dxa"/>
              <w:right w:w="90" w:type="dxa"/>
            </w:tcMar>
          </w:tcPr>
          <w:p w14:paraId="42101727" w14:textId="77777777" w:rsidR="00B067A9" w:rsidRDefault="00000000">
            <w:r>
              <w:rPr>
                <w:sz w:val="15"/>
              </w:rPr>
              <w:t>Did the result use the materials that should have been used?</w:t>
            </w:r>
          </w:p>
        </w:tc>
        <w:tc>
          <w:tcPr>
            <w:tcW w:w="1872" w:type="dxa"/>
            <w:tcMar>
              <w:top w:w="80" w:type="dxa"/>
              <w:left w:w="90" w:type="dxa"/>
              <w:bottom w:w="80" w:type="dxa"/>
              <w:right w:w="90" w:type="dxa"/>
            </w:tcMar>
          </w:tcPr>
          <w:p w14:paraId="7E550C8E" w14:textId="77777777" w:rsidR="00B067A9" w:rsidRDefault="00000000">
            <w:r>
              <w:rPr>
                <w:sz w:val="15"/>
              </w:rPr>
              <w:t>Only partially secured.</w:t>
            </w:r>
          </w:p>
        </w:tc>
        <w:tc>
          <w:tcPr>
            <w:tcW w:w="4464" w:type="dxa"/>
            <w:tcMar>
              <w:top w:w="80" w:type="dxa"/>
              <w:left w:w="90" w:type="dxa"/>
              <w:bottom w:w="80" w:type="dxa"/>
              <w:right w:w="90" w:type="dxa"/>
            </w:tcMar>
          </w:tcPr>
          <w:p w14:paraId="1FCF982D" w14:textId="77777777" w:rsidR="00B067A9" w:rsidRDefault="00000000">
            <w:r>
              <w:rPr>
                <w:sz w:val="15"/>
              </w:rPr>
              <w:t>The agent must discover the Plane issue and receives LocalStack connection information and users.csv. The rubric expects direct reading of users.csv. The reference solution hard-codes user rows, while tests verify execution, S3 path, required columns, and nonempty output rather than row-level correspondence to the CSV.</w:t>
            </w:r>
          </w:p>
        </w:tc>
        <w:tc>
          <w:tcPr>
            <w:tcW w:w="3024" w:type="dxa"/>
            <w:tcMar>
              <w:top w:w="80" w:type="dxa"/>
              <w:left w:w="90" w:type="dxa"/>
              <w:bottom w:w="80" w:type="dxa"/>
              <w:right w:w="90" w:type="dxa"/>
            </w:tcMar>
          </w:tcPr>
          <w:p w14:paraId="7A0DC219" w14:textId="77777777" w:rsidR="00B067A9" w:rsidRDefault="00000000">
            <w:r>
              <w:rPr>
                <w:sz w:val="15"/>
              </w:rPr>
              <w:t>Endpoint and schema are strongly checked. Source provenance is stated as a requirement but is not fully secured by the released evaluation artifacts.</w:t>
            </w:r>
          </w:p>
        </w:tc>
      </w:tr>
      <w:tr w:rsidR="00B067A9" w14:paraId="59529019" w14:textId="77777777">
        <w:trPr>
          <w:cantSplit/>
          <w:jc w:val="center"/>
        </w:trPr>
        <w:tc>
          <w:tcPr>
            <w:tcW w:w="2304" w:type="dxa"/>
            <w:shd w:val="clear" w:color="auto" w:fill="F7F9FB"/>
            <w:tcMar>
              <w:top w:w="80" w:type="dxa"/>
              <w:left w:w="90" w:type="dxa"/>
              <w:bottom w:w="80" w:type="dxa"/>
              <w:right w:w="90" w:type="dxa"/>
            </w:tcMar>
          </w:tcPr>
          <w:p w14:paraId="257AAF1E" w14:textId="77777777" w:rsidR="00B067A9" w:rsidRDefault="00000000">
            <w:r>
              <w:rPr>
                <w:sz w:val="15"/>
              </w:rPr>
              <w:t>Did it remain within the assigned role, scope, and workflow step?</w:t>
            </w:r>
          </w:p>
        </w:tc>
        <w:tc>
          <w:tcPr>
            <w:tcW w:w="1872" w:type="dxa"/>
            <w:shd w:val="clear" w:color="auto" w:fill="F7F9FB"/>
            <w:tcMar>
              <w:top w:w="80" w:type="dxa"/>
              <w:left w:w="90" w:type="dxa"/>
              <w:bottom w:w="80" w:type="dxa"/>
              <w:right w:w="90" w:type="dxa"/>
            </w:tcMar>
          </w:tcPr>
          <w:p w14:paraId="6E9CE67D" w14:textId="77777777" w:rsidR="00B067A9" w:rsidRDefault="00000000">
            <w:r>
              <w:rPr>
                <w:sz w:val="15"/>
              </w:rPr>
              <w:t>The local ticket boundary is clear; broader organizational scope is not modeled.</w:t>
            </w:r>
          </w:p>
        </w:tc>
        <w:tc>
          <w:tcPr>
            <w:tcW w:w="4464" w:type="dxa"/>
            <w:shd w:val="clear" w:color="auto" w:fill="F7F9FB"/>
            <w:tcMar>
              <w:top w:w="80" w:type="dxa"/>
              <w:left w:w="90" w:type="dxa"/>
              <w:bottom w:w="80" w:type="dxa"/>
              <w:right w:w="90" w:type="dxa"/>
            </w:tcMar>
          </w:tcPr>
          <w:p w14:paraId="14434C63" w14:textId="77777777" w:rsidR="00B067A9" w:rsidRDefault="00000000">
            <w:r>
              <w:rPr>
                <w:sz w:val="15"/>
              </w:rPr>
              <w:t>The item specifies an Infrastructure Automation ticket, target bucket and key, credentials, component, and one-hour window. Tests focus on the requested artifact/state. Security approval, escalation, code review, deployment, monitoring, rollback, and adjacent-service ownership are outside the case.</w:t>
            </w:r>
          </w:p>
        </w:tc>
        <w:tc>
          <w:tcPr>
            <w:tcW w:w="3024" w:type="dxa"/>
            <w:shd w:val="clear" w:color="auto" w:fill="F7F9FB"/>
            <w:tcMar>
              <w:top w:w="80" w:type="dxa"/>
              <w:left w:w="90" w:type="dxa"/>
              <w:bottom w:w="80" w:type="dxa"/>
              <w:right w:w="90" w:type="dxa"/>
            </w:tcMar>
          </w:tcPr>
          <w:p w14:paraId="74D638EB" w14:textId="77777777" w:rsidR="00B067A9" w:rsidRDefault="00000000">
            <w:r>
              <w:rPr>
                <w:sz w:val="15"/>
              </w:rPr>
              <w:t>Strong evidence for one implementation step; no claim about full production authority or lifecycle responsibility.</w:t>
            </w:r>
          </w:p>
        </w:tc>
      </w:tr>
      <w:tr w:rsidR="00B067A9" w14:paraId="13F38850" w14:textId="77777777">
        <w:trPr>
          <w:cantSplit/>
          <w:jc w:val="center"/>
        </w:trPr>
        <w:tc>
          <w:tcPr>
            <w:tcW w:w="2304" w:type="dxa"/>
            <w:tcMar>
              <w:top w:w="80" w:type="dxa"/>
              <w:left w:w="90" w:type="dxa"/>
              <w:bottom w:w="80" w:type="dxa"/>
              <w:right w:w="90" w:type="dxa"/>
            </w:tcMar>
          </w:tcPr>
          <w:p w14:paraId="4F6EEB2B" w14:textId="77777777" w:rsidR="00B067A9" w:rsidRDefault="00000000">
            <w:r>
              <w:rPr>
                <w:sz w:val="15"/>
              </w:rPr>
              <w:t>Did it leave something a downstream actor or system could inspect, execute, modify, approve, or continue?</w:t>
            </w:r>
          </w:p>
        </w:tc>
        <w:tc>
          <w:tcPr>
            <w:tcW w:w="1872" w:type="dxa"/>
            <w:tcMar>
              <w:top w:w="80" w:type="dxa"/>
              <w:left w:w="90" w:type="dxa"/>
              <w:bottom w:w="80" w:type="dxa"/>
              <w:right w:w="90" w:type="dxa"/>
            </w:tcMar>
          </w:tcPr>
          <w:p w14:paraId="6D40B386" w14:textId="77777777" w:rsidR="00B067A9" w:rsidRDefault="00000000">
            <w:r>
              <w:rPr>
                <w:sz w:val="15"/>
              </w:rPr>
              <w:t>Yes, for the local implementation stage.</w:t>
            </w:r>
          </w:p>
        </w:tc>
        <w:tc>
          <w:tcPr>
            <w:tcW w:w="4464" w:type="dxa"/>
            <w:tcMar>
              <w:top w:w="80" w:type="dxa"/>
              <w:left w:w="90" w:type="dxa"/>
              <w:bottom w:w="80" w:type="dxa"/>
              <w:right w:w="90" w:type="dxa"/>
            </w:tcMar>
          </w:tcPr>
          <w:p w14:paraId="663412E3" w14:textId="77777777" w:rsidR="00B067A9" w:rsidRDefault="00000000">
            <w:r>
              <w:rPr>
                <w:sz w:val="15"/>
              </w:rPr>
              <w:t>A Python script must exist and run; the dated S3 object must exist with required columns and data. Another actor can rerun the script and inspect the resulting service state. A pull request, approval record, deployment record, and operational handoff are not required.</w:t>
            </w:r>
          </w:p>
        </w:tc>
        <w:tc>
          <w:tcPr>
            <w:tcW w:w="3024" w:type="dxa"/>
            <w:tcMar>
              <w:top w:w="80" w:type="dxa"/>
              <w:left w:w="90" w:type="dxa"/>
              <w:bottom w:w="80" w:type="dxa"/>
              <w:right w:w="90" w:type="dxa"/>
            </w:tcMar>
          </w:tcPr>
          <w:p w14:paraId="76C58E5D" w14:textId="77777777" w:rsidR="00B067A9" w:rsidRDefault="00000000">
            <w:r>
              <w:rPr>
                <w:sz w:val="15"/>
              </w:rPr>
              <w:t>Strong downstream executability and inspectability within the benchmarked stage; later workflow products remain outside the score.</w:t>
            </w:r>
          </w:p>
        </w:tc>
      </w:tr>
    </w:tbl>
    <w:p w14:paraId="00C12894" w14:textId="77777777" w:rsidR="00B067A9" w:rsidRDefault="00B067A9">
      <w:pPr>
        <w:spacing w:after="0"/>
      </w:pPr>
    </w:p>
    <w:tbl>
      <w:tblPr>
        <w:tblStyle w:val="TableGrid"/>
        <w:tblW w:w="0" w:type="auto"/>
        <w:jc w:val="center"/>
        <w:tblLook w:val="04A0" w:firstRow="1" w:lastRow="0" w:firstColumn="1" w:lastColumn="0" w:noHBand="0" w:noVBand="1"/>
      </w:tblPr>
      <w:tblGrid>
        <w:gridCol w:w="1758"/>
        <w:gridCol w:w="4121"/>
        <w:gridCol w:w="4755"/>
      </w:tblGrid>
      <w:tr w:rsidR="00B067A9" w14:paraId="4146227A" w14:textId="77777777">
        <w:trPr>
          <w:tblHeader/>
          <w:jc w:val="center"/>
        </w:trPr>
        <w:tc>
          <w:tcPr>
            <w:tcW w:w="1872" w:type="dxa"/>
            <w:shd w:val="clear" w:color="auto" w:fill="D9E4F0"/>
            <w:tcMar>
              <w:top w:w="80" w:type="dxa"/>
              <w:left w:w="90" w:type="dxa"/>
              <w:bottom w:w="80" w:type="dxa"/>
              <w:right w:w="90" w:type="dxa"/>
            </w:tcMar>
            <w:vAlign w:val="center"/>
          </w:tcPr>
          <w:p w14:paraId="0D3E5C22" w14:textId="77777777" w:rsidR="00B067A9" w:rsidRDefault="00000000">
            <w:r>
              <w:rPr>
                <w:b/>
                <w:color w:val="192D44"/>
                <w:sz w:val="16"/>
              </w:rPr>
              <w:t>Tested-setting dimension</w:t>
            </w:r>
          </w:p>
        </w:tc>
        <w:tc>
          <w:tcPr>
            <w:tcW w:w="4536" w:type="dxa"/>
            <w:shd w:val="clear" w:color="auto" w:fill="D9E4F0"/>
            <w:tcMar>
              <w:top w:w="80" w:type="dxa"/>
              <w:left w:w="90" w:type="dxa"/>
              <w:bottom w:w="80" w:type="dxa"/>
              <w:right w:w="90" w:type="dxa"/>
            </w:tcMar>
            <w:vAlign w:val="center"/>
          </w:tcPr>
          <w:p w14:paraId="2C6137D4" w14:textId="77777777" w:rsidR="00B067A9" w:rsidRDefault="00000000">
            <w:r>
              <w:rPr>
                <w:b/>
                <w:color w:val="192D44"/>
                <w:sz w:val="16"/>
              </w:rPr>
              <w:t>How the released S3 case represents it</w:t>
            </w:r>
          </w:p>
        </w:tc>
        <w:tc>
          <w:tcPr>
            <w:tcW w:w="5256" w:type="dxa"/>
            <w:shd w:val="clear" w:color="auto" w:fill="D9E4F0"/>
            <w:tcMar>
              <w:top w:w="80" w:type="dxa"/>
              <w:left w:w="90" w:type="dxa"/>
              <w:bottom w:w="80" w:type="dxa"/>
              <w:right w:w="90" w:type="dxa"/>
            </w:tcMar>
            <w:vAlign w:val="center"/>
          </w:tcPr>
          <w:p w14:paraId="28A79D31" w14:textId="77777777" w:rsidR="00B067A9" w:rsidRDefault="00000000">
            <w:r>
              <w:rPr>
                <w:b/>
                <w:color w:val="192D44"/>
                <w:sz w:val="16"/>
              </w:rPr>
              <w:t>Coverage and boundary</w:t>
            </w:r>
          </w:p>
        </w:tc>
      </w:tr>
      <w:tr w:rsidR="00B067A9" w14:paraId="10460F09" w14:textId="77777777">
        <w:trPr>
          <w:cantSplit/>
          <w:jc w:val="center"/>
        </w:trPr>
        <w:tc>
          <w:tcPr>
            <w:tcW w:w="1872" w:type="dxa"/>
            <w:tcMar>
              <w:top w:w="80" w:type="dxa"/>
              <w:left w:w="90" w:type="dxa"/>
              <w:bottom w:w="80" w:type="dxa"/>
              <w:right w:w="90" w:type="dxa"/>
            </w:tcMar>
          </w:tcPr>
          <w:p w14:paraId="3AA570F5" w14:textId="77777777" w:rsidR="00B067A9" w:rsidRDefault="00000000">
            <w:r>
              <w:rPr>
                <w:sz w:val="16"/>
              </w:rPr>
              <w:t>Materials</w:t>
            </w:r>
          </w:p>
        </w:tc>
        <w:tc>
          <w:tcPr>
            <w:tcW w:w="4536" w:type="dxa"/>
            <w:tcMar>
              <w:top w:w="80" w:type="dxa"/>
              <w:left w:w="90" w:type="dxa"/>
              <w:bottom w:w="80" w:type="dxa"/>
              <w:right w:w="90" w:type="dxa"/>
            </w:tcMar>
          </w:tcPr>
          <w:p w14:paraId="77EB45EF" w14:textId="77777777" w:rsidR="00B067A9" w:rsidRDefault="00000000">
            <w:r>
              <w:rPr>
                <w:sz w:val="16"/>
              </w:rPr>
              <w:t>Plane task issue and filler issues; task description; credentials and connection information; LocalStack state and pre-created bucket; users.csv; service/API documentation.</w:t>
            </w:r>
          </w:p>
        </w:tc>
        <w:tc>
          <w:tcPr>
            <w:tcW w:w="5256" w:type="dxa"/>
            <w:tcMar>
              <w:top w:w="80" w:type="dxa"/>
              <w:left w:w="90" w:type="dxa"/>
              <w:bottom w:w="80" w:type="dxa"/>
              <w:right w:w="90" w:type="dxa"/>
            </w:tcMar>
          </w:tcPr>
          <w:p w14:paraId="17E6E759" w14:textId="77777777" w:rsidR="00B067A9" w:rsidRDefault="00000000">
            <w:r>
              <w:rPr>
                <w:sz w:val="16"/>
              </w:rPr>
              <w:t>Rich material context. The prompt, rubric, reference solution, and tests do not fully agree on whether source-faithful use of users.csv is constitutive of success.</w:t>
            </w:r>
          </w:p>
        </w:tc>
      </w:tr>
      <w:tr w:rsidR="00B067A9" w14:paraId="0836E7D9" w14:textId="77777777">
        <w:trPr>
          <w:cantSplit/>
          <w:jc w:val="center"/>
        </w:trPr>
        <w:tc>
          <w:tcPr>
            <w:tcW w:w="1872" w:type="dxa"/>
            <w:shd w:val="clear" w:color="auto" w:fill="F7F9FB"/>
            <w:tcMar>
              <w:top w:w="80" w:type="dxa"/>
              <w:left w:w="90" w:type="dxa"/>
              <w:bottom w:w="80" w:type="dxa"/>
              <w:right w:w="90" w:type="dxa"/>
            </w:tcMar>
          </w:tcPr>
          <w:p w14:paraId="6ABB8D9B" w14:textId="77777777" w:rsidR="00B067A9" w:rsidRDefault="00000000">
            <w:r>
              <w:rPr>
                <w:sz w:val="16"/>
              </w:rPr>
              <w:lastRenderedPageBreak/>
              <w:t>Tools</w:t>
            </w:r>
          </w:p>
        </w:tc>
        <w:tc>
          <w:tcPr>
            <w:tcW w:w="4536" w:type="dxa"/>
            <w:shd w:val="clear" w:color="auto" w:fill="F7F9FB"/>
            <w:tcMar>
              <w:top w:w="80" w:type="dxa"/>
              <w:left w:w="90" w:type="dxa"/>
              <w:bottom w:w="80" w:type="dxa"/>
              <w:right w:w="90" w:type="dxa"/>
            </w:tcMar>
          </w:tcPr>
          <w:p w14:paraId="38345C22" w14:textId="77777777" w:rsidR="00B067A9" w:rsidRDefault="00000000">
            <w:r>
              <w:rPr>
                <w:sz w:val="16"/>
              </w:rPr>
              <w:t>Persistent terminal and file workspace; Python with boto3/AWS tooling; Plane MCP; LocalStack; Dockerized services; pytest/API evaluation; one-hour timeout.</w:t>
            </w:r>
          </w:p>
        </w:tc>
        <w:tc>
          <w:tcPr>
            <w:tcW w:w="5256" w:type="dxa"/>
            <w:shd w:val="clear" w:color="auto" w:fill="F7F9FB"/>
            <w:tcMar>
              <w:top w:w="80" w:type="dxa"/>
              <w:left w:w="90" w:type="dxa"/>
              <w:bottom w:w="80" w:type="dxa"/>
              <w:right w:w="90" w:type="dxa"/>
            </w:tcMar>
          </w:tcPr>
          <w:p w14:paraId="4BBF629C" w14:textId="77777777" w:rsidR="00B067A9" w:rsidRDefault="00000000">
            <w:r>
              <w:rPr>
                <w:sz w:val="16"/>
              </w:rPr>
              <w:t>Strong coverage of tools needed for this integration implementation.</w:t>
            </w:r>
          </w:p>
        </w:tc>
      </w:tr>
      <w:tr w:rsidR="00B067A9" w14:paraId="2C918FD9" w14:textId="77777777">
        <w:trPr>
          <w:cantSplit/>
          <w:jc w:val="center"/>
        </w:trPr>
        <w:tc>
          <w:tcPr>
            <w:tcW w:w="1872" w:type="dxa"/>
            <w:tcMar>
              <w:top w:w="80" w:type="dxa"/>
              <w:left w:w="90" w:type="dxa"/>
              <w:bottom w:w="80" w:type="dxa"/>
              <w:right w:w="90" w:type="dxa"/>
            </w:tcMar>
          </w:tcPr>
          <w:p w14:paraId="3D6915E5" w14:textId="77777777" w:rsidR="00B067A9" w:rsidRDefault="00000000">
            <w:r>
              <w:rPr>
                <w:sz w:val="16"/>
              </w:rPr>
              <w:t>Role and scope</w:t>
            </w:r>
          </w:p>
        </w:tc>
        <w:tc>
          <w:tcPr>
            <w:tcW w:w="4536" w:type="dxa"/>
            <w:tcMar>
              <w:top w:w="80" w:type="dxa"/>
              <w:left w:w="90" w:type="dxa"/>
              <w:bottom w:w="80" w:type="dxa"/>
              <w:right w:w="90" w:type="dxa"/>
            </w:tcMar>
          </w:tcPr>
          <w:p w14:paraId="0379D686" w14:textId="77777777" w:rsidR="00B067A9" w:rsidRDefault="00000000">
            <w:r>
              <w:rPr>
                <w:sz w:val="16"/>
              </w:rPr>
              <w:t>An implementation agent is assigned one infrastructure ticket: create the daily snapshot script and resulting object under specified paths and credentials.</w:t>
            </w:r>
          </w:p>
        </w:tc>
        <w:tc>
          <w:tcPr>
            <w:tcW w:w="5256" w:type="dxa"/>
            <w:tcMar>
              <w:top w:w="80" w:type="dxa"/>
              <w:left w:w="90" w:type="dxa"/>
              <w:bottom w:w="80" w:type="dxa"/>
              <w:right w:w="90" w:type="dxa"/>
            </w:tcMar>
          </w:tcPr>
          <w:p w14:paraId="74278E78" w14:textId="77777777" w:rsidR="00B067A9" w:rsidRDefault="00000000">
            <w:r>
              <w:rPr>
                <w:sz w:val="16"/>
              </w:rPr>
              <w:t>The ticket is explicit. Organizational authority, security review, defer/escalate decisions, responsibility for adjacent services, and maintainer approval are not represented.</w:t>
            </w:r>
          </w:p>
        </w:tc>
      </w:tr>
      <w:tr w:rsidR="00B067A9" w14:paraId="2B4BDADB" w14:textId="77777777">
        <w:trPr>
          <w:cantSplit/>
          <w:jc w:val="center"/>
        </w:trPr>
        <w:tc>
          <w:tcPr>
            <w:tcW w:w="1872" w:type="dxa"/>
            <w:shd w:val="clear" w:color="auto" w:fill="F7F9FB"/>
            <w:tcMar>
              <w:top w:w="80" w:type="dxa"/>
              <w:left w:w="90" w:type="dxa"/>
              <w:bottom w:w="80" w:type="dxa"/>
              <w:right w:w="90" w:type="dxa"/>
            </w:tcMar>
          </w:tcPr>
          <w:p w14:paraId="67485437" w14:textId="77777777" w:rsidR="00B067A9" w:rsidRDefault="00000000">
            <w:r>
              <w:rPr>
                <w:sz w:val="16"/>
              </w:rPr>
              <w:t>Workflow state</w:t>
            </w:r>
          </w:p>
        </w:tc>
        <w:tc>
          <w:tcPr>
            <w:tcW w:w="4536" w:type="dxa"/>
            <w:shd w:val="clear" w:color="auto" w:fill="F7F9FB"/>
            <w:tcMar>
              <w:top w:w="80" w:type="dxa"/>
              <w:left w:w="90" w:type="dxa"/>
              <w:bottom w:w="80" w:type="dxa"/>
              <w:right w:w="90" w:type="dxa"/>
            </w:tcMar>
          </w:tcPr>
          <w:p w14:paraId="5CD3C0C2" w14:textId="77777777" w:rsidR="00B067A9" w:rsidRDefault="00000000">
            <w:r>
              <w:rPr>
                <w:sz w:val="16"/>
              </w:rPr>
              <w:t>Starts with populated project board, running services, credentials, local data, and an existing bucket. Ends when the script and required S3 object pass automated checks.</w:t>
            </w:r>
          </w:p>
        </w:tc>
        <w:tc>
          <w:tcPr>
            <w:tcW w:w="5256" w:type="dxa"/>
            <w:shd w:val="clear" w:color="auto" w:fill="F7F9FB"/>
            <w:tcMar>
              <w:top w:w="80" w:type="dxa"/>
              <w:left w:w="90" w:type="dxa"/>
              <w:bottom w:w="80" w:type="dxa"/>
              <w:right w:w="90" w:type="dxa"/>
            </w:tcMar>
          </w:tcPr>
          <w:p w14:paraId="4296B934" w14:textId="77777777" w:rsidR="00B067A9" w:rsidRDefault="00000000">
            <w:r>
              <w:rPr>
                <w:sz w:val="16"/>
              </w:rPr>
              <w:t>Strong local implementation-state coverage. Code review, merge, deployment, monitoring, rollback, and operational handoff remain outside the episode.</w:t>
            </w:r>
          </w:p>
        </w:tc>
      </w:tr>
    </w:tbl>
    <w:p w14:paraId="1817CAAB" w14:textId="77777777" w:rsidR="00B067A9" w:rsidRDefault="00B067A9">
      <w:pPr>
        <w:spacing w:after="0"/>
      </w:pPr>
    </w:p>
    <w:p w14:paraId="63C6C40E" w14:textId="77777777" w:rsidR="00B067A9" w:rsidRDefault="00000000">
      <w:pPr>
        <w:spacing w:after="60" w:line="250" w:lineRule="auto"/>
      </w:pPr>
      <w:r>
        <w:t>The resulting claim should be stated exactly: the score provides evidence that an agent can resolve the specified S3 integration ticket in the supplied containerized environment and leave a runnable script plus a verified S3 state change. For the released case, the evidence for required source provenance is partial, and the benchmark does not by itself establish responsibility for the full production software-engineering lifecycle. This is not a criticism of APEX-SWE’s overall ambition; it is the kind of item-level boundary the framework is intended to expose.</w:t>
      </w:r>
    </w:p>
    <w:p w14:paraId="5B5C474B" w14:textId="77777777" w:rsidR="00B067A9" w:rsidRDefault="00000000">
      <w:pPr>
        <w:keepLines/>
        <w:shd w:val="clear" w:color="auto" w:fill="F6F6F6"/>
        <w:spacing w:before="60" w:after="100"/>
        <w:ind w:left="173" w:right="173"/>
      </w:pPr>
      <w:r>
        <w:rPr>
          <w:b/>
          <w:sz w:val="19"/>
        </w:rPr>
        <w:t xml:space="preserve">Manuscript revision. </w:t>
      </w:r>
      <w:r>
        <w:rPr>
          <w:i/>
          <w:sz w:val="19"/>
        </w:rPr>
        <w:t>Add these direct answers and the tested-setting table, identify the CSV discrepancy explicitly, and limit the analysis to the publicly inspected S3 case rather than generalizing it to all APEX-SWE tasks.</w:t>
      </w:r>
    </w:p>
    <w:p w14:paraId="7E27EBE6" w14:textId="77777777" w:rsidR="00B067A9" w:rsidRDefault="00000000">
      <w:pPr>
        <w:spacing w:before="40" w:after="20"/>
      </w:pPr>
      <w:r>
        <w:rPr>
          <w:b/>
          <w:color w:val="3C3C3C"/>
          <w:sz w:val="18"/>
        </w:rPr>
        <w:t>References cited in this reply</w:t>
      </w:r>
    </w:p>
    <w:p w14:paraId="5C91C6B9" w14:textId="77777777" w:rsidR="00B067A9" w:rsidRDefault="00000000">
      <w:pPr>
        <w:spacing w:after="30" w:line="240" w:lineRule="auto"/>
        <w:ind w:left="317" w:hanging="230"/>
      </w:pPr>
      <w:r>
        <w:rPr>
          <w:color w:val="414141"/>
          <w:sz w:val="16"/>
        </w:rPr>
        <w:t>[AS1] Kottamasu, A., et al. (2026). APEX-SWE. arXiv:2601.08806.</w:t>
      </w:r>
    </w:p>
    <w:p w14:paraId="5F817DE6" w14:textId="77777777" w:rsidR="00B067A9" w:rsidRDefault="00000000">
      <w:pPr>
        <w:spacing w:after="30" w:line="240" w:lineRule="auto"/>
        <w:ind w:left="317" w:hanging="230"/>
      </w:pPr>
      <w:r>
        <w:rPr>
          <w:color w:val="414141"/>
          <w:sz w:val="16"/>
        </w:rPr>
        <w:t>[AS2] Mercor (2026). APEX-SWE open-source evaluation tasks, Integration/1-aws-s3-snapshots: task.yaml/task specification, issues and connection information, users.csv, rubric.json, tests/test_outputs.py, and reference solution.</w:t>
      </w:r>
    </w:p>
    <w:p w14:paraId="05C7C077" w14:textId="77777777" w:rsidR="00B067A9" w:rsidRDefault="00000000">
      <w:pPr>
        <w:spacing w:after="30" w:line="240" w:lineRule="auto"/>
        <w:ind w:left="317" w:hanging="230"/>
      </w:pPr>
      <w:r>
        <w:rPr>
          <w:color w:val="414141"/>
          <w:sz w:val="16"/>
        </w:rPr>
        <w:t>[AS3] Mercor (2026). APEX-SWE dataset card and evaluation harness documentation.</w:t>
      </w:r>
    </w:p>
    <w:p w14:paraId="5B2F5BE3" w14:textId="77777777" w:rsidR="00B067A9" w:rsidRDefault="00000000">
      <w:pPr>
        <w:pStyle w:val="Heading1"/>
      </w:pPr>
      <w:r>
        <w:t>Consolidated manuscript changes</w:t>
      </w:r>
    </w:p>
    <w:p w14:paraId="42E4F852" w14:textId="77777777" w:rsidR="00B067A9" w:rsidRDefault="00000000">
      <w:pPr>
        <w:spacing w:after="80" w:line="250" w:lineRule="auto"/>
      </w:pPr>
      <w:r>
        <w:t>Across the replies, the revision keeps the paper’s position and three-step framework but makes the evidentiary claims more precise. The main changes are:</w:t>
      </w:r>
    </w:p>
    <w:p w14:paraId="651727FF" w14:textId="77777777" w:rsidR="00B067A9" w:rsidRDefault="00000000">
      <w:pPr>
        <w:pStyle w:val="ListBullet"/>
        <w:spacing w:after="40" w:line="247" w:lineRule="auto"/>
      </w:pPr>
      <w:r>
        <w:t>State the contribution as a work-claim representation and inference procedure, with horizontal benchmark comparison as an explicit output.</w:t>
      </w:r>
    </w:p>
    <w:p w14:paraId="4466430B" w14:textId="77777777" w:rsidR="00B067A9" w:rsidRDefault="00000000">
      <w:pPr>
        <w:pStyle w:val="ListBullet"/>
        <w:spacing w:after="40" w:line="247" w:lineRule="auto"/>
      </w:pPr>
      <w:r>
        <w:t>Engage Bean et al. as the general construct-validity foundation and Wang et al. as the portfolio-level work-alignment analysis; demonstrate the additional benchmark-level result through APEX-SWE.</w:t>
      </w:r>
    </w:p>
    <w:p w14:paraId="2226DBEF" w14:textId="77777777" w:rsidR="00B067A9" w:rsidRDefault="00000000">
      <w:pPr>
        <w:pStyle w:val="ListBullet"/>
        <w:spacing w:after="40" w:line="247" w:lineRule="auto"/>
      </w:pPr>
      <w:r>
        <w:t>Move definitions forward and add an OfficeQA Pro figure showing how a changed intended claim changes the required product and scoring.</w:t>
      </w:r>
    </w:p>
    <w:p w14:paraId="47D0189F" w14:textId="77777777" w:rsidR="00B067A9" w:rsidRDefault="00000000">
      <w:pPr>
        <w:pStyle w:val="ListBullet"/>
        <w:spacing w:after="40" w:line="247" w:lineRule="auto"/>
      </w:pPr>
      <w:r>
        <w:t>Replace compatible “alternatives” with four genuine competing positions and state the conditions under which each is sufficient.</w:t>
      </w:r>
    </w:p>
    <w:p w14:paraId="154D5977" w14:textId="77777777" w:rsidR="00B067A9" w:rsidRDefault="00000000">
      <w:pPr>
        <w:pStyle w:val="ListBullet"/>
        <w:spacing w:after="40" w:line="247" w:lineRule="auto"/>
      </w:pPr>
      <w:r>
        <w:t>Define knowledge tasks through epistemic and organizational sufficiency without treating all non-knowledge work as physical or requiring every knowledge task to end in a document.</w:t>
      </w:r>
    </w:p>
    <w:p w14:paraId="536DEB91" w14:textId="77777777" w:rsidR="00B067A9" w:rsidRDefault="00000000">
      <w:pPr>
        <w:pStyle w:val="ListBullet"/>
        <w:spacing w:after="40" w:line="247" w:lineRule="auto"/>
      </w:pPr>
      <w:r>
        <w:t>Use current benchmark examples to show that NLP-derived, answer-centric, interface, and state-transition constructions remain active in work-facing agent evaluation; claim existence, not prevalence.</w:t>
      </w:r>
    </w:p>
    <w:p w14:paraId="3AF30280" w14:textId="77777777" w:rsidR="00B067A9" w:rsidRDefault="00000000">
      <w:pPr>
        <w:pStyle w:val="ListBullet"/>
        <w:spacing w:after="40" w:line="247" w:lineRule="auto"/>
      </w:pPr>
      <w:r>
        <w:t>Present the 18 operations as a purpose-built, aim-dependent consolidation; report the full construction and validation record, including failures and limitations; do not describe Stage 2 as independent validation or the operations as task-classification labels.</w:t>
      </w:r>
    </w:p>
    <w:p w14:paraId="17B3C6C3" w14:textId="77777777" w:rsidR="00B067A9" w:rsidRDefault="00000000">
      <w:pPr>
        <w:pStyle w:val="ListBullet"/>
        <w:spacing w:after="40" w:line="247" w:lineRule="auto"/>
      </w:pPr>
      <w:r>
        <w:t>Map all three cases to the same activity–setting–product–scored-object–claim fields and answer the checkable questions directly.</w:t>
      </w:r>
    </w:p>
    <w:p w14:paraId="66DCEDA5" w14:textId="77777777" w:rsidR="00B067A9" w:rsidRDefault="00000000">
      <w:pPr>
        <w:pStyle w:val="ListBullet"/>
        <w:spacing w:after="40" w:line="247" w:lineRule="auto"/>
      </w:pPr>
      <w:r>
        <w:t>Add the detailed APEX-SWE S3 analysis and distinguish environment implementation, tested-setting meaning, receiving product, and rubric/test checks.</w:t>
      </w:r>
    </w:p>
    <w:p w14:paraId="4495C5BB" w14:textId="77777777" w:rsidR="00B067A9" w:rsidRDefault="00000000">
      <w:pPr>
        <w:pStyle w:val="ListBullet"/>
        <w:spacing w:after="40" w:line="247" w:lineRule="auto"/>
      </w:pPr>
      <w:r>
        <w:t>Remove moralizing language and explain that narrow and exploratory benchmarks are valid when their claims remain aligned with their evidence.</w:t>
      </w:r>
    </w:p>
    <w:p w14:paraId="40CF7B43" w14:textId="77777777" w:rsidR="00B067A9" w:rsidRDefault="00000000">
      <w:pPr>
        <w:spacing w:after="60" w:line="250" w:lineRule="auto"/>
      </w:pPr>
      <w:r>
        <w:t>The revised rebuttal does not claim that every work-facing benchmark is invalid, that work can be divided into one uniquely correct taxonomy, or that direct workplace evidence can be replaced by framework compliance. It argues for a specific and checkable discipline: a benchmark score should be interpreted through the work activity it represents, the setting it actually tests, the product it requires and scores, and the workflow boundary it leaves outside the evidence.</w:t>
      </w:r>
    </w:p>
    <w:sectPr w:rsidR="00B067A9" w:rsidSect="00034616">
      <w:footerReference w:type="default" r:id="rId8"/>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C67523" w14:textId="77777777" w:rsidR="0035400B" w:rsidRDefault="0035400B">
      <w:pPr>
        <w:spacing w:after="0" w:line="240" w:lineRule="auto"/>
      </w:pPr>
      <w:r>
        <w:separator/>
      </w:r>
    </w:p>
  </w:endnote>
  <w:endnote w:type="continuationSeparator" w:id="0">
    <w:p w14:paraId="7D6E609A" w14:textId="77777777" w:rsidR="0035400B" w:rsidRDefault="00354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8D7D6" w14:textId="77777777" w:rsidR="00B067A9" w:rsidRDefault="00000000">
    <w:pPr>
      <w:pStyle w:val="Footer"/>
      <w:jc w:val="center"/>
    </w:pPr>
    <w:r>
      <w:rPr>
        <w:color w:val="646464"/>
        <w:sz w:val="16"/>
      </w:rPr>
      <w:t xml:space="preserve">Submission 848 rebuttal  •  </w:t>
    </w:r>
    <w:r>
      <w:rPr>
        <w:color w:val="646464"/>
        <w:sz w:val="16"/>
      </w:rPr>
      <w:fldChar w:fldCharType="begin"/>
    </w:r>
    <w:r>
      <w:rPr>
        <w:color w:val="646464"/>
        <w:sz w:val="16"/>
      </w:rPr>
      <w:instrText>PAGE</w:instrText>
    </w:r>
    <w:r w:rsidR="001852E1">
      <w:rPr>
        <w:color w:val="646464"/>
        <w:sz w:val="16"/>
      </w:rPr>
      <w:fldChar w:fldCharType="separate"/>
    </w:r>
    <w:r w:rsidR="001852E1">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6347C1" w14:textId="77777777" w:rsidR="0035400B" w:rsidRDefault="0035400B">
      <w:pPr>
        <w:spacing w:after="0" w:line="240" w:lineRule="auto"/>
      </w:pPr>
      <w:r>
        <w:separator/>
      </w:r>
    </w:p>
  </w:footnote>
  <w:footnote w:type="continuationSeparator" w:id="0">
    <w:p w14:paraId="6DCF424A" w14:textId="77777777" w:rsidR="0035400B" w:rsidRDefault="003540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269603">
    <w:abstractNumId w:val="8"/>
  </w:num>
  <w:num w:numId="2" w16cid:durableId="248930305">
    <w:abstractNumId w:val="6"/>
  </w:num>
  <w:num w:numId="3" w16cid:durableId="2090228069">
    <w:abstractNumId w:val="5"/>
  </w:num>
  <w:num w:numId="4" w16cid:durableId="305862292">
    <w:abstractNumId w:val="4"/>
  </w:num>
  <w:num w:numId="5" w16cid:durableId="1867060594">
    <w:abstractNumId w:val="7"/>
  </w:num>
  <w:num w:numId="6" w16cid:durableId="1654524082">
    <w:abstractNumId w:val="3"/>
  </w:num>
  <w:num w:numId="7" w16cid:durableId="1161580858">
    <w:abstractNumId w:val="2"/>
  </w:num>
  <w:num w:numId="8" w16cid:durableId="553128649">
    <w:abstractNumId w:val="1"/>
  </w:num>
  <w:num w:numId="9" w16cid:durableId="1204055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1F4"/>
    <w:rsid w:val="0015074B"/>
    <w:rsid w:val="001852E1"/>
    <w:rsid w:val="0029639D"/>
    <w:rsid w:val="00326F90"/>
    <w:rsid w:val="0035400B"/>
    <w:rsid w:val="005774F6"/>
    <w:rsid w:val="007360A0"/>
    <w:rsid w:val="008B1180"/>
    <w:rsid w:val="00AA1D8D"/>
    <w:rsid w:val="00AB146B"/>
    <w:rsid w:val="00B067A9"/>
    <w:rsid w:val="00B47730"/>
    <w:rsid w:val="00C37322"/>
    <w:rsid w:val="00CB0664"/>
    <w:rsid w:val="00D028FA"/>
    <w:rsid w:val="00D528C7"/>
    <w:rsid w:val="00EC08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D5F6B"/>
  <w14:defaultImageDpi w14:val="300"/>
  <w15:docId w15:val="{7B8FE5B6-239F-8B4A-9B74-B7F2ED52D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A2B41"/>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23374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37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2B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6464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0A01F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semiHidden/>
    <w:unhideWhenUsed/>
    <w:rsid w:val="000A01F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ext-token-text-primary">
    <w:name w:val="text-token-text-primary"/>
    <w:basedOn w:val="DefaultParagraphFont"/>
    <w:rsid w:val="00EC0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9586</Words>
  <Characters>59632</Characters>
  <Application>Microsoft Office Word</Application>
  <DocSecurity>0</DocSecurity>
  <Lines>1169</Lines>
  <Paragraphs>490</Paragraphs>
  <ScaleCrop>false</ScaleCrop>
  <HeadingPairs>
    <vt:vector size="2" baseType="variant">
      <vt:variant>
        <vt:lpstr>Title</vt:lpstr>
      </vt:variant>
      <vt:variant>
        <vt:i4>1</vt:i4>
      </vt:variant>
    </vt:vector>
  </HeadingPairs>
  <TitlesOfParts>
    <vt:vector size="1" baseType="lpstr">
      <vt:lpstr>Submission 848 Expanded Point-by-Point Rebuttal</vt:lpstr>
    </vt:vector>
  </TitlesOfParts>
  <Manager/>
  <Company/>
  <LinksUpToDate>false</LinksUpToDate>
  <CharactersWithSpaces>68728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848 Expanded Point-by-Point Rebuttal</dc:title>
  <dc:subject>NeurIPS 2026 Position Paper rebuttal</dc:subject>
  <dc:creator>Authors</dc:creator>
  <cp:keywords/>
  <dc:description>generated by python-docx</dc:description>
  <cp:lastModifiedBy>Yining Hua</cp:lastModifiedBy>
  <cp:revision>9</cp:revision>
  <dcterms:created xsi:type="dcterms:W3CDTF">2013-12-23T23:15:00Z</dcterms:created>
  <dcterms:modified xsi:type="dcterms:W3CDTF">2026-07-25T20:57:00Z</dcterms:modified>
  <cp:category/>
</cp:coreProperties>
</file>