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第一场 茶楼</w:t>
      </w:r>
    </w:p>
    <w:p>
      <w:r>
        <w:t>甲走进茶楼，选了个靠窗的座位。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物品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玉牌</w:t>
            </w:r>
          </w:p>
        </w:tc>
        <w:tc>
          <w:tcPr>
            <w:tcW w:type="dxa" w:w="4320"/>
          </w:tcPr>
          <w:p>
            <w:r>
              <w:t>信物</w:t>
            </w:r>
          </w:p>
        </w:tc>
      </w:tr>
    </w:tbl>
    <w:p>
      <w:r>
        <w:t>乙递出一枚玉牌。</w:t>
      </w:r>
    </w:p>
    <w:p>
      <w:pPr>
        <w:pStyle w:val="Heading1"/>
      </w:pPr>
      <w:r>
        <w:t>第二场 长街</w:t>
      </w:r>
    </w:p>
    <w:p>
      <w:r>
        <w:t>两人从茶楼出来，雨刚停。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页脚装饰 请勿外传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剧本草稿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最小剧本夹具（本轮自造，非真实作品）</dc:title>
  <dc:subject/>
  <dc:creator>python-docx</dc:creator>
  <cp:keywords/>
  <dc:description>SYNTHETIC fixture built by tools/c02_make_synth_fixtures.py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