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6" w:after="0"/>
        <w:jc w:val="center"/>
        <w:rPr>
          <w:rFonts w:ascii="华文中宋;汉仪书宋二KW" w:hAnsi="华文中宋;汉仪书宋二KW" w:eastAsia="华文中宋;汉仪书宋二KW" w:cs="华文中宋;汉仪书宋二KW" w:hint="eastAsia"/>
          <w:sz w:val="48"/>
          <w:lang w:eastAsia="en-US"/>
        </w:rPr>
      </w:pPr>
      <w:r>
        <w:rPr>
          <w:rFonts w:eastAsia="华文中宋;汉仪书宋二KW" w:cs="华文中宋;汉仪书宋二KW" w:hint="eastAsia" w:ascii="华文中宋;汉仪书宋二KW" w:hAnsi="华文中宋;汉仪书宋二KW"/>
          <w:sz w:val="48"/>
          <w:lang w:eastAsia="en-US"/>
        </w:rPr>
        <mc:AlternateContent>
          <mc:Choice Requires="wpg">
            <w:drawing>
              <wp:anchor distT="0" distB="0" distL="114935" distR="114935" simplePos="0" relativeHeight="2" behindDoc="0" locked="0" layoutInCell="0" allowOverlap="1">
                <wp:simplePos x="0" y="0"/>
                <wp:positionH relativeFrom="column">
                  <wp:posOffset>800100</wp:posOffset>
                </wp:positionH>
                <wp:positionV relativeFrom="paragraph">
                  <wp:posOffset>495300</wp:posOffset>
                </wp:positionV>
                <wp:extent cx="3676015" cy="735330"/>
                <wp:effectExtent l="0" t="0" r="0" b="0"/>
                <wp:wrapSquare wrapText="bothSides"/>
                <wp:docPr id="1" name="组合 2"/>
                <a:graphic xmlns:a="http://schemas.openxmlformats.org/drawingml/2006/main">
                  <a:graphicData uri="http://schemas.microsoft.com/office/word/2010/wordprocessingGroup">
                    <wpg:wgp>
                      <wpg:cNvGrpSpPr/>
                      <wpg:grpSpPr>
                        <a:xfrm>
                          <a:off x="0" y="0"/>
                          <a:ext cx="3675960" cy="735480"/>
                          <a:chOff x="0" y="0"/>
                          <a:chExt cx="3675960" cy="735480"/>
                        </a:xfrm>
                      </wpg:grpSpPr>
                      <pic:pic xmlns:pic="http://schemas.openxmlformats.org/drawingml/2006/picture">
                        <pic:nvPicPr>
                          <pic:cNvPr id="2" name="图片 3"/>
                          <pic:cNvPicPr/>
                        </pic:nvPicPr>
                        <pic:blipFill>
                          <a:blip r:embed="rId2">
                            <a:biLevel thresh="50000"/>
                            <a:lum contrast="-6000"/>
                          </a:blip>
                          <a:srcRect l="0" t="0" r="0" b="39654"/>
                          <a:stretch/>
                        </pic:blipFill>
                        <pic:spPr>
                          <a:xfrm>
                            <a:off x="1143000" y="0"/>
                            <a:ext cx="2532960" cy="735480"/>
                          </a:xfrm>
                          <a:prstGeom prst="rect">
                            <a:avLst/>
                          </a:prstGeom>
                          <a:noFill/>
                          <a:ln w="0">
                            <a:noFill/>
                          </a:ln>
                        </pic:spPr>
                      </pic:pic>
                      <pic:pic xmlns:pic="http://schemas.openxmlformats.org/drawingml/2006/picture">
                        <pic:nvPicPr>
                          <pic:cNvPr id="3" name="图片 4"/>
                          <pic:cNvPicPr/>
                        </pic:nvPicPr>
                        <pic:blipFill>
                          <a:blip r:embed="rId3"/>
                          <a:stretch/>
                        </pic:blipFill>
                        <pic:spPr>
                          <a:xfrm>
                            <a:off x="0" y="0"/>
                            <a:ext cx="722520" cy="723240"/>
                          </a:xfrm>
                          <a:prstGeom prst="rect">
                            <a:avLst/>
                          </a:prstGeom>
                          <a:noFill/>
                          <a:ln w="0">
                            <a:noFill/>
                          </a:ln>
                        </pic:spPr>
                      </pic:pic>
                    </wpg:wgp>
                  </a:graphicData>
                </a:graphic>
              </wp:anchor>
            </w:drawing>
          </mc:Choice>
          <mc:Fallback>
            <w:pict>
              <v:group id="shape_0" alt="组合 2" style="position:absolute;margin-left:63pt;margin-top:39pt;width:289.45pt;height:57.9pt" coordorigin="1260,780" coordsize="5789,1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060;top:780;width:3988;height:1157;mso-wrap-style:none;v-text-anchor:middle" type="_x0000_t75">
                  <v:imagedata r:id="rId4" o:detectmouseclick="t"/>
                  <v:stroke color="#3465a4" joinstyle="round" endcap="flat"/>
                  <w10:wrap type="square"/>
                </v:shape>
                <v:shape id="shape_0" stroked="f" o:allowincell="f" style="position:absolute;left:1260;top:780;width:1137;height:1138;mso-wrap-style:none;v-text-anchor:middle" type="_x0000_t75">
                  <v:imagedata r:id="rId5" o:detectmouseclick="t"/>
                  <v:stroke color="#3465a4" joinstyle="round" endcap="flat"/>
                  <w10:wrap type="square"/>
                </v:shape>
              </v:group>
            </w:pict>
          </mc:Fallback>
        </mc:AlternateContent>
      </w:r>
    </w:p>
    <w:p>
      <w:pPr>
        <w:pStyle w:val="Normal"/>
        <w:spacing w:before="156" w:after="0"/>
        <w:jc w:val="center"/>
        <w:rPr>
          <w:rFonts w:ascii="华文中宋;汉仪书宋二KW" w:hAnsi="华文中宋;汉仪书宋二KW" w:eastAsia="华文中宋;汉仪书宋二KW" w:cs="华文中宋;汉仪书宋二KW" w:hint="eastAsia"/>
          <w:sz w:val="48"/>
          <w:lang w:eastAsia="en-US"/>
        </w:rPr>
      </w:pPr>
      <w:r>
        <w:rPr>
          <w:rFonts w:eastAsia="华文中宋;汉仪书宋二KW" w:cs="华文中宋;汉仪书宋二KW" w:hint="eastAsia" w:ascii="华文中宋;汉仪书宋二KW" w:hAnsi="华文中宋;汉仪书宋二KW"/>
          <w:sz w:val="48"/>
          <w:lang w:eastAsia="en-US"/>
        </w:rPr>
      </w:r>
    </w:p>
    <w:p>
      <w:pPr>
        <w:pStyle w:val="Normal"/>
        <w:spacing w:before="156" w:after="0"/>
        <w:jc w:val="center"/>
        <w:rPr>
          <w:rFonts w:ascii="隶书;报隶-简" w:hAnsi="隶书;报隶-简" w:eastAsia="隶书;报隶-简" w:cs="隶书;报隶-简" w:hint="eastAsia"/>
          <w:sz w:val="72"/>
          <w:szCs w:val="72"/>
        </w:rPr>
      </w:pPr>
      <w:r>
        <w:rPr>
          <w:rFonts w:eastAsia="隶书;报隶-简" w:cs="隶书;报隶-简" w:hint="eastAsia" w:ascii="隶书;报隶-简" w:hAnsi="隶书;报隶-简"/>
          <w:sz w:val="72"/>
          <w:szCs w:val="72"/>
        </w:rPr>
      </w:r>
    </w:p>
    <w:p>
      <w:pPr>
        <w:pStyle w:val="Normal"/>
        <w:spacing w:before="156" w:after="0"/>
        <w:jc w:val="center"/>
        <w:rPr>
          <w:rFonts w:eastAsia="黑体;汉仪中黑KW" w:hint="eastAsia"/>
          <w:sz w:val="52"/>
          <w:szCs w:val="52"/>
        </w:rPr>
      </w:pPr>
      <w:r>
        <w:rPr>
          <w:rFonts w:ascii="隶书;报隶-简" w:hAnsi="隶书;报隶-简" w:cs="华文中宋;汉仪书宋二KW" w:hint="eastAsia" w:eastAsia="隶书;报隶-简"/>
          <w:sz w:val="72"/>
          <w:szCs w:val="72"/>
        </w:rPr>
        <w:t>软件与微电子学院</w:t>
      </w:r>
    </w:p>
    <w:p>
      <w:pPr>
        <w:pStyle w:val="Normal"/>
        <w:jc w:val="center"/>
        <w:rPr>
          <w:rFonts w:hint="eastAsia"/>
          <w:sz w:val="28"/>
          <w:szCs w:val="52"/>
        </w:rPr>
      </w:pPr>
      <w:r>
        <w:rPr>
          <w:rFonts w:hint="eastAsia" w:eastAsia="黑体;汉仪中黑KW"/>
          <w:sz w:val="52"/>
          <w:szCs w:val="52"/>
        </w:rPr>
        <w:t>开题材料</w:t>
      </w:r>
    </w:p>
    <w:p>
      <w:pPr>
        <w:pStyle w:val="Normal"/>
        <w:ind w:firstLineChars="514" w:startChars="0" w:start="0" w:endChars="0" w:end="0"/>
        <w:rPr>
          <w:rFonts w:hint="eastAsia"/>
          <w:sz w:val="28"/>
          <w:szCs w:val="52"/>
        </w:rPr>
      </w:pPr>
      <w:r>
        <w:rPr>
          <w:rFonts w:hint="eastAsia"/>
          <w:sz w:val="28"/>
          <w:szCs w:val="52"/>
        </w:rPr>
      </w:r>
    </w:p>
    <w:p>
      <w:pPr>
        <w:pStyle w:val="Normal"/>
        <w:ind w:firstLineChars="514" w:startChars="0" w:start="0" w:endChars="0" w:end="0"/>
        <w:rPr>
          <w:rFonts w:hint="eastAsia"/>
          <w:sz w:val="28"/>
          <w:szCs w:val="52"/>
        </w:rPr>
      </w:pPr>
      <w:r>
        <w:rPr>
          <w:rFonts w:hint="eastAsia"/>
          <w:sz w:val="28"/>
          <w:szCs w:val="52"/>
        </w:rPr>
      </w:r>
    </w:p>
    <w:tbl>
      <w:tblPr>
        <w:tblW w:w="5580" w:type="dxa"/>
        <w:jc w:val="start"/>
        <w:tblInd w:w="1548" w:type="dxa"/>
        <w:tblLayout w:type="fixed"/>
        <w:tblCellMar>
          <w:top w:w="0" w:type="dxa"/>
          <w:start w:w="108" w:type="dxa"/>
          <w:bottom w:w="0" w:type="dxa"/>
          <w:end w:w="108" w:type="dxa"/>
        </w:tblCellMar>
      </w:tblPr>
      <w:tblGrid>
        <w:gridCol w:w="1619"/>
        <w:gridCol w:w="3961"/>
      </w:tblGrid>
      <w:tr>
        <w:trPr/>
        <w:tc>
          <w:tcPr>
            <w:tcW w:w="1619" w:type="dxa"/>
            <w:tcBorders/>
          </w:tcPr>
          <w:p>
            <w:pPr>
              <w:pStyle w:val="Normal"/>
              <w:rPr/>
            </w:pPr>
            <w:r>
              <w:rPr>
                <w:rFonts w:ascii="仿宋_GB2312" w:hAnsi="仿宋_GB2312" w:cs="仿宋_GB2312" w:hint="eastAsia" w:eastAsia="仿宋_GB2312"/>
                <w:sz w:val="30"/>
              </w:rPr>
              <w:t>学    号</w:t>
            </w:r>
            <w:r>
              <w:rPr>
                <w:rFonts w:eastAsia="仿宋_GB2312" w:cs="仿宋_GB2312" w:hint="eastAsia" w:ascii="仿宋_GB2312" w:hAnsi="仿宋_GB2312"/>
                <w:sz w:val="30"/>
              </w:rPr>
              <w:t>:</w:t>
            </w:r>
          </w:p>
        </w:tc>
        <w:tc>
          <w:tcPr>
            <w:tcW w:w="3961" w:type="dxa"/>
            <w:tcBorders>
              <w:bottom w:val="single" w:sz="4" w:space="0" w:color="000000"/>
            </w:tcBorders>
          </w:tcPr>
          <w:p>
            <w:pPr>
              <w:pStyle w:val="Normal"/>
              <w:jc w:val="center"/>
              <w:rPr>
                <w:rFonts w:ascii="仿宋_GB2312" w:hAnsi="仿宋_GB2312" w:eastAsia="仿宋_GB2312" w:cs="仿宋_GB2312" w:hint="eastAsia"/>
                <w:sz w:val="30"/>
              </w:rPr>
            </w:pPr>
            <w:r>
              <w:rPr>
                <w:rFonts w:eastAsia="仿宋_GB2312" w:cs="仿宋_GB2312" w:hint="eastAsia" w:ascii="仿宋_GB2312" w:hAnsi="仿宋_GB2312"/>
                <w:sz w:val="30"/>
              </w:rPr>
              <w:t>2501220176</w:t>
            </w:r>
          </w:p>
        </w:tc>
      </w:tr>
      <w:tr>
        <w:trPr/>
        <w:tc>
          <w:tcPr>
            <w:tcW w:w="1619" w:type="dxa"/>
            <w:tcBorders/>
          </w:tcPr>
          <w:p>
            <w:pPr>
              <w:pStyle w:val="Normal"/>
              <w:rPr>
                <w:rFonts w:ascii="仿宋_GB2312" w:hAnsi="仿宋_GB2312" w:eastAsia="仿宋_GB2312" w:cs="仿宋_GB2312" w:hint="eastAsia"/>
                <w:sz w:val="30"/>
              </w:rPr>
            </w:pPr>
            <w:r>
              <w:rPr>
                <w:rFonts w:ascii="仿宋_GB2312" w:hAnsi="仿宋_GB2312" w:cs="仿宋_GB2312" w:hint="eastAsia" w:eastAsia="仿宋_GB2312"/>
                <w:sz w:val="30"/>
              </w:rPr>
              <w:t>姓    名：</w:t>
            </w:r>
          </w:p>
        </w:tc>
        <w:tc>
          <w:tcPr>
            <w:tcW w:w="3961" w:type="dxa"/>
            <w:tcBorders>
              <w:top w:val="single" w:sz="4" w:space="0" w:color="000000"/>
              <w:bottom w:val="single" w:sz="4" w:space="0" w:color="000000"/>
            </w:tcBorders>
          </w:tcPr>
          <w:p>
            <w:pPr>
              <w:pStyle w:val="Normal"/>
              <w:jc w:val="center"/>
              <w:rPr>
                <w:rFonts w:ascii="仿宋_GB2312" w:hAnsi="仿宋_GB2312" w:eastAsia="仿宋_GB2312" w:cs="仿宋_GB2312" w:hint="eastAsia"/>
                <w:sz w:val="30"/>
              </w:rPr>
            </w:pPr>
            <w:r>
              <w:rPr>
                <w:rFonts w:ascii="仿宋_GB2312" w:hAnsi="仿宋_GB2312" w:cs="仿宋_GB2312" w:hint="eastAsia" w:eastAsia="仿宋_GB2312"/>
                <w:sz w:val="30"/>
              </w:rPr>
              <w:t>宁业栋</w:t>
            </w:r>
          </w:p>
        </w:tc>
      </w:tr>
      <w:tr>
        <w:trPr/>
        <w:tc>
          <w:tcPr>
            <w:tcW w:w="1619" w:type="dxa"/>
            <w:tcBorders/>
          </w:tcPr>
          <w:p>
            <w:pPr>
              <w:pStyle w:val="Normal"/>
              <w:rPr>
                <w:rFonts w:ascii="仿宋_GB2312" w:hAnsi="仿宋_GB2312" w:eastAsia="仿宋_GB2312" w:cs="仿宋_GB2312" w:hint="eastAsia"/>
                <w:sz w:val="30"/>
              </w:rPr>
            </w:pPr>
            <w:r>
              <w:rPr>
                <w:rFonts w:ascii="仿宋_GB2312" w:hAnsi="仿宋_GB2312" w:cs="仿宋_GB2312" w:hint="eastAsia" w:eastAsia="仿宋_GB2312"/>
                <w:sz w:val="30"/>
              </w:rPr>
              <w:t>专    业：</w:t>
            </w:r>
          </w:p>
        </w:tc>
        <w:tc>
          <w:tcPr>
            <w:tcW w:w="3961" w:type="dxa"/>
            <w:tcBorders>
              <w:top w:val="single" w:sz="4" w:space="0" w:color="000000"/>
              <w:bottom w:val="single" w:sz="4" w:space="0" w:color="000000"/>
            </w:tcBorders>
          </w:tcPr>
          <w:p>
            <w:pPr>
              <w:pStyle w:val="Normal"/>
              <w:jc w:val="center"/>
              <w:rPr>
                <w:rFonts w:ascii="仿宋_GB2312" w:hAnsi="仿宋_GB2312" w:eastAsia="仿宋_GB2312" w:cs="仿宋_GB2312" w:hint="eastAsia"/>
                <w:sz w:val="30"/>
              </w:rPr>
            </w:pPr>
            <w:r>
              <w:rPr>
                <w:rFonts w:ascii="仿宋_GB2312" w:hAnsi="仿宋_GB2312" w:cs="仿宋_GB2312" w:hint="eastAsia" w:eastAsia="仿宋_GB2312"/>
                <w:sz w:val="30"/>
              </w:rPr>
              <w:t>工程管理</w:t>
            </w:r>
          </w:p>
        </w:tc>
      </w:tr>
      <w:tr>
        <w:trPr/>
        <w:tc>
          <w:tcPr>
            <w:tcW w:w="1619" w:type="dxa"/>
            <w:tcBorders/>
          </w:tcPr>
          <w:p>
            <w:pPr>
              <w:pStyle w:val="Normal"/>
              <w:rPr>
                <w:rFonts w:ascii="仿宋_GB2312" w:hAnsi="仿宋_GB2312" w:eastAsia="仿宋_GB2312" w:cs="仿宋_GB2312" w:hint="eastAsia"/>
                <w:sz w:val="30"/>
              </w:rPr>
            </w:pPr>
            <w:r>
              <w:rPr>
                <w:rFonts w:ascii="仿宋_GB2312" w:hAnsi="仿宋_GB2312" w:cs="仿宋_GB2312" w:hint="eastAsia" w:eastAsia="仿宋_GB2312"/>
                <w:sz w:val="30"/>
              </w:rPr>
              <w:t>研究方向：</w:t>
            </w:r>
          </w:p>
        </w:tc>
        <w:tc>
          <w:tcPr>
            <w:tcW w:w="3961" w:type="dxa"/>
            <w:tcBorders>
              <w:top w:val="single" w:sz="4" w:space="0" w:color="000000"/>
              <w:bottom w:val="single" w:sz="4" w:space="0" w:color="000000"/>
            </w:tcBorders>
          </w:tcPr>
          <w:p>
            <w:pPr>
              <w:pStyle w:val="Normal"/>
              <w:jc w:val="center"/>
              <w:rPr>
                <w:rFonts w:ascii="仿宋_GB2312" w:hAnsi="仿宋_GB2312" w:eastAsia="仿宋_GB2312" w:cs="仿宋_GB2312" w:hint="eastAsia"/>
                <w:sz w:val="30"/>
              </w:rPr>
            </w:pPr>
            <w:r>
              <w:rPr>
                <w:rFonts w:ascii="仿宋_GB2312" w:hAnsi="仿宋_GB2312" w:cs="仿宋_GB2312" w:hint="eastAsia" w:eastAsia="仿宋_GB2312"/>
                <w:sz w:val="30"/>
              </w:rPr>
              <w:t>人工智能</w:t>
            </w:r>
          </w:p>
        </w:tc>
      </w:tr>
      <w:tr>
        <w:trPr/>
        <w:tc>
          <w:tcPr>
            <w:tcW w:w="1619" w:type="dxa"/>
            <w:tcBorders/>
          </w:tcPr>
          <w:p>
            <w:pPr>
              <w:pStyle w:val="Normal"/>
              <w:rPr>
                <w:rFonts w:ascii="仿宋_GB2312" w:hAnsi="仿宋_GB2312" w:eastAsia="仿宋_GB2312" w:cs="仿宋_GB2312" w:hint="eastAsia"/>
                <w:sz w:val="30"/>
              </w:rPr>
            </w:pPr>
            <w:r>
              <w:rPr>
                <w:rFonts w:ascii="仿宋_GB2312" w:hAnsi="仿宋_GB2312" w:cs="仿宋_GB2312" w:hint="eastAsia" w:eastAsia="仿宋_GB2312"/>
                <w:sz w:val="30"/>
              </w:rPr>
              <w:t>导    师：</w:t>
            </w:r>
          </w:p>
        </w:tc>
        <w:tc>
          <w:tcPr>
            <w:tcW w:w="3961" w:type="dxa"/>
            <w:tcBorders>
              <w:top w:val="single" w:sz="4" w:space="0" w:color="000000"/>
              <w:bottom w:val="single" w:sz="4" w:space="0" w:color="000000"/>
            </w:tcBorders>
          </w:tcPr>
          <w:p>
            <w:pPr>
              <w:pStyle w:val="Normal"/>
              <w:jc w:val="center"/>
              <w:rPr>
                <w:rFonts w:ascii="仿宋_GB2312" w:hAnsi="仿宋_GB2312" w:eastAsia="仿宋_GB2312" w:cs="仿宋_GB2312" w:hint="eastAsia"/>
                <w:sz w:val="28"/>
              </w:rPr>
            </w:pPr>
            <w:r>
              <w:rPr>
                <w:rFonts w:ascii="仿宋_GB2312" w:hAnsi="仿宋_GB2312" w:cs="仿宋_GB2312" w:hint="eastAsia" w:eastAsia="仿宋_GB2312"/>
                <w:sz w:val="28"/>
              </w:rPr>
              <w:t>康劲</w:t>
            </w:r>
          </w:p>
        </w:tc>
      </w:tr>
    </w:tbl>
    <w:p>
      <w:pPr>
        <w:pStyle w:val="Normal"/>
        <w:ind w:firstLineChars="514" w:startChars="0" w:start="0" w:endChars="0" w:end="0"/>
        <w:rPr>
          <w:rFonts w:hint="eastAsia"/>
          <w:sz w:val="24"/>
        </w:rPr>
      </w:pPr>
      <w:r>
        <w:rPr>
          <w:rFonts w:hint="eastAsia"/>
          <w:sz w:val="24"/>
        </w:rPr>
      </w:r>
    </w:p>
    <w:p>
      <w:pPr>
        <w:pStyle w:val="Normal"/>
        <w:ind w:firstLineChars="514" w:startChars="0" w:start="0" w:endChars="0" w:end="0"/>
        <w:rPr>
          <w:rFonts w:hint="eastAsia"/>
          <w:sz w:val="24"/>
        </w:rPr>
      </w:pPr>
      <w:r>
        <w:rPr>
          <w:rFonts w:hint="eastAsia"/>
          <w:sz w:val="24"/>
        </w:rPr>
      </w:r>
    </w:p>
    <w:p>
      <w:pPr>
        <w:pStyle w:val="Normal"/>
        <w:spacing w:lineRule="auto" w:line="360"/>
        <w:ind w:firstLineChars="342" w:startChars="0" w:start="0" w:endChars="0" w:end="0"/>
        <w:rPr>
          <w:rFonts w:hint="eastAsia"/>
          <w:szCs w:val="21"/>
        </w:rPr>
      </w:pPr>
      <w:r>
        <w:rPr>
          <w:rFonts w:hint="eastAsia"/>
          <w:szCs w:val="21"/>
        </w:rPr>
        <w:t>学位审批材料包括：</w:t>
      </w:r>
    </w:p>
    <w:tbl>
      <w:tblPr>
        <w:tblW w:w="7380" w:type="dxa"/>
        <w:jc w:val="start"/>
        <w:tblInd w:w="648" w:type="dxa"/>
        <w:tblLayout w:type="fixed"/>
        <w:tblCellMar>
          <w:top w:w="0" w:type="dxa"/>
          <w:start w:w="108" w:type="dxa"/>
          <w:bottom w:w="0" w:type="dxa"/>
          <w:end w:w="108" w:type="dxa"/>
        </w:tblCellMar>
      </w:tblPr>
      <w:tblGrid>
        <w:gridCol w:w="6839"/>
        <w:gridCol w:w="541"/>
      </w:tblGrid>
      <w:tr>
        <w:trPr/>
        <w:tc>
          <w:tcPr>
            <w:tcW w:w="683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3"/>
              </w:numPr>
              <w:tabs>
                <w:tab w:val="clear" w:pos="420"/>
                <w:tab w:val="left" w:pos="360" w:leader="none"/>
              </w:tabs>
              <w:snapToGrid w:val="false"/>
              <w:rPr/>
            </w:pPr>
            <w:r>
              <w:rPr>
                <w:rFonts w:hint="eastAsia"/>
                <w:szCs w:val="21"/>
              </w:rPr>
              <w:t>开题申请表</w:t>
            </w:r>
          </w:p>
        </w:tc>
        <w:tc>
          <w:tcPr>
            <w:tcW w:w="54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Cs w:val="21"/>
              </w:rPr>
            </w:pPr>
            <w:r>
              <w:rPr>
                <w:rFonts w:hint="eastAsia"/>
                <w:szCs w:val="21"/>
              </w:rPr>
            </w:r>
          </w:p>
        </w:tc>
      </w:tr>
      <w:tr>
        <w:trPr/>
        <w:tc>
          <w:tcPr>
            <w:tcW w:w="683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420"/>
                <w:tab w:val="left" w:pos="360" w:leader="none"/>
              </w:tabs>
              <w:snapToGrid w:val="false"/>
              <w:rPr/>
            </w:pPr>
            <w:r>
              <w:rPr>
                <w:rFonts w:hint="eastAsia"/>
                <w:szCs w:val="21"/>
              </w:rPr>
              <w:t>开题评审表</w:t>
            </w:r>
          </w:p>
        </w:tc>
        <w:tc>
          <w:tcPr>
            <w:tcW w:w="54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Cs w:val="21"/>
              </w:rPr>
            </w:pPr>
            <w:r>
              <w:rPr>
                <w:rFonts w:hint="eastAsia"/>
                <w:szCs w:val="21"/>
              </w:rPr>
            </w:r>
          </w:p>
        </w:tc>
      </w:tr>
      <w:tr>
        <w:trPr/>
        <w:tc>
          <w:tcPr>
            <w:tcW w:w="6839" w:type="dxa"/>
            <w:tcBorders>
              <w:top w:val="single" w:sz="4" w:space="0" w:color="000000"/>
              <w:start w:val="single" w:sz="4" w:space="0" w:color="000000"/>
              <w:bottom w:val="single" w:sz="4" w:space="0" w:color="000000"/>
              <w:end w:val="single" w:sz="4" w:space="0" w:color="000000"/>
            </w:tcBorders>
            <w:vAlign w:val="center"/>
          </w:tcPr>
          <w:p>
            <w:pPr>
              <w:pStyle w:val="Normal"/>
              <w:numPr>
                <w:ilvl w:val="0"/>
                <w:numId w:val="2"/>
              </w:numPr>
              <w:tabs>
                <w:tab w:val="clear" w:pos="420"/>
                <w:tab w:val="left" w:pos="360" w:leader="none"/>
              </w:tabs>
              <w:snapToGrid w:val="false"/>
              <w:rPr/>
            </w:pPr>
            <w:r>
              <w:rPr>
                <w:rFonts w:hint="eastAsia"/>
                <w:szCs w:val="21"/>
              </w:rPr>
              <w:t>其他</w:t>
            </w:r>
          </w:p>
        </w:tc>
        <w:tc>
          <w:tcPr>
            <w:tcW w:w="54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Cs w:val="21"/>
              </w:rPr>
            </w:pPr>
            <w:r>
              <w:rPr>
                <w:rFonts w:hint="eastAsia"/>
                <w:szCs w:val="21"/>
              </w:rPr>
            </w:r>
          </w:p>
        </w:tc>
      </w:tr>
    </w:tbl>
    <w:p>
      <w:pPr>
        <w:pStyle w:val="Normal"/>
        <w:jc w:val="center"/>
        <w:rPr>
          <w:rFonts w:eastAsia="黑体;汉仪中黑KW" w:hint="eastAsia"/>
          <w:sz w:val="28"/>
        </w:rPr>
      </w:pPr>
      <w:r>
        <w:rPr>
          <w:rFonts w:eastAsia="黑体;汉仪中黑KW" w:hint="eastAsia"/>
          <w:sz w:val="28"/>
        </w:rPr>
      </w:r>
    </w:p>
    <w:p>
      <w:pPr>
        <w:pStyle w:val="Normal"/>
        <w:jc w:val="center"/>
        <w:rPr>
          <w:rFonts w:eastAsia="黑体;汉仪中黑KW" w:hint="eastAsia"/>
          <w:sz w:val="28"/>
        </w:rPr>
      </w:pPr>
      <w:r>
        <w:rPr>
          <w:rFonts w:eastAsia="黑体;汉仪中黑KW" w:hint="eastAsia"/>
          <w:sz w:val="28"/>
        </w:rPr>
      </w:r>
    </w:p>
    <w:p>
      <w:pPr>
        <w:pStyle w:val="Normal"/>
        <w:rPr>
          <w:rFonts w:eastAsia="黑体;汉仪中黑KW" w:hint="eastAsia"/>
          <w:sz w:val="28"/>
        </w:rPr>
      </w:pPr>
      <w:r>
        <w:rPr>
          <w:rFonts w:eastAsia="黑体;汉仪中黑KW" w:hint="eastAsia"/>
          <w:sz w:val="28"/>
        </w:rPr>
      </w:r>
    </w:p>
    <w:p>
      <w:pPr>
        <w:pStyle w:val="Normal"/>
        <w:jc w:val="center"/>
        <w:rPr>
          <w:rFonts w:hint="eastAsia"/>
          <w:sz w:val="28"/>
        </w:rPr>
      </w:pPr>
      <w:r>
        <w:rPr>
          <w:sz w:val="28"/>
        </w:rPr>
        <w:t>202</w:t>
      </w:r>
      <w:r>
        <w:rPr>
          <w:rFonts w:hint="eastAsia"/>
          <w:sz w:val="28"/>
        </w:rPr>
        <w:t>6</w:t>
      </w:r>
      <w:r>
        <w:rPr>
          <w:rFonts w:hint="eastAsia"/>
          <w:sz w:val="28"/>
        </w:rPr>
        <w:t xml:space="preserve">年 </w:t>
      </w:r>
      <w:r>
        <w:rPr>
          <w:sz w:val="28"/>
        </w:rPr>
        <w:t>10</w:t>
      </w:r>
      <w:r>
        <w:rPr>
          <w:rFonts w:hint="eastAsia"/>
          <w:sz w:val="28"/>
        </w:rPr>
        <w:t xml:space="preserve"> </w:t>
      </w:r>
      <w:r>
        <w:rPr>
          <w:rFonts w:hint="eastAsia"/>
          <w:sz w:val="28"/>
        </w:rPr>
        <w:t xml:space="preserve">月 </w:t>
      </w:r>
      <w:r>
        <w:rPr>
          <w:rFonts w:hint="eastAsia"/>
          <w:sz w:val="28"/>
        </w:rPr>
        <w:t>24</w:t>
      </w:r>
      <w:r>
        <w:rPr>
          <w:rFonts w:hint="eastAsia"/>
          <w:sz w:val="28"/>
        </w:rPr>
        <w:t>日</w:t>
      </w:r>
    </w:p>
    <w:p>
      <w:pPr>
        <w:pStyle w:val="Normal"/>
        <w:rPr>
          <w:rFonts w:hint="eastAsia"/>
          <w:sz w:val="28"/>
        </w:rPr>
      </w:pPr>
      <w:r>
        <w:rPr>
          <w:rFonts w:hint="eastAsia"/>
          <w:sz w:val="28"/>
        </w:rPr>
      </w:r>
    </w:p>
    <w:p>
      <w:pPr>
        <w:pStyle w:val="Normal"/>
        <w:jc w:val="center"/>
        <w:rPr>
          <w:rStyle w:val="wb1"/>
          <w:rFonts w:hint="eastAsia"/>
          <w:b/>
          <w:bCs/>
          <w:sz w:val="30"/>
        </w:rPr>
      </w:pPr>
      <w:r>
        <w:rPr>
          <w:rStyle w:val="wb1"/>
          <w:rFonts w:hint="eastAsia"/>
          <w:b/>
          <w:bCs/>
          <w:sz w:val="30"/>
        </w:rPr>
        <w:t>北京大学软件与微电子学院</w:t>
      </w:r>
    </w:p>
    <w:p>
      <w:pPr>
        <w:pStyle w:val="Normal"/>
        <w:jc w:val="center"/>
        <w:rPr>
          <w:rFonts w:hint="eastAsia"/>
          <w:b/>
          <w:bCs/>
          <w:sz w:val="24"/>
        </w:rPr>
      </w:pPr>
      <w:r>
        <w:rPr>
          <w:rStyle w:val="wb1"/>
          <w:rFonts w:hint="eastAsia"/>
          <w:b/>
          <w:bCs/>
          <w:sz w:val="30"/>
        </w:rPr>
        <w:t>论文</w:t>
      </w:r>
      <w:r>
        <w:rPr>
          <w:rFonts w:hint="eastAsia"/>
          <w:b/>
          <w:bCs/>
          <w:sz w:val="30"/>
        </w:rPr>
        <w:t>开题报告申请表</w:t>
      </w:r>
    </w:p>
    <w:p>
      <w:pPr>
        <w:pStyle w:val="Normal"/>
        <w:rPr>
          <w:rFonts w:hint="eastAsia"/>
          <w:b/>
          <w:bCs/>
          <w:sz w:val="24"/>
        </w:rPr>
      </w:pPr>
      <w:r>
        <w:rPr>
          <w:rFonts w:hint="eastAsia"/>
          <w:b/>
          <w:bCs/>
          <w:sz w:val="24"/>
        </w:rPr>
      </w:r>
    </w:p>
    <w:tbl>
      <w:tblPr>
        <w:tblW w:w="8763" w:type="dxa"/>
        <w:jc w:val="start"/>
        <w:tblInd w:w="0" w:type="dxa"/>
        <w:tblLayout w:type="fixed"/>
        <w:tblCellMar>
          <w:top w:w="0" w:type="dxa"/>
          <w:start w:w="108" w:type="dxa"/>
          <w:bottom w:w="0" w:type="dxa"/>
          <w:end w:w="108" w:type="dxa"/>
        </w:tblCellMar>
      </w:tblPr>
      <w:tblGrid>
        <w:gridCol w:w="467"/>
        <w:gridCol w:w="199"/>
        <w:gridCol w:w="1714"/>
        <w:gridCol w:w="787"/>
        <w:gridCol w:w="1981"/>
        <w:gridCol w:w="3615"/>
      </w:tblGrid>
      <w:tr>
        <w:trPr>
          <w:trHeight w:val="465" w:hRule="atLeast"/>
        </w:trPr>
        <w:tc>
          <w:tcPr>
            <w:tcW w:w="666"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学生姓名</w:t>
            </w:r>
          </w:p>
        </w:tc>
        <w:tc>
          <w:tcPr>
            <w:tcW w:w="17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宁业栋</w:t>
            </w:r>
          </w:p>
        </w:tc>
        <w:tc>
          <w:tcPr>
            <w:tcW w:w="7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论文名称</w:t>
            </w:r>
          </w:p>
        </w:tc>
        <w:tc>
          <w:tcPr>
            <w:tcW w:w="5596"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面向边缘智能场景的小型机械臂云边协同控制系统的设计</w:t>
            </w:r>
          </w:p>
        </w:tc>
      </w:tr>
      <w:tr>
        <w:trPr>
          <w:trHeight w:val="846" w:hRule="atLeast"/>
        </w:trPr>
        <w:tc>
          <w:tcPr>
            <w:tcW w:w="666"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论文类型</w:t>
            </w:r>
          </w:p>
        </w:tc>
        <w:tc>
          <w:tcPr>
            <w:tcW w:w="250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hint="eastAsia"/>
              </w:rPr>
              <w:t>工程类</w:t>
            </w:r>
            <w:r>
              <w:rPr>
                <w:rFonts w:ascii="Segoe UI Symbol;苹方-简" w:hAnsi="Segoe UI Symbol;苹方-简" w:cs="Segoe UI Symbol;苹方-简" w:hint="eastAsia"/>
                <w:sz w:val="36"/>
              </w:rPr>
              <w:t>☑</w:t>
            </w:r>
            <w:r>
              <w:rPr>
                <w:rFonts w:hint="eastAsia"/>
                <w:sz w:val="30"/>
              </w:rPr>
              <w:t>／</w:t>
            </w:r>
            <w:r>
              <w:rPr>
                <w:rFonts w:hint="eastAsia"/>
              </w:rPr>
              <w:t>研究类</w:t>
            </w:r>
            <w:r>
              <w:rPr>
                <w:rFonts w:ascii="宋体;汉仪书宋二KW" w:hAnsi="宋体;汉仪书宋二KW" w:cs="宋体;汉仪书宋二KW" w:hint="eastAsia"/>
                <w:sz w:val="36"/>
              </w:rPr>
              <w:t>□</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实习单位名称</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北京大学</w:t>
            </w:r>
          </w:p>
        </w:tc>
      </w:tr>
      <w:tr>
        <w:trPr>
          <w:trHeight w:val="435" w:hRule="atLeast"/>
        </w:trPr>
        <w:tc>
          <w:tcPr>
            <w:tcW w:w="666"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申请开题日期</w:t>
            </w:r>
          </w:p>
        </w:tc>
        <w:tc>
          <w:tcPr>
            <w:tcW w:w="250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hint="eastAsia"/>
              </w:rPr>
              <w:t xml:space="preserve">  </w:t>
            </w:r>
            <w:r>
              <w:rPr/>
              <w:t>202</w:t>
            </w:r>
            <w:r>
              <w:rPr>
                <w:rFonts w:hint="eastAsia"/>
              </w:rPr>
              <w:t>6</w:t>
            </w:r>
            <w:r>
              <w:rPr>
                <w:rFonts w:hint="eastAsia"/>
              </w:rPr>
              <w:t>年</w:t>
            </w:r>
            <w:r>
              <w:rPr/>
              <w:t>10</w:t>
            </w:r>
            <w:r>
              <w:rPr>
                <w:rFonts w:hint="eastAsia"/>
              </w:rPr>
              <w:t>月</w:t>
            </w:r>
            <w:r>
              <w:rPr>
                <w:rFonts w:hint="eastAsia"/>
              </w:rPr>
              <w:t>24</w:t>
            </w:r>
            <w:r>
              <w:rPr>
                <w:rFonts w:hint="eastAsia"/>
              </w:rPr>
              <w:t>日</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企业合作导师</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康劲</w:t>
            </w:r>
          </w:p>
        </w:tc>
      </w:tr>
      <w:tr>
        <w:trPr>
          <w:trHeight w:val="459" w:hRule="atLeast"/>
        </w:trPr>
        <w:tc>
          <w:tcPr>
            <w:tcW w:w="666"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汉仪书宋二KW" w:hint="eastAsia"/>
              </w:rPr>
            </w:pPr>
            <w:r>
              <w:rPr>
                <w:rFonts w:eastAsia="宋体;汉仪书宋二KW" w:hint="eastAsia"/>
              </w:rPr>
            </w:r>
          </w:p>
        </w:tc>
        <w:tc>
          <w:tcPr>
            <w:tcW w:w="2501"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宋体;汉仪书宋二KW" w:hint="eastAsia"/>
              </w:rPr>
            </w:pPr>
            <w:r>
              <w:rPr>
                <w:rFonts w:eastAsia="宋体;汉仪书宋二KW" w:hint="eastAsia"/>
              </w:rPr>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学院指导教师</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曹健</w:t>
            </w:r>
          </w:p>
        </w:tc>
      </w:tr>
      <w:tr>
        <w:trPr>
          <w:trHeight w:val="459" w:hRule="atLeast"/>
        </w:trPr>
        <w:tc>
          <w:tcPr>
            <w:tcW w:w="666"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学生承担角色</w:t>
            </w:r>
          </w:p>
        </w:tc>
        <w:tc>
          <w:tcPr>
            <w:tcW w:w="250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方案设计及系统开发</w:t>
            </w:r>
          </w:p>
        </w:tc>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整体项目参加人数</w:t>
            </w:r>
          </w:p>
        </w:tc>
        <w:tc>
          <w:tcPr>
            <w:tcW w:w="36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1</w:t>
            </w:r>
          </w:p>
        </w:tc>
      </w:tr>
      <w:tr>
        <w:trPr>
          <w:trHeight w:val="1289" w:hRule="atLeast"/>
        </w:trPr>
        <w:tc>
          <w:tcPr>
            <w:tcW w:w="4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技术背景</w:t>
            </w:r>
          </w:p>
        </w:tc>
        <w:tc>
          <w:tcPr>
            <w:tcW w:w="8296" w:type="dxa"/>
            <w:gridSpan w:val="5"/>
            <w:tcBorders>
              <w:top w:val="single" w:sz="4" w:space="0" w:color="000000"/>
              <w:start w:val="single" w:sz="4" w:space="0" w:color="000000"/>
              <w:bottom w:val="single" w:sz="4" w:space="0" w:color="000000"/>
              <w:end w:val="single" w:sz="4" w:space="0" w:color="000000"/>
            </w:tcBorders>
          </w:tcPr>
          <w:p>
            <w:pPr>
              <w:pStyle w:val="Normal"/>
              <w:rPr>
                <w:rFonts w:cs="Times New Roman" w:hint="eastAsia"/>
                <w:b/>
                <w:bCs/>
                <w:color w:val="000000"/>
                <w:sz w:val="24"/>
                <w:szCs w:val="24"/>
              </w:rPr>
            </w:pPr>
            <w:r>
              <w:rPr>
                <w:rFonts w:hint="eastAsia"/>
              </w:rPr>
              <w:t>（意义、国内外现状及立项依据，附主要参考文献）</w:t>
            </w:r>
          </w:p>
          <w:p>
            <w:pPr>
              <w:pStyle w:val="BodyText"/>
              <w:rPr>
                <w:rFonts w:ascii="Times New Roman" w:hAnsi="Times New Roman" w:cs="Times New Roman"/>
                <w:color w:val="000000"/>
                <w:sz w:val="24"/>
                <w:szCs w:val="24"/>
              </w:rPr>
            </w:pPr>
            <w:r>
              <w:rPr>
                <w:rFonts w:cs="Times New Roman" w:hint="eastAsia"/>
                <w:b/>
                <w:bCs/>
                <w:color w:val="000000"/>
                <w:sz w:val="24"/>
                <w:szCs w:val="24"/>
              </w:rPr>
              <w:t>1.</w:t>
            </w:r>
            <w:r>
              <w:rPr>
                <w:rFonts w:cs="Times New Roman" w:hint="eastAsia"/>
                <w:b/>
                <w:bCs/>
                <w:color w:val="000000"/>
                <w:sz w:val="24"/>
                <w:szCs w:val="24"/>
              </w:rPr>
              <w:t>研究背景及意义</w:t>
            </w:r>
          </w:p>
          <w:p>
            <w:pPr>
              <w:pStyle w:val="BodyText"/>
              <w:rPr>
                <w:rFonts w:ascii="Times New Roman" w:hAnsi="Times New Roman" w:cs="Times New Roman"/>
                <w:color w:val="000000"/>
                <w:sz w:val="24"/>
                <w:szCs w:val="24"/>
              </w:rPr>
            </w:pPr>
            <w:r>
              <w:rPr>
                <w:rFonts w:ascii="Times New Roman" w:hAnsi="Times New Roman" w:cs="Times New Roman"/>
                <w:color w:val="000000"/>
                <w:sz w:val="24"/>
                <w:szCs w:val="24"/>
              </w:rPr>
              <w:t>近年来，随着人工智能与机器人技术的融合，机器人操作正由依赖预设程序的固定重复任务，向需要环境感知、任务理解、自主规划和动态调整的任务拓展。在抓取、分拣、搬运及多步骤操作中，系统不仅需要识别目标位置，还需要理解指令、推理物体关系和执行顺序，并利用视觉、深度与本体反馈调整操作。</w:t>
            </w:r>
            <w:r>
              <w:rPr/>
              <w:t>针对复杂机器人操作的技术发展，</w:t>
            </w:r>
            <w:r>
              <w:rPr/>
              <w:t>Bai</w:t>
            </w:r>
            <w:r>
              <w:rPr/>
              <w:t>等从高层规划与低层动作建模两个维度系统梳理了基础模型驱动的机器人操作方法，指出复杂操作不仅依赖模型对任务语义和环境信息的理解，还需要将高层推理结果转化为满足物理约束的可执行动作，因而任务规划与动作执行之间的有效衔接是实现可靠操作的重要条件</w:t>
            </w:r>
            <w:r>
              <w:rPr>
                <w:rFonts w:eastAsia="宋体;汉仪书宋二KW" w:cs="Times New Roman"/>
                <w:color w:val="000000"/>
                <w:sz w:val="24"/>
                <w:szCs w:val="24"/>
                <w:vertAlign w:val="superscript"/>
              </w:rPr>
              <w:t>[1]</w:t>
            </w:r>
            <w:r>
              <w:rPr>
                <w:rFonts w:ascii="Times New Roman" w:hAnsi="Times New Roman" w:cs="Times New Roman"/>
                <w:color w:val="000000"/>
                <w:sz w:val="24"/>
                <w:szCs w:val="24"/>
              </w:rPr>
              <w:t>；</w:t>
            </w:r>
            <w:r>
              <w:rPr/>
              <w:t>Ma</w:t>
            </w:r>
            <w:r>
              <w:rPr/>
              <w:t>等进一步将视觉—语言—动作（</w:t>
            </w:r>
            <w:r>
              <w:rPr/>
              <w:t>Vision-Language-Action</w:t>
            </w:r>
            <w:r>
              <w:rPr/>
              <w:t>，</w:t>
            </w:r>
            <w:r>
              <w:rPr/>
              <w:t>VLA</w:t>
            </w:r>
            <w:r>
              <w:rPr/>
              <w:t>）模型研究划分为模型组件、低层动作策略和高层任务规划三个方向，揭示了多模态基础模型向机器人控制系统演进过程中，高层语义推理与低层动作生成逐步协同发展的技术趋势</w:t>
            </w:r>
            <w:r>
              <w:rPr>
                <w:rFonts w:eastAsia="宋体;汉仪书宋二KW" w:cs="Times New Roman"/>
                <w:color w:val="000000"/>
                <w:sz w:val="24"/>
                <w:szCs w:val="24"/>
                <w:vertAlign w:val="superscript"/>
              </w:rPr>
              <w:t>[2]</w:t>
            </w:r>
            <w:r>
              <w:rPr>
                <w:rFonts w:ascii="Times New Roman" w:hAnsi="Times New Roman" w:cs="Times New Roman"/>
                <w:color w:val="000000"/>
                <w:sz w:val="24"/>
                <w:szCs w:val="24"/>
              </w:rPr>
              <w:t>；</w:t>
            </w:r>
            <w:r>
              <w:rPr/>
              <w:t>李浩然等通过对</w:t>
            </w:r>
            <w:r>
              <w:rPr/>
              <w:t>VLA</w:t>
            </w:r>
            <w:r>
              <w:rPr/>
              <w:t>模型架构、训练数据、预训练与后训练方法及评价体系的系统分析，指出模型能力的发展虽然拓展了具身操作的应用范围，但在任务泛化、模型评价和实际部署等方面仍面临挑战</w:t>
            </w:r>
            <w:r>
              <w:rPr>
                <w:rFonts w:eastAsia="宋体;汉仪书宋二KW" w:cs="Times New Roman"/>
                <w:color w:val="000000"/>
                <w:sz w:val="24"/>
                <w:szCs w:val="24"/>
                <w:vertAlign w:val="superscript"/>
              </w:rPr>
              <w:t>[3]</w:t>
            </w:r>
            <w:r>
              <w:rPr>
                <w:rFonts w:ascii="Times New Roman" w:hAnsi="Times New Roman" w:cs="Times New Roman"/>
                <w:color w:val="000000"/>
                <w:sz w:val="24"/>
                <w:szCs w:val="24"/>
              </w:rPr>
              <w:t>。</w:t>
            </w:r>
            <w:r>
              <w:rPr/>
              <w:t>上述研究表明，</w:t>
            </w:r>
            <w:r>
              <w:rPr>
                <w:rStyle w:val="Strong"/>
                <w:b w:val="false"/>
                <w:bCs/>
              </w:rPr>
              <w:t>任务规划与可靠执行具有不同的计算特征和响应要求</w:t>
            </w:r>
            <w:r>
              <w:rPr>
                <w:rFonts w:ascii="Times New Roman" w:hAnsi="Times New Roman" w:cs="Times New Roman"/>
                <w:bCs/>
                <w:color w:val="000000"/>
                <w:sz w:val="24"/>
                <w:szCs w:val="24"/>
              </w:rPr>
              <w:t>。</w:t>
            </w:r>
          </w:p>
          <w:p>
            <w:pPr>
              <w:pStyle w:val="BodyText"/>
              <w:rPr>
                <w:rFonts w:ascii="Times New Roman" w:hAnsi="Times New Roman" w:cs="Times New Roman"/>
                <w:color w:val="000000"/>
                <w:sz w:val="24"/>
                <w:szCs w:val="24"/>
              </w:rPr>
            </w:pPr>
            <w:r>
              <w:rPr>
                <w:rFonts w:ascii="Times New Roman" w:hAnsi="Times New Roman" w:cs="Times New Roman"/>
                <w:color w:val="000000"/>
                <w:sz w:val="24"/>
                <w:szCs w:val="24"/>
              </w:rPr>
              <w:t>大语言模型、视觉语言模型及视觉—语言—动作模型为复杂操作提供了新的技术途径，但其计算、存储和推理开销也</w:t>
            </w:r>
            <w:r>
              <w:rPr>
                <w:rFonts w:cs="Times New Roman" w:hint="eastAsia"/>
                <w:color w:val="000000"/>
                <w:sz w:val="24"/>
                <w:szCs w:val="24"/>
              </w:rPr>
              <w:t>对系统</w:t>
            </w:r>
            <w:r>
              <w:rPr>
                <w:rFonts w:ascii="Times New Roman" w:hAnsi="Times New Roman" w:cs="Times New Roman"/>
                <w:color w:val="000000"/>
                <w:sz w:val="24"/>
                <w:szCs w:val="24"/>
              </w:rPr>
              <w:t>部署</w:t>
            </w:r>
            <w:r>
              <w:rPr>
                <w:rFonts w:cs="Times New Roman" w:hint="eastAsia"/>
                <w:color w:val="000000"/>
                <w:sz w:val="24"/>
                <w:szCs w:val="24"/>
              </w:rPr>
              <w:t>提出了较高的硬件需求</w:t>
            </w:r>
            <w:r>
              <w:rPr>
                <w:rFonts w:ascii="Times New Roman" w:hAnsi="Times New Roman" w:cs="Times New Roman"/>
                <w:color w:val="000000"/>
                <w:sz w:val="24"/>
                <w:szCs w:val="24"/>
              </w:rPr>
              <w:t>。</w:t>
            </w:r>
            <w:r>
              <w:rPr>
                <w:rFonts w:eastAsia="宋体;汉仪书宋二KW" w:cs="Times New Roman" w:hint="eastAsia"/>
                <w:color w:val="000000"/>
                <w:sz w:val="24"/>
                <w:szCs w:val="24"/>
              </w:rPr>
              <w:t>Yu</w:t>
            </w:r>
            <w:r>
              <w:rPr>
                <w:rFonts w:ascii="Times New Roman" w:hAnsi="Times New Roman" w:cs="Times New Roman" w:hint="eastAsia"/>
                <w:color w:val="000000"/>
                <w:sz w:val="24"/>
                <w:szCs w:val="24"/>
              </w:rPr>
              <w:t>等在高效</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模型综述中指出，大规模</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模型面临显著的计算与数据开销，其效率优化需要从模型设计、训练过程和数据利用等多个方面共同考虑</w:t>
            </w:r>
            <w:r>
              <w:rPr>
                <w:rFonts w:eastAsia="宋体;汉仪书宋二KW" w:cs="Times New Roman"/>
                <w:color w:val="000000"/>
                <w:sz w:val="24"/>
                <w:szCs w:val="24"/>
                <w:vertAlign w:val="superscript"/>
              </w:rPr>
              <w:t>[4]</w:t>
            </w:r>
            <w:r>
              <w:rPr>
                <w:rFonts w:cs="Times New Roman" w:hint="eastAsia"/>
                <w:color w:val="000000"/>
                <w:position w:val="0"/>
                <w:sz w:val="24"/>
                <w:szCs w:val="24"/>
                <w:vertAlign w:val="baseline"/>
              </w:rPr>
              <w:t>，这一研究说明，模型性能与资源效率之间的矛盾并非仅通过提升硬件计算能力即可解决，还需要从模型组织及系统运行方式进行优化</w:t>
            </w:r>
            <w:r>
              <w:rPr>
                <w:rFonts w:ascii="Times New Roman" w:hAnsi="Times New Roman" w:cs="Times New Roman"/>
                <w:color w:val="000000"/>
                <w:sz w:val="24"/>
                <w:szCs w:val="24"/>
              </w:rPr>
              <w:t>；</w:t>
            </w:r>
            <w:r>
              <w:rPr>
                <w:rFonts w:eastAsia="宋体;汉仪书宋二KW" w:cs="Times New Roman" w:hint="eastAsia"/>
                <w:color w:val="000000"/>
                <w:sz w:val="24"/>
                <w:szCs w:val="24"/>
              </w:rPr>
              <w:t>Sharshar</w:t>
            </w:r>
            <w:r>
              <w:rPr>
                <w:rFonts w:ascii="Times New Roman" w:hAnsi="Times New Roman" w:cs="Times New Roman" w:hint="eastAsia"/>
                <w:color w:val="000000"/>
                <w:sz w:val="24"/>
                <w:szCs w:val="24"/>
              </w:rPr>
              <w:t>等针对视觉语言模型的边缘部署问题指出，边缘设备有限的处理能力、内存容量和能源预算，是制约复杂多模态模型实际运行的重要因素，并总结了量化、剪枝、知识蒸馏及专用硬件等降低模型资源需求的技术路径</w:t>
            </w:r>
            <w:r>
              <w:rPr>
                <w:rFonts w:eastAsia="宋体;汉仪书宋二KW" w:cs="Times New Roman"/>
                <w:color w:val="000000"/>
                <w:sz w:val="24"/>
                <w:szCs w:val="24"/>
                <w:vertAlign w:val="superscript"/>
              </w:rPr>
              <w:t>[5]</w:t>
            </w:r>
            <w:r>
              <w:rPr>
                <w:rFonts w:ascii="Times New Roman" w:hAnsi="Times New Roman" w:cs="Times New Roman"/>
                <w:color w:val="000000"/>
                <w:sz w:val="24"/>
                <w:szCs w:val="24"/>
              </w:rPr>
              <w:t>；</w:t>
            </w:r>
            <w:r>
              <w:rPr>
                <w:rFonts w:eastAsia="宋体;汉仪书宋二KW" w:cs="Times New Roman" w:hint="eastAsia"/>
                <w:color w:val="000000"/>
                <w:sz w:val="24"/>
                <w:szCs w:val="24"/>
              </w:rPr>
              <w:t>Wang</w:t>
            </w:r>
            <w:r>
              <w:rPr>
                <w:rFonts w:ascii="Times New Roman" w:hAnsi="Times New Roman" w:cs="Times New Roman" w:hint="eastAsia"/>
                <w:color w:val="000000"/>
                <w:sz w:val="24"/>
                <w:szCs w:val="24"/>
              </w:rPr>
              <w:t>等进一步分析了小型语言模型、模型压缩和推理优化技术在边缘智能中的应用，表明模型轻量化能够改善边缘部署的可行性，但仍需要根据具体任务要求在模型能力、推理效率和资源消耗之间进行权衡</w:t>
            </w:r>
            <w:r>
              <w:rPr>
                <w:rFonts w:eastAsia="宋体;汉仪书宋二KW" w:cs="Times New Roman"/>
                <w:color w:val="000000"/>
                <w:sz w:val="24"/>
                <w:szCs w:val="24"/>
                <w:vertAlign w:val="superscript"/>
              </w:rPr>
              <w:t>[6]</w:t>
            </w:r>
            <w:r>
              <w:rPr>
                <w:rFonts w:ascii="Times New Roman" w:hAnsi="Times New Roman" w:cs="Times New Roman"/>
                <w:color w:val="000000"/>
                <w:sz w:val="24"/>
                <w:szCs w:val="24"/>
              </w:rPr>
              <w:t>；</w:t>
            </w:r>
            <w:r>
              <w:rPr>
                <w:rFonts w:eastAsia="宋体;汉仪书宋二KW" w:cs="Times New Roman" w:hint="eastAsia"/>
                <w:color w:val="000000"/>
                <w:sz w:val="24"/>
                <w:szCs w:val="24"/>
              </w:rPr>
              <w:t>Xu</w:t>
            </w:r>
            <w:r>
              <w:rPr>
                <w:rFonts w:ascii="Times New Roman" w:hAnsi="Times New Roman" w:cs="Times New Roman" w:hint="eastAsia"/>
                <w:color w:val="000000"/>
                <w:sz w:val="24"/>
                <w:szCs w:val="24"/>
              </w:rPr>
              <w:t>等则从算法与系统两个层面研究基础模型的资源效率问题，强调提高模型运行效率不仅依赖模型结构优化，还需要综合考虑计算、存储、通信及推理服务等系统因素</w:t>
            </w:r>
            <w:r>
              <w:rPr>
                <w:rFonts w:eastAsia="宋体;汉仪书宋二KW" w:cs="Times New Roman"/>
                <w:color w:val="000000"/>
                <w:sz w:val="24"/>
                <w:szCs w:val="24"/>
                <w:vertAlign w:val="superscript"/>
              </w:rPr>
              <w:t>[7]</w:t>
            </w:r>
            <w:r>
              <w:rPr>
                <w:rFonts w:ascii="Times New Roman" w:hAnsi="Times New Roman" w:cs="Times New Roman"/>
                <w:color w:val="000000"/>
                <w:sz w:val="24"/>
                <w:szCs w:val="24"/>
              </w:rPr>
              <w:t>。</w:t>
            </w:r>
            <w:r>
              <w:rPr>
                <w:rFonts w:cs="Times New Roman" w:hint="eastAsia"/>
                <w:color w:val="000000"/>
                <w:sz w:val="24"/>
                <w:szCs w:val="24"/>
              </w:rPr>
              <w:t>因此，桌面机械臂等</w:t>
            </w:r>
            <w:r>
              <w:rPr>
                <w:rFonts w:ascii="Times New Roman" w:hAnsi="Times New Roman" w:cs="Times New Roman"/>
                <w:color w:val="000000"/>
                <w:sz w:val="24"/>
                <w:szCs w:val="24"/>
              </w:rPr>
              <w:t>设备</w:t>
            </w:r>
            <w:r>
              <w:rPr>
                <w:rFonts w:cs="Times New Roman" w:hint="eastAsia"/>
                <w:color w:val="000000"/>
                <w:sz w:val="24"/>
                <w:szCs w:val="24"/>
              </w:rPr>
              <w:t>需结合任务需求与实际硬件条件，权衡规划能力</w:t>
            </w:r>
            <w:r>
              <w:rPr>
                <w:rFonts w:ascii="Times New Roman" w:hAnsi="Times New Roman" w:cs="Times New Roman"/>
                <w:color w:val="000000"/>
                <w:sz w:val="24"/>
                <w:szCs w:val="24"/>
              </w:rPr>
              <w:t>、响应时间及资源</w:t>
            </w:r>
            <w:r>
              <w:rPr>
                <w:rFonts w:cs="Times New Roman" w:hint="eastAsia"/>
                <w:color w:val="000000"/>
                <w:sz w:val="24"/>
                <w:szCs w:val="24"/>
              </w:rPr>
              <w:t>开销。</w:t>
            </w:r>
            <w:r>
              <w:rPr>
                <w:rFonts w:ascii="Times New Roman" w:hAnsi="Times New Roman" w:cs="Times New Roman"/>
                <w:color w:val="000000"/>
                <w:sz w:val="24"/>
                <w:szCs w:val="24"/>
              </w:rPr>
              <w:t>本课题以受控仿真研究这种权衡，资源测量按实际运行设备记录。</w:t>
            </w:r>
          </w:p>
          <w:p>
            <w:pPr>
              <w:pStyle w:val="BodyText"/>
              <w:rPr>
                <w:rFonts w:cs="Times New Roman" w:hint="eastAsia"/>
                <w:color w:val="000000"/>
                <w:sz w:val="24"/>
                <w:szCs w:val="24"/>
              </w:rPr>
            </w:pPr>
            <w:r>
              <w:rPr>
                <w:rFonts w:ascii="Times New Roman" w:hAnsi="Times New Roman" w:cs="Times New Roman"/>
                <w:color w:val="000000"/>
                <w:sz w:val="24"/>
                <w:szCs w:val="24"/>
              </w:rPr>
              <w:t>云边协同为缓解上述矛盾提供了一条系统设计路径。</w:t>
            </w:r>
            <w:r>
              <w:rPr>
                <w:rFonts w:eastAsia="宋体;汉仪书宋二KW" w:cs="Times New Roman" w:hint="eastAsia"/>
                <w:color w:val="000000"/>
                <w:sz w:val="24"/>
                <w:szCs w:val="24"/>
              </w:rPr>
              <w:t>Li</w:t>
            </w:r>
            <w:r>
              <w:rPr>
                <w:rFonts w:ascii="Times New Roman" w:hAnsi="Times New Roman" w:cs="Times New Roman" w:hint="eastAsia"/>
                <w:color w:val="000000"/>
                <w:sz w:val="24"/>
                <w:szCs w:val="24"/>
              </w:rPr>
              <w:t>等在大语言模型与云边计算协同综述中，从边云计算支持大模型运行以及大模型赋能边云系统两个方向分析了二者的互补关系，指出通过动态分配计算与推理任务，可以利用云端较强的计算能力和边缘侧低时延、近数据源处理的优势，在系统效率、实时性与可扩展性之间寻求平衡</w:t>
            </w:r>
            <w:r>
              <w:rPr>
                <w:rFonts w:eastAsia="宋体;汉仪书宋二KW" w:cs="Times New Roman"/>
                <w:color w:val="000000"/>
                <w:sz w:val="24"/>
                <w:szCs w:val="24"/>
                <w:vertAlign w:val="superscript"/>
              </w:rPr>
              <w:t>[8]</w:t>
            </w:r>
            <w:r>
              <w:rPr>
                <w:rFonts w:ascii="Times New Roman" w:hAnsi="Times New Roman" w:cs="Times New Roman"/>
                <w:color w:val="000000"/>
                <w:sz w:val="24"/>
                <w:szCs w:val="24"/>
              </w:rPr>
              <w:t>；</w:t>
            </w:r>
            <w:r>
              <w:rPr>
                <w:rFonts w:eastAsia="宋体;汉仪书宋二KW" w:cs="Times New Roman" w:hint="eastAsia"/>
                <w:color w:val="000000"/>
                <w:sz w:val="24"/>
                <w:szCs w:val="24"/>
              </w:rPr>
              <w:t>Tahir</w:t>
            </w:r>
            <w:r>
              <w:rPr>
                <w:rFonts w:ascii="Times New Roman" w:hAnsi="Times New Roman" w:cs="Times New Roman" w:hint="eastAsia"/>
                <w:color w:val="000000"/>
                <w:sz w:val="24"/>
                <w:szCs w:val="24"/>
              </w:rPr>
              <w:t>等对机器人边缘计算应用的综述进一步指出，机器人系统中的环境感知、运动控制及实时交互等任务对响应时间具有较高要求，靠近设备的数据处理与计算能够减少远程通信依赖，对保障机器人及时响应具有重要意义</w:t>
            </w:r>
            <w:r>
              <w:rPr>
                <w:rFonts w:eastAsia="宋体;汉仪书宋二KW" w:cs="Times New Roman"/>
                <w:color w:val="000000"/>
                <w:sz w:val="24"/>
                <w:szCs w:val="24"/>
                <w:vertAlign w:val="superscript"/>
              </w:rPr>
              <w:t>[9]</w:t>
            </w:r>
            <w:r>
              <w:rPr>
                <w:rFonts w:ascii="Times New Roman" w:hAnsi="Times New Roman" w:cs="Times New Roman"/>
                <w:color w:val="000000"/>
                <w:sz w:val="24"/>
                <w:szCs w:val="24"/>
              </w:rPr>
              <w:t>。</w:t>
            </w:r>
            <w:r>
              <w:rPr>
                <w:rFonts w:ascii="Times New Roman" w:hAnsi="Times New Roman" w:cs="Times New Roman" w:hint="eastAsia"/>
                <w:color w:val="000000"/>
                <w:sz w:val="24"/>
                <w:szCs w:val="24"/>
              </w:rPr>
              <w:t>这些研究为本课题的功能划分提供了参考：将计算需求较高、但允许相对较长处理时间的复杂任务理解、场景推理及高层规划交由云端完成；将具有严格响应时限的环境观测、状态检查、局部处理和运动控制保留在本地，从而利用两类计算资源的互补性扩展机器人复杂任务处理能力</w:t>
            </w:r>
            <w:r>
              <w:rPr>
                <w:rFonts w:cs="Times New Roman" w:hint="eastAsia"/>
                <w:color w:val="000000"/>
                <w:sz w:val="24"/>
                <w:szCs w:val="24"/>
              </w:rPr>
              <w:t>。</w:t>
            </w:r>
          </w:p>
          <w:p>
            <w:pPr>
              <w:pStyle w:val="BodyText"/>
              <w:rPr>
                <w:rFonts w:ascii="Times New Roman" w:hAnsi="Times New Roman" w:cs="Times New Roman" w:hint="eastAsia"/>
                <w:color w:val="000000"/>
                <w:position w:val="0"/>
                <w:sz w:val="24"/>
                <w:szCs w:val="24"/>
                <w:vertAlign w:val="baseline"/>
              </w:rPr>
            </w:pPr>
            <w:r>
              <w:rPr>
                <w:rFonts w:cs="Times New Roman" w:hint="eastAsia"/>
                <w:color w:val="000000"/>
                <w:sz w:val="24"/>
                <w:szCs w:val="24"/>
              </w:rPr>
              <w:t>然而，云边协同并不意味着将复杂计算迁移至云端后即可直接解决机器人控制问题。 云端服务可用性、网络传输时延及模型推理时间均存在一定的不确定性，远程规划结果从生成到实际执行之间可能出现明显的时间间隔。当操作目标位置、环境状态或机器人执行进度在等待过程中发生变化时，云端返回的方案可能不再满足当前任务的执行条件。与此同时，过于频繁地调用云端模型会增加通信开销、计算费用和任务等待时间，而过度减少调用又可能使系统无法及时处理超出本地能力的复杂变化或执行异常。因此，云边协同控制的关键不仅在于计算任务的合理分配，还在于如何根据实际任务状态和通信条件，判断远程计算是否必要、规划结果是否仍然有效，以及何时应由本地系统独立处理。 本课题将以任务成功率、执行时间、远程调用成本和运行风险为共同约束，研究不同条件下云端介入时机与本地处理方式的选择机制，使云端智能计算资源得到更加合理的利用。</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position w:val="0"/>
                <w:sz w:val="24"/>
                <w:szCs w:val="24"/>
                <w:vertAlign w:val="baseline"/>
              </w:rPr>
              <w:t>复杂机器人操作还具有步骤间依赖关系、物理执行约束和环境状态持续变化等特点，使云端规划结果与本地执行之间的一致性成为影响系统可靠性的重要因素。</w:t>
            </w:r>
            <w:r>
              <w:rPr>
                <w:rFonts w:eastAsia="宋体;汉仪书宋二KW" w:cs="Times New Roman" w:hint="eastAsia"/>
                <w:color w:val="000000"/>
                <w:position w:val="0"/>
                <w:sz w:val="24"/>
                <w:szCs w:val="24"/>
                <w:vertAlign w:val="baseline"/>
              </w:rPr>
              <w:t>Zhao</w:t>
            </w:r>
            <w:r>
              <w:rPr>
                <w:rFonts w:ascii="Times New Roman" w:hAnsi="Times New Roman" w:cs="Times New Roman" w:hint="eastAsia"/>
                <w:color w:val="000000"/>
                <w:position w:val="0"/>
                <w:sz w:val="24"/>
                <w:szCs w:val="24"/>
                <w:vertAlign w:val="baseline"/>
              </w:rPr>
              <w:t>等在任务与运动规划综述中指出，复杂机器人任务需要将高层逻辑规划与底层运动规划结合起来，通过任务条件、动作约束和轨迹可行性之间的协调，解决长时序任务和动态环境中的操作问题</w:t>
            </w:r>
            <w:r>
              <w:rPr>
                <w:rFonts w:eastAsia="宋体;汉仪书宋二KW" w:cs="Times New Roman"/>
                <w:color w:val="000000"/>
                <w:sz w:val="24"/>
                <w:szCs w:val="24"/>
                <w:vertAlign w:val="superscript"/>
              </w:rPr>
              <w:t>[10]</w:t>
            </w:r>
            <w:r>
              <w:rPr>
                <w:rFonts w:ascii="Times New Roman" w:hAnsi="Times New Roman" w:cs="Times New Roman"/>
                <w:color w:val="000000"/>
                <w:sz w:val="24"/>
                <w:szCs w:val="24"/>
              </w:rPr>
              <w:t>；</w:t>
            </w:r>
            <w:r>
              <w:rPr>
                <w:rFonts w:eastAsia="宋体;汉仪书宋二KW" w:cs="Times New Roman" w:hint="eastAsia"/>
                <w:color w:val="000000"/>
                <w:sz w:val="24"/>
                <w:szCs w:val="24"/>
              </w:rPr>
              <w:t>Kawaharazuka</w:t>
            </w:r>
            <w:r>
              <w:rPr>
                <w:rFonts w:ascii="Times New Roman" w:hAnsi="Times New Roman" w:cs="Times New Roman" w:hint="eastAsia"/>
                <w:color w:val="000000"/>
                <w:sz w:val="24"/>
                <w:szCs w:val="24"/>
              </w:rPr>
              <w:t>等从</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模型架构、机器人平台、数据采集及评价方法等方面分析了模型的实际部署问题，强调机器人智能模型的应用需要与具体硬件条件、操作环境及任务评价方式相结合</w:t>
            </w:r>
            <w:r>
              <w:rPr>
                <w:rFonts w:eastAsia="宋体;汉仪书宋二KW" w:cs="Times New Roman"/>
                <w:color w:val="000000"/>
                <w:sz w:val="24"/>
                <w:szCs w:val="24"/>
                <w:vertAlign w:val="superscript"/>
              </w:rPr>
              <w:t>[11]</w:t>
            </w:r>
            <w:r>
              <w:rPr>
                <w:rFonts w:ascii="Times New Roman" w:hAnsi="Times New Roman" w:cs="Times New Roman"/>
                <w:color w:val="000000"/>
                <w:sz w:val="24"/>
                <w:szCs w:val="24"/>
              </w:rPr>
              <w:t>。</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在机械臂执行抓取、搬运和放置等多步骤任务时，目标遮挡、深度信息失效、目标位置变化、云端响应迟到以及实际操作偏差等异常，都可能使原有方案失去适用条件。如果系统直接复用已经失效的规划结果，可能造成任务失败或执行风险；如果所有异常均请求云端重新规划，则可能增加通信成本和恢复时间，甚至导致已经正确完成的操作被重复执行。因此，系统需要结合当前观测质量、任务进度、动作执行反馈、本地技能能力及剩余时间和通信预算，判断哪些任务状态仍然有效、哪些操作可以继续执行，以及哪些异常需要重新观测、局部修复或请求云端重新规划。如何在保证执行约束的前提下，以尽可能合理的计算与通信开销完成异常处置，是本课题需要重点解决的工程问题。</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在前期工作方面，项目已搭建</w:t>
            </w:r>
            <w:r>
              <w:rPr>
                <w:rFonts w:cs="Times New Roman" w:hint="eastAsia"/>
                <w:color w:val="000000"/>
                <w:sz w:val="24"/>
                <w:szCs w:val="24"/>
              </w:rPr>
              <w:t>MuJoCo</w:t>
            </w:r>
            <w:r>
              <w:rPr>
                <w:rFonts w:ascii="Times New Roman" w:hAnsi="Times New Roman" w:cs="Times New Roman" w:hint="eastAsia"/>
                <w:color w:val="000000"/>
                <w:sz w:val="24"/>
                <w:szCs w:val="24"/>
              </w:rPr>
              <w:t>物理仿真与云边端软件研发平台，形成云端调用、端侧视觉和部分基础技能的开发证据。历史云端请求已证明接口通道可用，任务完成仍须通过在线效果验证和独立物理评价。旧版</w:t>
            </w:r>
            <w:r>
              <w:rPr>
                <w:rFonts w:cs="Times New Roman" w:hint="eastAsia"/>
                <w:color w:val="000000"/>
                <w:sz w:val="24"/>
                <w:szCs w:val="24"/>
              </w:rPr>
              <w:t>120</w:t>
            </w:r>
            <w:r>
              <w:rPr>
                <w:rFonts w:ascii="Times New Roman" w:hAnsi="Times New Roman" w:cs="Times New Roman" w:hint="eastAsia"/>
                <w:color w:val="000000"/>
                <w:sz w:val="24"/>
                <w:szCs w:val="24"/>
              </w:rPr>
              <w:t>组基础先导仅</w:t>
            </w:r>
            <w:r>
              <w:rPr>
                <w:rFonts w:cs="Times New Roman" w:hint="eastAsia"/>
                <w:color w:val="000000"/>
                <w:sz w:val="24"/>
                <w:szCs w:val="24"/>
              </w:rPr>
              <w:t>5</w:t>
            </w:r>
            <w:r>
              <w:rPr>
                <w:rFonts w:ascii="Times New Roman" w:hAnsi="Times New Roman" w:cs="Times New Roman" w:hint="eastAsia"/>
                <w:color w:val="000000"/>
                <w:sz w:val="24"/>
                <w:szCs w:val="24"/>
              </w:rPr>
              <w:t>组成功，其中静态场景成功</w:t>
            </w:r>
            <w:r>
              <w:rPr>
                <w:rFonts w:cs="Times New Roman" w:hint="eastAsia"/>
                <w:color w:val="000000"/>
                <w:sz w:val="24"/>
                <w:szCs w:val="24"/>
              </w:rPr>
              <w:t>4/40</w:t>
            </w:r>
            <w:r>
              <w:rPr>
                <w:rFonts w:ascii="Times New Roman" w:hAnsi="Times New Roman" w:cs="Times New Roman" w:hint="eastAsia"/>
                <w:color w:val="000000"/>
                <w:sz w:val="24"/>
                <w:szCs w:val="24"/>
              </w:rPr>
              <w:t>；这些结果用于开发诊断，不能作为合格基线。离线真值教师的技能结果与在线模型结果分别记录，已有标记观测轨迹亦不能替代独立几何标定。截至</w:t>
            </w:r>
            <w:r>
              <w:rPr>
                <w:rFonts w:cs="Times New Roman" w:hint="eastAsia"/>
                <w:color w:val="000000"/>
                <w:sz w:val="24"/>
                <w:szCs w:val="24"/>
              </w:rPr>
              <w:t>2026</w:t>
            </w:r>
            <w:r>
              <w:rPr>
                <w:rFonts w:ascii="Times New Roman" w:hAnsi="Times New Roman" w:cs="Times New Roman" w:hint="eastAsia"/>
                <w:color w:val="000000"/>
                <w:sz w:val="24"/>
                <w:szCs w:val="24"/>
              </w:rPr>
              <w:t>年</w:t>
            </w:r>
            <w:r>
              <w:rPr>
                <w:rFonts w:cs="Times New Roman" w:hint="eastAsia"/>
                <w:color w:val="000000"/>
                <w:sz w:val="24"/>
                <w:szCs w:val="24"/>
              </w:rPr>
              <w:t>10</w:t>
            </w:r>
            <w:r>
              <w:rPr>
                <w:rFonts w:ascii="Times New Roman" w:hAnsi="Times New Roman" w:cs="Times New Roman" w:hint="eastAsia"/>
                <w:color w:val="000000"/>
                <w:sz w:val="24"/>
                <w:szCs w:val="24"/>
              </w:rPr>
              <w:t>月</w:t>
            </w:r>
            <w:r>
              <w:rPr>
                <w:rFonts w:cs="Times New Roman" w:hint="eastAsia"/>
                <w:color w:val="000000"/>
                <w:sz w:val="24"/>
                <w:szCs w:val="24"/>
              </w:rPr>
              <w:t>17</w:t>
            </w:r>
            <w:r>
              <w:rPr>
                <w:rFonts w:ascii="Times New Roman" w:hAnsi="Times New Roman" w:cs="Times New Roman" w:hint="eastAsia"/>
                <w:color w:val="000000"/>
                <w:sz w:val="24"/>
                <w:szCs w:val="24"/>
              </w:rPr>
              <w:t>日阶段记录，完整在线闭环、局部恢复及正式研究验收仍未完成。课题将以观测有效性、执行一致性和动作效果验证为重点，先建立可复核的基础闭环，再开展协同策略比较。研究范围限定于受控仿真、已知刚体和有限步骤任务，实机部署作为后续扩展。</w:t>
            </w:r>
          </w:p>
          <w:p>
            <w:pPr>
              <w:pStyle w:val="BodyText"/>
              <w:rPr>
                <w:rFonts w:cs="Times New Roman" w:hint="eastAsia"/>
                <w:b/>
                <w:bCs/>
                <w:color w:val="000000"/>
                <w:sz w:val="24"/>
                <w:szCs w:val="24"/>
              </w:rPr>
            </w:pPr>
            <w:r>
              <w:rPr>
                <w:rFonts w:ascii="Times New Roman" w:hAnsi="Times New Roman" w:cs="Times New Roman" w:hint="eastAsia"/>
                <w:color w:val="000000"/>
                <w:sz w:val="24"/>
                <w:szCs w:val="24"/>
              </w:rPr>
              <w:t>在工程管理与成本控制方面，本课题研究任务质量与安全约束下的云端介入策略。通过边缘侧前置核验、重复事件合并及按需触发，预期相对合格周期监督基线减少</w:t>
            </w:r>
            <w:r>
              <w:rPr>
                <w:rFonts w:eastAsia="宋体;汉仪书宋二KW" w:cs="Times New Roman" w:hint="eastAsia"/>
                <w:color w:val="000000"/>
                <w:sz w:val="24"/>
                <w:szCs w:val="24"/>
              </w:rPr>
              <w:t>30%</w:t>
            </w:r>
            <w:r>
              <w:rPr>
                <w:rFonts w:ascii="Times New Roman" w:hAnsi="Times New Roman" w:cs="Times New Roman" w:hint="eastAsia"/>
                <w:color w:val="000000"/>
                <w:sz w:val="24"/>
                <w:szCs w:val="24"/>
              </w:rPr>
              <w:t>以上远程模型总请求，成功率与安全表现按预先规定的统计界限评价。请求数量、计费用量与实际收发字节分别统计，重试、失败及外部判断调用均纳入成本记录；无法取得的账单费用保留为未知，不按请求减少比例推算费用或带宽收益。结合本地计算与内存占用、任务等待和异常恢复耗时，比较不同网络条件、任务难度下的成本与可靠性。资源测量注明实际运行设备，仿真结果不外推为特定嵌入式板卡的能耗或实机控制性能，为部署配置、运行预算和服务调用策略提供有条件的量化依据。</w:t>
            </w:r>
          </w:p>
          <w:p>
            <w:pPr>
              <w:pStyle w:val="BodyText"/>
              <w:rPr>
                <w:rFonts w:eastAsia="宋体;汉仪书宋二KW" w:cs="Times New Roman" w:hint="eastAsia"/>
                <w:b/>
                <w:bCs/>
                <w:color w:val="000000"/>
                <w:sz w:val="24"/>
                <w:szCs w:val="24"/>
              </w:rPr>
            </w:pPr>
            <w:r>
              <w:rPr>
                <w:rFonts w:cs="Times New Roman" w:hint="eastAsia"/>
                <w:b/>
                <w:bCs/>
                <w:color w:val="000000"/>
                <w:sz w:val="24"/>
                <w:szCs w:val="24"/>
              </w:rPr>
              <w:t>2.</w:t>
            </w:r>
            <w:r>
              <w:rPr>
                <w:rFonts w:ascii="Times New Roman" w:hAnsi="Times New Roman" w:cs="Times New Roman" w:hint="eastAsia"/>
                <w:b/>
                <w:bCs/>
                <w:color w:val="000000"/>
                <w:sz w:val="24"/>
                <w:szCs w:val="24"/>
              </w:rPr>
              <w:t>国内外研究现状</w:t>
            </w:r>
          </w:p>
          <w:p>
            <w:pPr>
              <w:pStyle w:val="BodyText"/>
              <w:rPr>
                <w:rFonts w:ascii="Times New Roman" w:hAnsi="Times New Roman" w:cs="Times New Roman" w:hint="eastAsia"/>
                <w:color w:val="000000"/>
                <w:sz w:val="24"/>
                <w:szCs w:val="24"/>
              </w:rPr>
            </w:pPr>
            <w:r>
              <w:rPr>
                <w:rFonts w:eastAsia="宋体;汉仪书宋二KW" w:cs="Times New Roman" w:hint="eastAsia"/>
                <w:b/>
                <w:bCs/>
                <w:color w:val="000000"/>
                <w:sz w:val="24"/>
                <w:szCs w:val="24"/>
              </w:rPr>
              <w:t>2.1</w:t>
            </w:r>
            <w:r>
              <w:rPr>
                <w:rFonts w:ascii="Times New Roman" w:hAnsi="Times New Roman" w:cs="Times New Roman" w:hint="eastAsia"/>
                <w:b/>
                <w:bCs/>
                <w:color w:val="000000"/>
                <w:sz w:val="24"/>
                <w:szCs w:val="24"/>
              </w:rPr>
              <w:t>机器人复杂操作与资源受限部署研究</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随着具身智能的发展，机器人操作研究逐步由单一任务的感知与控制，向融合多模态理解、任务规划和动作执行的智能系统发展。现有研究主要形成了端到端视觉—语言—动作模型和分层智能控制两类技术路径。</w:t>
            </w:r>
            <w:r>
              <w:rPr>
                <w:rFonts w:eastAsia="宋体;汉仪书宋二KW" w:cs="Times New Roman" w:hint="eastAsia"/>
                <w:color w:val="000000"/>
                <w:sz w:val="24"/>
                <w:szCs w:val="24"/>
              </w:rPr>
              <w:t>Ichter</w:t>
            </w:r>
            <w:r>
              <w:rPr>
                <w:rFonts w:ascii="Times New Roman" w:hAnsi="Times New Roman" w:cs="Times New Roman" w:hint="eastAsia"/>
                <w:color w:val="000000"/>
                <w:sz w:val="24"/>
                <w:szCs w:val="24"/>
              </w:rPr>
              <w:t>等提出的</w:t>
            </w:r>
            <w:r>
              <w:rPr>
                <w:rFonts w:eastAsia="宋体;汉仪书宋二KW" w:cs="Times New Roman" w:hint="eastAsia"/>
                <w:color w:val="000000"/>
                <w:sz w:val="24"/>
                <w:szCs w:val="24"/>
              </w:rPr>
              <w:t>SayCan</w:t>
            </w:r>
            <w:r>
              <w:rPr>
                <w:rFonts w:ascii="Times New Roman" w:hAnsi="Times New Roman" w:cs="Times New Roman" w:hint="eastAsia"/>
                <w:color w:val="000000"/>
                <w:sz w:val="24"/>
                <w:szCs w:val="24"/>
              </w:rPr>
              <w:t>方法，将大语言模型的语义推理能力与机器人技能的可行性评价相结合，证明高层任务规划需要受到机器人实际执行能力的约束</w:t>
            </w:r>
            <w:r>
              <w:rPr>
                <w:rFonts w:eastAsia="宋体;汉仪书宋二KW" w:cs="Times New Roman" w:hint="eastAsia"/>
                <w:color w:val="000000"/>
                <w:sz w:val="24"/>
                <w:szCs w:val="24"/>
                <w:vertAlign w:val="superscript"/>
              </w:rPr>
              <w:t>[12]</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Shi</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Hi Robot</w:t>
            </w:r>
            <w:r>
              <w:rPr>
                <w:rFonts w:ascii="Times New Roman" w:hAnsi="Times New Roman" w:cs="Times New Roman" w:hint="eastAsia"/>
                <w:color w:val="000000"/>
                <w:sz w:val="24"/>
                <w:szCs w:val="24"/>
              </w:rPr>
              <w:t>分层架构，通过高层模型理解复杂指令、低层策略执行具体动作，验证了任务推理与运动执行分层组织的可行性</w:t>
            </w:r>
            <w:r>
              <w:rPr>
                <w:rFonts w:eastAsia="宋体;汉仪书宋二KW" w:cs="Times New Roman" w:hint="eastAsia"/>
                <w:color w:val="000000"/>
                <w:sz w:val="24"/>
                <w:szCs w:val="24"/>
                <w:vertAlign w:val="superscript"/>
              </w:rPr>
              <w:t>[13]</w:t>
            </w:r>
            <w:r>
              <w:rPr>
                <w:rFonts w:ascii="Times New Roman" w:hAnsi="Times New Roman" w:cs="Times New Roman" w:hint="eastAsia"/>
                <w:color w:val="000000"/>
                <w:sz w:val="24"/>
                <w:szCs w:val="24"/>
              </w:rPr>
              <w:t>。</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国内相关研究进一步探索了复杂推理与高频执行之间的协同机制。</w:t>
            </w:r>
            <w:r>
              <w:rPr>
                <w:rFonts w:eastAsia="宋体;汉仪书宋二KW" w:cs="Times New Roman" w:hint="eastAsia"/>
                <w:color w:val="000000"/>
                <w:sz w:val="24"/>
                <w:szCs w:val="24"/>
              </w:rPr>
              <w:t>Bu</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RoboDual</w:t>
            </w:r>
            <w:r>
              <w:rPr>
                <w:rFonts w:ascii="Times New Roman" w:hAnsi="Times New Roman" w:cs="Times New Roman" w:hint="eastAsia"/>
                <w:color w:val="000000"/>
                <w:sz w:val="24"/>
                <w:szCs w:val="24"/>
              </w:rPr>
              <w:t>双系统架构，将具备较强泛化能力的通用策略与高效专用策略结合，以兼顾复杂任务处理能力和执行效率</w:t>
            </w:r>
            <w:r>
              <w:rPr>
                <w:rFonts w:eastAsia="宋体;汉仪书宋二KW" w:cs="Times New Roman" w:hint="eastAsia"/>
                <w:color w:val="000000"/>
                <w:sz w:val="24"/>
                <w:szCs w:val="24"/>
                <w:vertAlign w:val="superscript"/>
              </w:rPr>
              <w:t>[14]</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Chen</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Fast-in-Slow</w:t>
            </w:r>
            <w:r>
              <w:rPr>
                <w:rFonts w:ascii="Times New Roman" w:hAnsi="Times New Roman" w:cs="Times New Roman" w:hint="eastAsia"/>
                <w:color w:val="000000"/>
                <w:sz w:val="24"/>
                <w:szCs w:val="24"/>
              </w:rPr>
              <w:t>模型，通过参数共享与异步运行机制协调慢速推理和快速动作生成，说明不同计算环节可以采用差异化的执行频率</w:t>
            </w:r>
            <w:r>
              <w:rPr>
                <w:rFonts w:eastAsia="宋体;汉仪书宋二KW" w:cs="Times New Roman" w:hint="eastAsia"/>
                <w:color w:val="000000"/>
                <w:sz w:val="24"/>
                <w:szCs w:val="24"/>
                <w:vertAlign w:val="superscript"/>
              </w:rPr>
              <w:t>[15]</w:t>
            </w:r>
            <w:r>
              <w:rPr>
                <w:rFonts w:ascii="Times New Roman" w:hAnsi="Times New Roman" w:cs="Times New Roman" w:hint="eastAsia"/>
                <w:color w:val="000000"/>
                <w:sz w:val="24"/>
                <w:szCs w:val="24"/>
              </w:rPr>
              <w:t>。这些研究为本课题采用云端低频规划与边缘侧快速执行相结合的架构提供了参考，但模型内部快慢系统的协同并不能直接解决分布式部署中的网络延迟、任务状态变化和远程规划失效等问题。</w:t>
            </w:r>
          </w:p>
          <w:p>
            <w:pPr>
              <w:pStyle w:val="BodyText"/>
              <w:rPr>
                <w:rFonts w:eastAsia="宋体;汉仪书宋二KW" w:cs="Times New Roman" w:hint="eastAsia"/>
                <w:b/>
                <w:bCs/>
                <w:color w:val="000000"/>
                <w:sz w:val="24"/>
                <w:szCs w:val="24"/>
              </w:rPr>
            </w:pPr>
            <w:r>
              <w:rPr>
                <w:rFonts w:ascii="Times New Roman" w:hAnsi="Times New Roman" w:cs="Times New Roman" w:hint="eastAsia"/>
                <w:color w:val="000000"/>
                <w:sz w:val="24"/>
                <w:szCs w:val="24"/>
              </w:rPr>
              <w:t>在资源受限部署方面，周毅等系统总结了</w:t>
            </w:r>
            <w:r>
              <w:rPr>
                <w:rFonts w:eastAsia="宋体;汉仪书宋二KW" w:cs="Times New Roman" w:hint="eastAsia"/>
                <w:color w:val="000000"/>
                <w:sz w:val="24"/>
                <w:szCs w:val="24"/>
              </w:rPr>
              <w:t>VLA</w:t>
            </w:r>
            <w:r>
              <w:rPr>
                <w:rFonts w:ascii="Times New Roman" w:hAnsi="Times New Roman" w:cs="Times New Roman" w:hint="eastAsia"/>
                <w:color w:val="000000"/>
                <w:sz w:val="24"/>
                <w:szCs w:val="24"/>
              </w:rPr>
              <w:t>模型从数据、模型、训练到部署的资源优化方法，指出模型轻量化需要综合考虑计算能力、存储需求与任务性能之间的关系</w:t>
            </w:r>
            <w:r>
              <w:rPr>
                <w:rFonts w:eastAsia="宋体;汉仪书宋二KW" w:cs="Times New Roman" w:hint="eastAsia"/>
                <w:color w:val="000000"/>
                <w:sz w:val="24"/>
                <w:szCs w:val="24"/>
                <w:vertAlign w:val="superscript"/>
              </w:rPr>
              <w:t>[16]</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Pohland</w:t>
            </w:r>
            <w:r>
              <w:rPr>
                <w:rFonts w:ascii="Times New Roman" w:hAnsi="Times New Roman" w:cs="Times New Roman" w:hint="eastAsia"/>
                <w:color w:val="000000"/>
                <w:sz w:val="24"/>
                <w:szCs w:val="24"/>
              </w:rPr>
              <w:t>等进一步通过机器人操作工作负载的平台测量表明，本地计算能力、能源消耗和远程通信延迟均会影响系统性能，简单增加硬件算力或将计算任务全部卸载至云端，并不一定能够获得最佳的综合效果</w:t>
            </w:r>
            <w:r>
              <w:rPr>
                <w:rFonts w:eastAsia="宋体;汉仪书宋二KW" w:cs="Times New Roman" w:hint="eastAsia"/>
                <w:color w:val="000000"/>
                <w:sz w:val="24"/>
                <w:szCs w:val="24"/>
                <w:vertAlign w:val="superscript"/>
              </w:rPr>
              <w:t>[17]</w:t>
            </w:r>
            <w:r>
              <w:rPr>
                <w:rFonts w:ascii="Times New Roman" w:hAnsi="Times New Roman" w:cs="Times New Roman" w:hint="eastAsia"/>
                <w:color w:val="000000"/>
                <w:sz w:val="24"/>
                <w:szCs w:val="24"/>
              </w:rPr>
              <w:t>。上述研究说明，机器人复杂操作能力的提升不仅依赖模型优化，还需要根据任务需求与资源约束合理组织计算任务。</w:t>
            </w:r>
          </w:p>
          <w:p>
            <w:pPr>
              <w:pStyle w:val="BodyText"/>
              <w:rPr>
                <w:rFonts w:ascii="Times New Roman" w:hAnsi="Times New Roman" w:cs="Times New Roman" w:hint="eastAsia"/>
                <w:color w:val="000000"/>
                <w:sz w:val="24"/>
                <w:szCs w:val="24"/>
              </w:rPr>
            </w:pPr>
            <w:r>
              <w:rPr>
                <w:rFonts w:eastAsia="宋体;汉仪书宋二KW" w:cs="Times New Roman" w:hint="eastAsia"/>
                <w:b/>
                <w:bCs/>
                <w:color w:val="000000"/>
                <w:sz w:val="24"/>
                <w:szCs w:val="24"/>
              </w:rPr>
              <w:t>2.2</w:t>
            </w:r>
            <w:r>
              <w:rPr>
                <w:rFonts w:ascii="Times New Roman" w:hAnsi="Times New Roman" w:cs="Times New Roman" w:hint="eastAsia"/>
                <w:b/>
                <w:bCs/>
                <w:color w:val="000000"/>
                <w:sz w:val="24"/>
                <w:szCs w:val="24"/>
              </w:rPr>
              <w:t>云边计算卸载与实时协同研究</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针对边缘计算能力不足的问题，云边协同研究主要围绕计算卸载决策、通信延迟补偿和异步执行机制展开。</w:t>
            </w:r>
            <w:r>
              <w:rPr>
                <w:rFonts w:eastAsia="宋体;汉仪书宋二KW" w:cs="Times New Roman" w:hint="eastAsia"/>
                <w:color w:val="000000"/>
                <w:sz w:val="24"/>
                <w:szCs w:val="24"/>
              </w:rPr>
              <w:t>Chinchali</w:t>
            </w:r>
            <w:r>
              <w:rPr>
                <w:rFonts w:ascii="Times New Roman" w:hAnsi="Times New Roman" w:cs="Times New Roman" w:hint="eastAsia"/>
                <w:color w:val="000000"/>
                <w:sz w:val="24"/>
                <w:szCs w:val="24"/>
              </w:rPr>
              <w:t>等将机器人感知任务的计算卸载建模为序贯决策问题，综合考虑本地感知不确定性和云端通信成本，证明动态选择远程计算方式能够改善系统的性能与成本权衡</w:t>
            </w:r>
            <w:r>
              <w:rPr>
                <w:rFonts w:eastAsia="宋体;汉仪书宋二KW" w:cs="Times New Roman" w:hint="eastAsia"/>
                <w:color w:val="000000"/>
                <w:sz w:val="24"/>
                <w:szCs w:val="24"/>
                <w:vertAlign w:val="superscript"/>
              </w:rPr>
              <w:t>[18]</w:t>
            </w:r>
            <w:r>
              <w:rPr>
                <w:rFonts w:ascii="Times New Roman" w:hAnsi="Times New Roman" w:cs="Times New Roman" w:hint="eastAsia"/>
                <w:color w:val="000000"/>
                <w:sz w:val="24"/>
                <w:szCs w:val="24"/>
              </w:rPr>
              <w:t>。这一研究表明，云端调用不应采用固定策略，而需要根据任务状态和资源条件进行调整，但其主要关注感知任务卸载，尚未涉及多步骤机械臂操作中的规划有效性和异常恢复问题。</w:t>
            </w:r>
          </w:p>
          <w:p>
            <w:pPr>
              <w:pStyle w:val="BodyText"/>
              <w:rPr>
                <w:rFonts w:eastAsia="宋体;汉仪书宋二KW" w:cs="Times New Roman" w:hint="eastAsia"/>
                <w:b/>
                <w:bCs/>
                <w:color w:val="000000"/>
                <w:sz w:val="24"/>
                <w:szCs w:val="24"/>
              </w:rPr>
            </w:pPr>
            <w:r>
              <w:rPr>
                <w:rFonts w:ascii="Times New Roman" w:hAnsi="Times New Roman" w:cs="Times New Roman" w:hint="eastAsia"/>
                <w:color w:val="000000"/>
                <w:sz w:val="24"/>
                <w:szCs w:val="24"/>
              </w:rPr>
              <w:t>在云端推理延迟处理方面，</w:t>
            </w:r>
            <w:r>
              <w:rPr>
                <w:rFonts w:eastAsia="宋体;汉仪书宋二KW" w:cs="Times New Roman" w:hint="eastAsia"/>
                <w:color w:val="000000"/>
                <w:sz w:val="24"/>
                <w:szCs w:val="24"/>
              </w:rPr>
              <w:t>Nguyen</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Speculative Policy Orchestration</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SPO</w:t>
            </w:r>
            <w:r>
              <w:rPr>
                <w:rFonts w:ascii="Times New Roman" w:hAnsi="Times New Roman" w:cs="Times New Roman" w:hint="eastAsia"/>
                <w:color w:val="000000"/>
                <w:sz w:val="24"/>
                <w:szCs w:val="24"/>
              </w:rPr>
              <w:t>）框架，通过云端预测路点预取、本地缓存和执行误差检查，减少机器人等待远程推理的时间</w:t>
            </w:r>
            <w:r>
              <w:rPr>
                <w:rFonts w:eastAsia="宋体;汉仪书宋二KW" w:cs="Times New Roman" w:hint="eastAsia"/>
                <w:color w:val="000000"/>
                <w:sz w:val="24"/>
                <w:szCs w:val="24"/>
                <w:vertAlign w:val="superscript"/>
              </w:rPr>
              <w:t>[19]</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Peng</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CloudEdgeVLA</w:t>
            </w:r>
            <w:r>
              <w:rPr>
                <w:rFonts w:ascii="Times New Roman" w:hAnsi="Times New Roman" w:cs="Times New Roman" w:hint="eastAsia"/>
                <w:color w:val="000000"/>
                <w:sz w:val="24"/>
                <w:szCs w:val="24"/>
              </w:rPr>
              <w:t>方法，通过云端生成相对稳定的任务特征，并结合边缘侧实时视觉信息进行动作修正，使机器人能够在存在通信延迟的条件下维持操作能力</w:t>
            </w:r>
            <w:r>
              <w:rPr>
                <w:rFonts w:eastAsia="宋体;汉仪书宋二KW" w:cs="Times New Roman" w:hint="eastAsia"/>
                <w:color w:val="000000"/>
                <w:sz w:val="24"/>
                <w:szCs w:val="24"/>
                <w:vertAlign w:val="superscript"/>
              </w:rPr>
              <w:t>[20]</w:t>
            </w:r>
            <w:r>
              <w:rPr>
                <w:rFonts w:ascii="Times New Roman" w:hAnsi="Times New Roman" w:cs="Times New Roman" w:hint="eastAsia"/>
                <w:color w:val="000000"/>
                <w:sz w:val="24"/>
                <w:szCs w:val="24"/>
              </w:rPr>
              <w:t>。两项研究分别从预测缓存和模型表征角度缓解云端延迟问题，说明云端复杂计算与边缘实时执行可以采用异步协同方式，但必须考虑远程信息与当前环境状态之间的差异。其中，</w:t>
            </w:r>
            <w:r>
              <w:rPr>
                <w:rFonts w:eastAsia="宋体;汉仪书宋二KW" w:cs="Times New Roman" w:hint="eastAsia"/>
                <w:color w:val="000000"/>
                <w:sz w:val="24"/>
                <w:szCs w:val="24"/>
              </w:rPr>
              <w:t>CloudEdgeVLA</w:t>
            </w:r>
            <w:r>
              <w:rPr>
                <w:rFonts w:ascii="Times New Roman" w:hAnsi="Times New Roman" w:cs="Times New Roman" w:hint="eastAsia"/>
                <w:color w:val="000000"/>
                <w:sz w:val="24"/>
                <w:szCs w:val="24"/>
              </w:rPr>
              <w:t>需要针对性的模型训练，而本课题更关注现有模型与技能模块之间的系统级协同。</w:t>
            </w:r>
          </w:p>
          <w:p>
            <w:pPr>
              <w:pStyle w:val="BodyText"/>
              <w:rPr>
                <w:rFonts w:ascii="Times New Roman" w:hAnsi="Times New Roman" w:cs="Times New Roman" w:hint="eastAsia"/>
                <w:color w:val="000000"/>
                <w:sz w:val="24"/>
                <w:szCs w:val="24"/>
              </w:rPr>
            </w:pPr>
            <w:r>
              <w:rPr>
                <w:rFonts w:eastAsia="宋体;汉仪书宋二KW" w:cs="Times New Roman" w:hint="eastAsia"/>
                <w:b/>
                <w:bCs/>
                <w:color w:val="000000"/>
                <w:sz w:val="24"/>
                <w:szCs w:val="24"/>
              </w:rPr>
              <w:t>2.3</w:t>
            </w:r>
            <w:r>
              <w:rPr>
                <w:rFonts w:ascii="Times New Roman" w:hAnsi="Times New Roman" w:cs="Times New Roman" w:hint="eastAsia"/>
                <w:b/>
                <w:bCs/>
                <w:color w:val="000000"/>
                <w:sz w:val="24"/>
                <w:szCs w:val="24"/>
              </w:rPr>
              <w:t>任务规划一致性与异常恢复研究</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复杂机器人操作具有步骤依赖、物理约束和环境动态变化等特点，高层任务规划需要与实际执行状态保持一致。</w:t>
            </w:r>
            <w:r>
              <w:rPr>
                <w:rFonts w:eastAsia="宋体;汉仪书宋二KW" w:cs="Times New Roman" w:hint="eastAsia"/>
                <w:color w:val="000000"/>
                <w:sz w:val="24"/>
                <w:szCs w:val="24"/>
              </w:rPr>
              <w:t>Huang</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Inner Monologue</w:t>
            </w:r>
            <w:r>
              <w:rPr>
                <w:rFonts w:ascii="Times New Roman" w:hAnsi="Times New Roman" w:cs="Times New Roman" w:hint="eastAsia"/>
                <w:color w:val="000000"/>
                <w:sz w:val="24"/>
                <w:szCs w:val="24"/>
              </w:rPr>
              <w:t>方法，将环境反馈和动作执行结果引入语言模型规划过程，证明利用执行反馈动态调整任务步骤，有助于提高复杂任务的完成能力</w:t>
            </w:r>
            <w:r>
              <w:rPr>
                <w:rFonts w:eastAsia="宋体;汉仪书宋二KW" w:cs="Times New Roman" w:hint="eastAsia"/>
                <w:color w:val="000000"/>
                <w:sz w:val="24"/>
                <w:szCs w:val="24"/>
                <w:vertAlign w:val="superscript"/>
              </w:rPr>
              <w:t>[21]</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Ren</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KnowNo</w:t>
            </w:r>
            <w:r>
              <w:rPr>
                <w:rFonts w:ascii="Times New Roman" w:hAnsi="Times New Roman" w:cs="Times New Roman" w:hint="eastAsia"/>
                <w:color w:val="000000"/>
                <w:sz w:val="24"/>
                <w:szCs w:val="24"/>
              </w:rPr>
              <w:t>方法，通过不确定性评估判断机器人何时需要请求外部帮助，说明当规划依据不足时，主动获取信息或拒绝执行比直接采用不确定的模型输出更加合理</w:t>
            </w:r>
            <w:r>
              <w:rPr>
                <w:rFonts w:eastAsia="宋体;汉仪书宋二KW" w:cs="Times New Roman" w:hint="eastAsia"/>
                <w:color w:val="000000"/>
                <w:sz w:val="24"/>
                <w:szCs w:val="24"/>
                <w:vertAlign w:val="superscript"/>
              </w:rPr>
              <w:t>[22]</w:t>
            </w:r>
            <w:r>
              <w:rPr>
                <w:rFonts w:ascii="Times New Roman" w:hAnsi="Times New Roman" w:cs="Times New Roman" w:hint="eastAsia"/>
                <w:color w:val="000000"/>
                <w:sz w:val="24"/>
                <w:szCs w:val="24"/>
              </w:rPr>
              <w:t>。</w:t>
            </w:r>
          </w:p>
          <w:p>
            <w:pPr>
              <w:pStyle w:val="BodyText"/>
              <w:rPr>
                <w:rFonts w:ascii="Times New Roman" w:hAnsi="Times New Roman" w:cs="Times New Roman" w:hint="eastAsia"/>
                <w:color w:val="000000"/>
                <w:sz w:val="24"/>
                <w:szCs w:val="24"/>
              </w:rPr>
            </w:pPr>
            <w:r>
              <w:rPr>
                <w:rFonts w:ascii="Times New Roman" w:hAnsi="Times New Roman" w:cs="Times New Roman" w:hint="eastAsia"/>
                <w:color w:val="000000"/>
                <w:sz w:val="24"/>
                <w:szCs w:val="24"/>
              </w:rPr>
              <w:t>在观测信息时效性方面，</w:t>
            </w:r>
            <w:r>
              <w:rPr>
                <w:rFonts w:eastAsia="宋体;汉仪书宋二KW" w:cs="Times New Roman" w:hint="eastAsia"/>
                <w:color w:val="000000"/>
                <w:sz w:val="24"/>
                <w:szCs w:val="24"/>
              </w:rPr>
              <w:t>Yates</w:t>
            </w:r>
            <w:r>
              <w:rPr>
                <w:rFonts w:ascii="Times New Roman" w:hAnsi="Times New Roman" w:cs="Times New Roman" w:hint="eastAsia"/>
                <w:color w:val="000000"/>
                <w:sz w:val="24"/>
                <w:szCs w:val="24"/>
              </w:rPr>
              <w:t>等对信息年龄（</w:t>
            </w:r>
            <w:r>
              <w:rPr>
                <w:rFonts w:eastAsia="宋体;汉仪书宋二KW" w:cs="Times New Roman" w:hint="eastAsia"/>
                <w:color w:val="000000"/>
                <w:sz w:val="24"/>
                <w:szCs w:val="24"/>
              </w:rPr>
              <w:t>Age of Information</w:t>
            </w:r>
            <w:r>
              <w:rPr>
                <w:rFonts w:ascii="Times New Roman" w:hAnsi="Times New Roman" w:cs="Times New Roman" w:hint="eastAsia"/>
                <w:color w:val="000000"/>
                <w:sz w:val="24"/>
                <w:szCs w:val="24"/>
              </w:rPr>
              <w:t>，</w:t>
            </w:r>
            <w:r>
              <w:rPr>
                <w:rFonts w:eastAsia="宋体;汉仪书宋二KW" w:cs="Times New Roman" w:hint="eastAsia"/>
                <w:color w:val="000000"/>
                <w:sz w:val="24"/>
                <w:szCs w:val="24"/>
              </w:rPr>
              <w:t>AoI</w:t>
            </w:r>
            <w:r>
              <w:rPr>
                <w:rFonts w:ascii="Times New Roman" w:hAnsi="Times New Roman" w:cs="Times New Roman" w:hint="eastAsia"/>
                <w:color w:val="000000"/>
                <w:sz w:val="24"/>
                <w:szCs w:val="24"/>
              </w:rPr>
              <w:t>）进行了系统综述，建立了信息更新时效性与通信资源之间的分析框架</w:t>
            </w:r>
            <w:r>
              <w:rPr>
                <w:rFonts w:eastAsia="宋体;汉仪书宋二KW" w:cs="Times New Roman" w:hint="eastAsia"/>
                <w:color w:val="000000"/>
                <w:sz w:val="24"/>
                <w:szCs w:val="24"/>
                <w:vertAlign w:val="superscript"/>
              </w:rPr>
              <w:t>[23]</w:t>
            </w:r>
            <w:r>
              <w:rPr>
                <w:rFonts w:ascii="Times New Roman" w:hAnsi="Times New Roman" w:cs="Times New Roman" w:hint="eastAsia"/>
                <w:color w:val="000000"/>
                <w:sz w:val="24"/>
                <w:szCs w:val="24"/>
              </w:rPr>
              <w:t>。这一研究为判断远程观测是否过期提供了理论依据，但对于机械臂操作而言，信息时效性并不能完全代表动作可执行性，还需要结合目标身份、几何条件和任务状态进行判断。因此，本课题拟将观测时间、目标状态、任务版本及动作前置条件关联起来，在云端方案返回和动作提交前开展一致性检查。</w:t>
            </w:r>
          </w:p>
          <w:p>
            <w:pPr>
              <w:pStyle w:val="BodyText"/>
              <w:rPr>
                <w:rFonts w:ascii="Times New Roman" w:hAnsi="Times New Roman" w:cs="Times New Roman" w:hint="eastAsia"/>
                <w:b/>
                <w:bCs/>
                <w:color w:val="000000"/>
                <w:sz w:val="24"/>
                <w:szCs w:val="24"/>
              </w:rPr>
            </w:pPr>
            <w:r>
              <w:rPr>
                <w:rFonts w:ascii="Times New Roman" w:hAnsi="Times New Roman" w:cs="Times New Roman" w:hint="eastAsia"/>
                <w:color w:val="000000"/>
                <w:sz w:val="24"/>
                <w:szCs w:val="24"/>
              </w:rPr>
              <w:t>针对操作失败后的恢复问题，</w:t>
            </w:r>
            <w:r>
              <w:rPr>
                <w:rFonts w:eastAsia="宋体;汉仪书宋二KW" w:cs="Times New Roman" w:hint="eastAsia"/>
                <w:color w:val="000000"/>
                <w:sz w:val="24"/>
                <w:szCs w:val="24"/>
              </w:rPr>
              <w:t>Liu</w:t>
            </w:r>
            <w:r>
              <w:rPr>
                <w:rFonts w:ascii="Times New Roman" w:hAnsi="Times New Roman" w:cs="Times New Roman" w:hint="eastAsia"/>
                <w:color w:val="000000"/>
                <w:sz w:val="24"/>
                <w:szCs w:val="24"/>
              </w:rPr>
              <w:t>等提出</w:t>
            </w:r>
            <w:r>
              <w:rPr>
                <w:rFonts w:eastAsia="宋体;汉仪书宋二KW" w:cs="Times New Roman" w:hint="eastAsia"/>
                <w:color w:val="000000"/>
                <w:sz w:val="24"/>
                <w:szCs w:val="24"/>
              </w:rPr>
              <w:t>REFLECT</w:t>
            </w:r>
            <w:r>
              <w:rPr>
                <w:rFonts w:ascii="Times New Roman" w:hAnsi="Times New Roman" w:cs="Times New Roman" w:hint="eastAsia"/>
                <w:color w:val="000000"/>
                <w:sz w:val="24"/>
                <w:szCs w:val="24"/>
              </w:rPr>
              <w:t>方法，通过总结机器人历史执行过程和环境反馈，分析失败原因并生成纠错方案</w:t>
            </w:r>
            <w:r>
              <w:rPr>
                <w:rFonts w:eastAsia="宋体;汉仪书宋二KW" w:cs="Times New Roman" w:hint="eastAsia"/>
                <w:color w:val="000000"/>
                <w:sz w:val="24"/>
                <w:szCs w:val="24"/>
                <w:vertAlign w:val="superscript"/>
              </w:rPr>
              <w:t>[24]</w:t>
            </w:r>
            <w:r>
              <w:rPr>
                <w:rFonts w:ascii="Times New Roman" w:hAnsi="Times New Roman" w:cs="Times New Roman" w:hint="eastAsia"/>
                <w:color w:val="000000"/>
                <w:sz w:val="24"/>
                <w:szCs w:val="24"/>
              </w:rPr>
              <w:t>。该研究表明，异常处理需要关注动作是否产生预期效果，而不能仅依据控制器返回状态判断任务完成。然而，在云边协同系统中，如果所有异常均请求云端重新规划，可能增加恢复时间和远程调用成本。</w:t>
            </w:r>
          </w:p>
          <w:p>
            <w:pPr>
              <w:pStyle w:val="BodyText"/>
              <w:rPr>
                <w:rFonts w:hint="eastAsia"/>
              </w:rPr>
            </w:pPr>
            <w:r>
              <w:rPr>
                <w:rFonts w:ascii="Times New Roman" w:hAnsi="Times New Roman" w:cs="Times New Roman" w:hint="eastAsia"/>
                <w:b/>
                <w:bCs/>
                <w:color w:val="000000"/>
                <w:sz w:val="24"/>
                <w:szCs w:val="24"/>
              </w:rPr>
              <w:t>主要参考文献</w:t>
            </w:r>
          </w:p>
          <w:p>
            <w:pPr>
              <w:pStyle w:val="EndNoteBibliography1"/>
              <w:ind w:endChars="0" w:end="0"/>
              <w:rPr>
                <w:rFonts w:hint="eastAsia"/>
              </w:rPr>
            </w:pPr>
            <w:r>
              <w:rPr>
                <w:rFonts w:hint="eastAsia"/>
              </w:rPr>
              <w:t>[1]</w:t>
              <w:tab/>
              <w:t>BAI S, SONG W, CHEN J, et al. Embodied Robot Manipulation in the Era of Foundation Models: Planning and Learning Perspectives[J/OL]. IEEE Transactions on Robotics, 2026: 1–21 (Early Access). DOI: 10.1109/TRO.2026.3734032.</w:t>
            </w:r>
          </w:p>
          <w:p>
            <w:pPr>
              <w:pStyle w:val="EndNoteBibliography1"/>
              <w:ind w:endChars="0" w:end="0"/>
              <w:rPr>
                <w:rFonts w:hint="eastAsia"/>
              </w:rPr>
            </w:pPr>
            <w:r>
              <w:rPr>
                <w:rFonts w:hint="eastAsia"/>
              </w:rPr>
              <w:t>[2]</w:t>
              <w:tab/>
              <w:t>MA Y, SONG Z, ZHUANG Y, et al. A Survey on Vision-Language-Action Models for Embodied AI[J]. IEEE Transactions on Neural Networks and Learning Systems, 2026, 37(7): 3031–3051. DOI: 10.1109/TNNLS.2025.3650584.</w:t>
            </w:r>
          </w:p>
          <w:p>
            <w:pPr>
              <w:pStyle w:val="EndNoteBibliography1"/>
              <w:ind w:endChars="0" w:end="0"/>
              <w:rPr>
                <w:rFonts w:hint="eastAsia"/>
              </w:rPr>
            </w:pPr>
            <w:r>
              <w:rPr>
                <w:rFonts w:hint="eastAsia"/>
              </w:rPr>
              <w:t>[3]</w:t>
              <w:tab/>
            </w:r>
            <w:r>
              <w:rPr>
                <w:rFonts w:hint="eastAsia"/>
              </w:rPr>
              <w:t>李浩然， 陈宇辉， 崔文博， 等。 面向具身操作的视觉−语言−动作模型综述</w:t>
            </w:r>
            <w:r>
              <w:rPr>
                <w:rFonts w:hint="eastAsia"/>
              </w:rPr>
              <w:t xml:space="preserve">[J]. </w:t>
            </w:r>
            <w:r>
              <w:rPr>
                <w:rFonts w:hint="eastAsia"/>
              </w:rPr>
              <w:t>自动化学报</w:t>
            </w:r>
            <w:r>
              <w:rPr>
                <w:rFonts w:hint="eastAsia"/>
              </w:rPr>
              <w:t>, 2026, 52(1): 18–51. DOI: 10.16383/j.aas.c250394.</w:t>
            </w:r>
          </w:p>
          <w:p>
            <w:pPr>
              <w:pStyle w:val="EndNoteBibliography1"/>
              <w:ind w:endChars="0" w:end="0"/>
              <w:rPr>
                <w:rFonts w:hint="eastAsia"/>
              </w:rPr>
            </w:pPr>
            <w:r>
              <w:rPr>
                <w:rFonts w:hint="eastAsia"/>
              </w:rPr>
              <w:t>[4]</w:t>
              <w:tab/>
              <w:t>YU Z, WANG B, ZENG P, et al. A Survey on Efficient Vision-Language-Action Models[J/OL]. IEEE Transactions on Pattern Analysis and Machine Intelligence, 2026 (Early Access). DOI: 10.1109/TPAMI.2026.3734740.</w:t>
            </w:r>
          </w:p>
          <w:p>
            <w:pPr>
              <w:pStyle w:val="EndNoteBibliography1"/>
              <w:ind w:endChars="0" w:end="0"/>
              <w:rPr>
                <w:rFonts w:hint="eastAsia"/>
              </w:rPr>
            </w:pPr>
            <w:r>
              <w:rPr>
                <w:rFonts w:hint="eastAsia"/>
              </w:rPr>
              <w:t>[5]</w:t>
              <w:tab/>
              <w:t>SHARSHAR A, KHAN L U, ULLAH W, et al. Vision-Language Models for Edge Networks: A Comprehensive Survey[J]. IEEE Internet of Things Journal, 2025, 12(16): 32701–32724. DOI: 10.1109/JIOT.2025.3579032.</w:t>
            </w:r>
          </w:p>
          <w:p>
            <w:pPr>
              <w:pStyle w:val="EndNoteBibliography1"/>
              <w:ind w:endChars="0" w:end="0"/>
              <w:rPr>
                <w:rFonts w:hint="eastAsia"/>
              </w:rPr>
            </w:pPr>
            <w:r>
              <w:rPr>
                <w:rFonts w:hint="eastAsia"/>
              </w:rPr>
              <w:t>[6]</w:t>
              <w:tab/>
              <w:t>WANG R, GAO Z, ZHANG L, et al. Empowering Large Language Models to Edge Intelligence: A Survey of Edge Efficient LLMs and Techniques[J]. Computer Science Review, 2025, 57: 100755. DOI: 10.1016/j.cosrev.2025.100755.</w:t>
            </w:r>
          </w:p>
          <w:p>
            <w:pPr>
              <w:pStyle w:val="EndNoteBibliography1"/>
              <w:ind w:endChars="0" w:end="0"/>
              <w:rPr>
                <w:rFonts w:hint="eastAsia"/>
              </w:rPr>
            </w:pPr>
            <w:r>
              <w:rPr>
                <w:rFonts w:hint="eastAsia"/>
              </w:rPr>
              <w:t>[7]</w:t>
              <w:tab/>
              <w:t>XU M, CAI D, YIN W, et al. Resource-efficient Algorithms and Systems of Foundation Models: A Survey[J]. ACM Computing Surveys, 2025, 57(5): 110:1–110:39. DOI: 10.1145/3706418.</w:t>
            </w:r>
          </w:p>
          <w:p>
            <w:pPr>
              <w:pStyle w:val="EndNoteBibliography1"/>
              <w:ind w:endChars="0" w:end="0"/>
              <w:rPr>
                <w:rFonts w:hint="eastAsia"/>
              </w:rPr>
            </w:pPr>
            <w:r>
              <w:rPr>
                <w:rFonts w:hint="eastAsia"/>
              </w:rPr>
              <w:t>[8]</w:t>
              <w:tab/>
              <w:t>LI X, LI H, SUN C, et al. Edge-Enhanced Intelligence: A Comprehensive Survey of Large Language Models and Edge-Cloud Computing Synergy[J]. IEEE Communications Surveys &amp; Tutorials, 2026, 28: 1248–1284. DOI: 10.1109/COMST.2025.3587225.</w:t>
            </w:r>
          </w:p>
          <w:p>
            <w:pPr>
              <w:pStyle w:val="EndNoteBibliography1"/>
              <w:ind w:endChars="0" w:end="0"/>
              <w:rPr>
                <w:rFonts w:hint="eastAsia"/>
              </w:rPr>
            </w:pPr>
            <w:r>
              <w:rPr>
                <w:rFonts w:hint="eastAsia"/>
              </w:rPr>
              <w:t>[9]</w:t>
              <w:tab/>
              <w:t>TAHIR N, PARASURAMAN R. Edge Computing and Its Application in Robotics: A Survey[J]. Journal of Sensor and Actuator Networks, 2025, 14(4): 65. DOI: 10.3390/jsan14040065.</w:t>
            </w:r>
          </w:p>
          <w:p>
            <w:pPr>
              <w:pStyle w:val="EndNoteBibliography1"/>
              <w:ind w:endChars="0" w:end="0"/>
              <w:rPr>
                <w:rFonts w:hint="eastAsia"/>
              </w:rPr>
            </w:pPr>
            <w:r>
              <w:rPr>
                <w:rFonts w:hint="eastAsia"/>
              </w:rPr>
              <w:t>[10]</w:t>
              <w:tab/>
              <w:t>ZHAO Z, CHENG S, DING Y, et al. A Survey of Optimization-Based Task and Motion Planning: From Classical to Learning Approaches[J]. IEEE/ASME Transactions on Mechatronics, 2025, 30(4): 2799–2825. DOI: 10.1109/TMECH.2024.3452509.</w:t>
            </w:r>
          </w:p>
          <w:p>
            <w:pPr>
              <w:pStyle w:val="EndNoteBibliography1"/>
              <w:ind w:endChars="0" w:end="0"/>
              <w:rPr>
                <w:rFonts w:hint="eastAsia"/>
              </w:rPr>
            </w:pPr>
            <w:r>
              <w:rPr>
                <w:rFonts w:hint="eastAsia"/>
              </w:rPr>
              <w:t>[11]</w:t>
              <w:tab/>
              <w:t>KAWAHARAZUKA K, OH J, YAMADA J, et al. Vision-Language-Action Models for Robotics: A Review Towards Real-World Applications[J]. IEEE Access, 2025, 13: 162467–162504. DOI: 10.1109/ACCESS.2025.3609980.</w:t>
            </w:r>
          </w:p>
          <w:p>
            <w:pPr>
              <w:pStyle w:val="EndNoteBibliography1"/>
              <w:ind w:endChars="0" w:end="0"/>
              <w:rPr>
                <w:rFonts w:hint="eastAsia"/>
              </w:rPr>
            </w:pPr>
            <w:r>
              <w:rPr>
                <w:rFonts w:hint="eastAsia"/>
              </w:rPr>
              <w:t>[12] ICHTER B, BROHAN A, CHEBOTAR Y, et al. Do As I Can, Not As I Say: Grounding Language in Robotic Affordances[C]//Proceedings of The 6th Conference on Robot Learning. PMLR, 2023, 205: 287–318.</w:t>
            </w:r>
          </w:p>
          <w:p>
            <w:pPr>
              <w:pStyle w:val="EndNoteBibliography1"/>
              <w:ind w:endChars="0" w:end="0"/>
              <w:rPr>
                <w:rFonts w:hint="eastAsia"/>
              </w:rPr>
            </w:pPr>
            <w:r>
              <w:rPr>
                <w:rFonts w:hint="eastAsia"/>
              </w:rPr>
              <w:t>[13] SHI L X, ICHTER B, EQUI M R, et al. Hi Robot: Open-Ended Instruction Following with Hierarchical Vision-Language-Action Models[C]//Proceedings of the 42nd International Conference on Machine Learning. PMLR, 2025, 267: 54919–54933.</w:t>
            </w:r>
          </w:p>
          <w:p>
            <w:pPr>
              <w:pStyle w:val="EndNoteBibliography1"/>
              <w:ind w:endChars="0" w:end="0"/>
              <w:rPr>
                <w:rFonts w:hint="eastAsia"/>
              </w:rPr>
            </w:pPr>
            <w:r>
              <w:rPr>
                <w:rFonts w:hint="eastAsia"/>
              </w:rPr>
              <w:t>[14] BU Q, LI H, CHEN L, et al. Towards Synergistic, Generalized, and Efficient Dual-System for Robotic Manipulation[EB/OL]. arXiv:2410.08001, 2024.</w:t>
            </w:r>
          </w:p>
          <w:p>
            <w:pPr>
              <w:pStyle w:val="EndNoteBibliography1"/>
              <w:ind w:endChars="0" w:end="0"/>
              <w:rPr>
                <w:rFonts w:hint="eastAsia"/>
              </w:rPr>
            </w:pPr>
            <w:r>
              <w:rPr>
                <w:rFonts w:hint="eastAsia"/>
              </w:rPr>
              <w:t>[15] CHEN H, LIU J, GU C, et al. Fast-in-Slow: A Dual-System VLA Model Unifying Fast Manipulation within Slow Reasoning[C]//Advances in Neural Information Processing Systems. 2025, 38.</w:t>
            </w:r>
          </w:p>
          <w:p>
            <w:pPr>
              <w:pStyle w:val="EndNoteBibliography1"/>
              <w:ind w:endChars="0" w:end="0"/>
              <w:rPr>
                <w:rFonts w:hint="eastAsia"/>
              </w:rPr>
            </w:pPr>
            <w:r>
              <w:rPr>
                <w:rFonts w:hint="eastAsia"/>
              </w:rPr>
              <w:t xml:space="preserve">[16] </w:t>
            </w:r>
            <w:r>
              <w:rPr>
                <w:rFonts w:hint="eastAsia"/>
              </w:rPr>
              <w:t>周毅</w:t>
            </w:r>
            <w:r>
              <w:rPr>
                <w:rFonts w:hint="eastAsia"/>
              </w:rPr>
              <w:t xml:space="preserve">, </w:t>
            </w:r>
            <w:r>
              <w:rPr>
                <w:rFonts w:hint="eastAsia"/>
              </w:rPr>
              <w:t>孙煜坤</w:t>
            </w:r>
            <w:r>
              <w:rPr>
                <w:rFonts w:hint="eastAsia"/>
              </w:rPr>
              <w:t xml:space="preserve">, </w:t>
            </w:r>
            <w:r>
              <w:rPr>
                <w:rFonts w:hint="eastAsia"/>
              </w:rPr>
              <w:t>石磊</w:t>
            </w:r>
            <w:r>
              <w:rPr>
                <w:rFonts w:hint="eastAsia"/>
              </w:rPr>
              <w:t xml:space="preserve">, </w:t>
            </w:r>
            <w:r>
              <w:rPr>
                <w:rFonts w:hint="eastAsia"/>
              </w:rPr>
              <w:t>等</w:t>
            </w:r>
            <w:r>
              <w:rPr>
                <w:rFonts w:hint="eastAsia"/>
              </w:rPr>
              <w:t xml:space="preserve">. </w:t>
            </w:r>
            <w:r>
              <w:rPr>
                <w:rFonts w:hint="eastAsia"/>
              </w:rPr>
              <w:t>面向资源受限具身智能的视觉—语言—动作（</w:t>
            </w:r>
            <w:r>
              <w:rPr>
                <w:rFonts w:hint="eastAsia"/>
              </w:rPr>
              <w:t>VLA</w:t>
            </w:r>
            <w:r>
              <w:rPr>
                <w:rFonts w:hint="eastAsia"/>
              </w:rPr>
              <w:t>）模型综述</w:t>
            </w:r>
            <w:r>
              <w:rPr>
                <w:rFonts w:hint="eastAsia"/>
              </w:rPr>
              <w:t xml:space="preserve">[J/OL]. </w:t>
            </w:r>
            <w:r>
              <w:rPr>
                <w:rFonts w:hint="eastAsia"/>
              </w:rPr>
              <w:t>自动化学报</w:t>
            </w:r>
            <w:r>
              <w:rPr>
                <w:rFonts w:hint="eastAsia"/>
              </w:rPr>
              <w:t xml:space="preserve">, 2026, </w:t>
            </w:r>
            <w:r>
              <w:rPr>
                <w:rFonts w:hint="eastAsia"/>
              </w:rPr>
              <w:t>优先出版</w:t>
            </w:r>
            <w:r>
              <w:rPr>
                <w:rFonts w:hint="eastAsia"/>
              </w:rPr>
              <w:t>. DOI: 10.16383/j.aas.c260051.</w:t>
            </w:r>
          </w:p>
          <w:p>
            <w:pPr>
              <w:pStyle w:val="EndNoteBibliography1"/>
              <w:ind w:endChars="0" w:end="0"/>
              <w:rPr>
                <w:rFonts w:hint="eastAsia"/>
              </w:rPr>
            </w:pPr>
            <w:r>
              <w:rPr>
                <w:rFonts w:hint="eastAsia"/>
              </w:rPr>
              <w:t>[17] POHLAND S, FOUKAS X, ANANTHANARAYANAN G, et al. Offload or Overload: A Platform Measurement Study of Mobile Robotic Manipulation Workloads[R/OL]. Microsoft Research, 2026. MSR-TR-2026-14. https://www.microsoft.com/en-us/research/publication/offload-or-overload-a-platform-measurement-study-of-mobile-robotic-manipulation-workloads/.</w:t>
            </w:r>
          </w:p>
          <w:p>
            <w:pPr>
              <w:pStyle w:val="EndNoteBibliography1"/>
              <w:ind w:endChars="0" w:end="0"/>
              <w:rPr>
                <w:rFonts w:hint="eastAsia"/>
              </w:rPr>
            </w:pPr>
            <w:r>
              <w:rPr>
                <w:rFonts w:hint="eastAsia"/>
              </w:rPr>
              <w:t>[18] CHINCHALI S, SHARMA A, HARRISON J, et al. Network Offloading Policies for Cloud Robotics: A Learning-Based Approach[C]//Robotics: Science and Systems XV. 2019. DOI: 10.15607/RSS.2019.XV.063.</w:t>
            </w:r>
          </w:p>
          <w:p>
            <w:pPr>
              <w:pStyle w:val="EndNoteBibliography1"/>
              <w:ind w:endChars="0" w:end="0"/>
              <w:rPr>
                <w:rFonts w:hint="eastAsia"/>
              </w:rPr>
            </w:pPr>
            <w:r>
              <w:rPr>
                <w:rFonts w:hint="eastAsia"/>
              </w:rPr>
              <w:t>[19] NGUYEN C, JIN S, POKORNY F T, et al. Speculative Policy Orchestration: A Latency-Resilient Framework for Cloud-Robotic Manipulation[EB/OL]. arXiv:2603.19418v1, 2026.</w:t>
            </w:r>
          </w:p>
          <w:p>
            <w:pPr>
              <w:pStyle w:val="EndNoteBibliography1"/>
              <w:ind w:endChars="0" w:end="0"/>
              <w:rPr>
                <w:rFonts w:hint="eastAsia"/>
              </w:rPr>
            </w:pPr>
            <w:r>
              <w:rPr>
                <w:rFonts w:hint="eastAsia"/>
              </w:rPr>
              <w:t>[20] PENG D, MA F, WANG B, et al. Latency-Tolerant Cloud-Edge Collaborative Vision-Language-Action Models via Emergent Representational Specialization[EB/OL]. arXiv:2608.00569v3, 2026.</w:t>
            </w:r>
          </w:p>
          <w:p>
            <w:pPr>
              <w:pStyle w:val="EndNoteBibliography1"/>
              <w:ind w:endChars="0" w:end="0"/>
              <w:rPr>
                <w:rFonts w:hint="eastAsia"/>
              </w:rPr>
            </w:pPr>
            <w:r>
              <w:rPr>
                <w:rFonts w:hint="eastAsia"/>
              </w:rPr>
              <w:t>[21] HUANG W, XIA F, XIAO T, et al. Inner Monologue: Embodied Reasoning through Planning with Language Models[C]//Proceedings of The 6th Conference on Robot Learning. PMLR, 2023, 205: 1769–1782.</w:t>
            </w:r>
          </w:p>
          <w:p>
            <w:pPr>
              <w:pStyle w:val="EndNoteBibliography1"/>
              <w:ind w:endChars="0" w:end="0"/>
              <w:rPr>
                <w:rFonts w:hint="eastAsia"/>
              </w:rPr>
            </w:pPr>
            <w:r>
              <w:rPr>
                <w:rFonts w:hint="eastAsia"/>
              </w:rPr>
              <w:t>[22] REN A Z, DIXIT A, BODROVA A, et al. Robots That Ask For Help: Uncertainty Alignment for Large Language Model Planners[C]//Proceedings of The 7th Conference on Robot Learning. PMLR, 2023, 229: 661–682.</w:t>
            </w:r>
          </w:p>
          <w:p>
            <w:pPr>
              <w:pStyle w:val="EndNoteBibliography1"/>
              <w:ind w:endChars="0" w:end="0"/>
              <w:rPr>
                <w:rFonts w:hint="eastAsia"/>
              </w:rPr>
            </w:pPr>
            <w:r>
              <w:rPr>
                <w:rFonts w:hint="eastAsia"/>
              </w:rPr>
              <w:t>[23] YATES R D, SUN Y, BROWN D R, et al. Age of Information: An Introduction and Survey[J]. IEEE Journal on Selected Areas in Communications, 2021, 39(5): 1183–1210. DOI: 10.1109/JSAC.2021.3065072.</w:t>
            </w:r>
          </w:p>
          <w:p>
            <w:pPr>
              <w:pStyle w:val="EndNoteBibliography1"/>
              <w:ind w:endChars="0" w:end="0"/>
              <w:rPr>
                <w:rFonts w:hint="eastAsia"/>
              </w:rPr>
            </w:pPr>
            <w:r>
              <w:rPr>
                <w:rFonts w:hint="eastAsia"/>
              </w:rPr>
              <w:t>[24] LIU Z, BAHETY A, SONG S. REFLECT: Summarizing Robot Experiences for Failure Explanation and Correction[C]//Proceedings of The 7th Conference on Robot Learning. PMLR, 2023, 229: 3468–3484.</w:t>
            </w:r>
          </w:p>
        </w:tc>
      </w:tr>
      <w:tr>
        <w:trPr>
          <w:trHeight w:val="12310" w:hRule="atLeast"/>
        </w:trPr>
        <w:tc>
          <w:tcPr>
            <w:tcW w:w="4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研究、开发方案</w:t>
            </w:r>
          </w:p>
        </w:tc>
        <w:tc>
          <w:tcPr>
            <w:tcW w:w="8296" w:type="dxa"/>
            <w:gridSpan w:val="5"/>
            <w:tcBorders>
              <w:top w:val="single" w:sz="4" w:space="0" w:color="000000"/>
              <w:start w:val="single" w:sz="4" w:space="0" w:color="000000"/>
              <w:bottom w:val="single" w:sz="4" w:space="0" w:color="000000"/>
              <w:end w:val="single" w:sz="4" w:space="0" w:color="000000"/>
            </w:tcBorders>
          </w:tcPr>
          <w:p>
            <w:pPr>
              <w:pStyle w:val="Normal"/>
              <w:rPr>
                <w:rFonts w:hint="eastAsia"/>
                <w:b/>
                <w:bCs/>
              </w:rPr>
            </w:pPr>
            <w:r>
              <w:rPr>
                <w:rFonts w:hint="eastAsia"/>
              </w:rPr>
              <w:t>（研究、开发内容和目标，拟解决的关键问题和</w:t>
            </w:r>
            <w:r>
              <w:rPr>
                <w:rFonts w:hint="eastAsia"/>
                <w:spacing w:val="16"/>
              </w:rPr>
              <w:t>采取的方法、技术路线、设计方案及可行性分析等</w:t>
            </w:r>
            <w:r>
              <w:rPr>
                <w:rFonts w:hint="eastAsia"/>
              </w:rPr>
              <w:t>）</w:t>
            </w:r>
          </w:p>
          <w:p>
            <w:pPr>
              <w:pStyle w:val="Normal"/>
              <w:keepNext w:val="false"/>
              <w:widowControl/>
              <w:snapToGrid w:val="false"/>
              <w:spacing w:lineRule="exact" w:line="320" w:before="0" w:after="50"/>
              <w:ind w:firstLine="420" w:end="0"/>
              <w:jc w:val="both"/>
              <w:rPr>
                <w:rFonts w:hint="eastAsia"/>
                <w:b/>
                <w:bCs/>
              </w:rPr>
            </w:pPr>
            <w:r>
              <w:rPr>
                <w:rFonts w:hint="eastAsia"/>
                <w:b/>
                <w:bCs/>
              </w:rPr>
              <w:t>1.</w:t>
            </w:r>
            <w:r>
              <w:rPr>
                <w:rFonts w:hint="eastAsia"/>
                <w:b/>
                <w:bCs/>
              </w:rPr>
              <w:t>研究、开发内容与目标</w:t>
            </w:r>
          </w:p>
          <w:p>
            <w:pPr>
              <w:pStyle w:val="Normal"/>
              <w:keepNext w:val="false"/>
              <w:widowControl/>
              <w:snapToGrid w:val="false"/>
              <w:spacing w:lineRule="exact" w:line="320" w:before="0" w:after="50"/>
              <w:ind w:firstLine="420" w:end="0"/>
              <w:jc w:val="both"/>
              <w:rPr>
                <w:rFonts w:hint="eastAsia"/>
              </w:rPr>
            </w:pPr>
            <w:r>
              <w:rPr>
                <w:rFonts w:hint="eastAsia"/>
                <w:b/>
                <w:bCs/>
              </w:rPr>
              <w:t xml:space="preserve">1.1 </w:t>
            </w:r>
            <w:r>
              <w:rPr>
                <w:rFonts w:hint="eastAsia"/>
                <w:b/>
                <w:bCs/>
              </w:rPr>
              <w:t>研究与开发内容</w:t>
            </w:r>
          </w:p>
          <w:p>
            <w:pPr>
              <w:pStyle w:val="Normal"/>
              <w:keepNext w:val="false"/>
              <w:widowControl/>
              <w:snapToGrid w:val="false"/>
              <w:spacing w:lineRule="exact" w:line="320" w:before="0" w:after="50"/>
              <w:ind w:firstLine="420" w:end="0"/>
              <w:jc w:val="both"/>
              <w:rPr>
                <w:rFonts w:hint="eastAsia"/>
              </w:rPr>
            </w:pPr>
            <w:r>
              <w:rPr>
                <w:rFonts w:hint="eastAsia"/>
              </w:rPr>
              <w:t>针对边缘资源受限与复杂任务规划需求，本课题拟开发云端低频规划、边缘协同决策、端侧确定性执行的控制系统。研究采用七关节</w:t>
            </w:r>
            <w:r>
              <w:rPr>
                <w:rFonts w:hint="eastAsia"/>
              </w:rPr>
              <w:t>Franka-like</w:t>
            </w:r>
            <w:r>
              <w:rPr>
                <w:rFonts w:hint="eastAsia"/>
              </w:rPr>
              <w:t>机械臂物理仿真，面向已知刚性物体的抓取、搬运、放置及有限步骤组合。云端沿用既定模型方案，边缘近期采用规则与成本策略，模型选型后置。局部恢复属于拟研究能力。具体内容包括以下四个方面：</w:t>
            </w:r>
          </w:p>
          <w:p>
            <w:pPr>
              <w:pStyle w:val="Normal"/>
              <w:keepNext w:val="false"/>
              <w:widowControl/>
              <w:snapToGrid w:val="false"/>
              <w:spacing w:lineRule="exact" w:line="320" w:before="0" w:after="50"/>
              <w:ind w:firstLine="420" w:end="0"/>
              <w:jc w:val="both"/>
              <w:rPr>
                <w:rFonts w:hint="eastAsia"/>
              </w:rPr>
            </w:pPr>
            <w:r>
              <w:rPr>
                <w:rFonts w:hint="eastAsia"/>
              </w:rPr>
              <w:t>一是云、边、端协同架构与状态接口设计。定义任务输入、结构化方案、状态摘要及执行反馈，记录目标身份、前置条件、预期效果、任务版本与观测来源。云端提供技能级方案，本地控制器负责执行与独立安全保护，明确异步返回和动作提交的接口边界。</w:t>
            </w:r>
          </w:p>
          <w:p>
            <w:pPr>
              <w:pStyle w:val="Normal"/>
              <w:keepNext w:val="false"/>
              <w:widowControl/>
              <w:snapToGrid w:val="false"/>
              <w:spacing w:lineRule="exact" w:line="320" w:before="0" w:after="50"/>
              <w:ind w:firstLine="420" w:end="0"/>
              <w:jc w:val="both"/>
              <w:rPr>
                <w:rFonts w:hint="eastAsia"/>
              </w:rPr>
            </w:pPr>
            <w:r>
              <w:rPr>
                <w:rFonts w:hint="eastAsia"/>
              </w:rPr>
              <w:t>二是观测与规划一致性检查。在云端方案返回和动作提交前，联合核验采集时间、目标身份、深度与几何条件、任务版本及步骤前置条件。输出通过、拒绝或证据不足三类结果，分别进入执行、重规划或重观测流程，并记录判定依据。</w:t>
            </w:r>
          </w:p>
          <w:p>
            <w:pPr>
              <w:pStyle w:val="Normal"/>
              <w:keepNext w:val="false"/>
              <w:widowControl/>
              <w:snapToGrid w:val="false"/>
              <w:spacing w:lineRule="exact" w:line="320" w:before="0" w:after="50"/>
              <w:ind w:firstLine="420" w:end="0"/>
              <w:jc w:val="both"/>
              <w:rPr>
                <w:rFonts w:hint="eastAsia"/>
              </w:rPr>
            </w:pPr>
            <w:r>
              <w:rPr>
                <w:rFonts w:hint="eastAsia"/>
              </w:rPr>
              <w:t>三是事件驱动的协同决策。由状态变化或执行异常触发，先按能力和证据筛选继续、重观测、局部恢复、云端重规划及停止等候选，再比较风险、预计耗时与调用成本。风险通过独立数据校准，结合重复请求合并和预算约束管理异步调用。</w:t>
            </w:r>
          </w:p>
          <w:p>
            <w:pPr>
              <w:pStyle w:val="Normal"/>
              <w:keepNext w:val="false"/>
              <w:widowControl/>
              <w:snapToGrid w:val="false"/>
              <w:spacing w:lineRule="exact" w:line="320" w:before="0" w:after="50"/>
              <w:ind w:firstLine="420" w:end="0"/>
              <w:jc w:val="both"/>
              <w:rPr>
                <w:rFonts w:hint="eastAsia"/>
                <w:b/>
                <w:bCs/>
              </w:rPr>
            </w:pPr>
            <w:r>
              <w:rPr>
                <w:rFonts w:hint="eastAsia"/>
              </w:rPr>
              <w:t>四是基于动作效果依赖的有限恢复。依据前置条件和效果关系定位受影响步骤，以当前观测复核已完成成果；对可恢复异常执行局部补偿，并以新观测验证效果。限定重试次数、总耗时和远程调用预算，超过能力或预算时升级重规划或停止。</w:t>
            </w:r>
          </w:p>
          <w:p>
            <w:pPr>
              <w:pStyle w:val="Normal"/>
              <w:keepNext w:val="false"/>
              <w:widowControl/>
              <w:snapToGrid w:val="false"/>
              <w:spacing w:lineRule="exact" w:line="320" w:before="0" w:after="50"/>
              <w:ind w:firstLine="420" w:end="0"/>
              <w:jc w:val="both"/>
              <w:rPr>
                <w:rFonts w:hint="eastAsia"/>
              </w:rPr>
            </w:pPr>
            <w:r>
              <w:rPr>
                <w:rFonts w:hint="eastAsia"/>
                <w:b/>
                <w:bCs/>
              </w:rPr>
              <w:t xml:space="preserve">1.2 </w:t>
            </w:r>
            <w:r>
              <w:rPr>
                <w:rFonts w:hint="eastAsia"/>
                <w:b/>
                <w:bCs/>
              </w:rPr>
              <w:t>研究与开发目标</w:t>
            </w:r>
          </w:p>
          <w:p>
            <w:pPr>
              <w:pStyle w:val="Normal"/>
              <w:keepNext w:val="false"/>
              <w:widowControl/>
              <w:snapToGrid w:val="false"/>
              <w:spacing w:lineRule="exact" w:line="320" w:before="0" w:after="50"/>
              <w:ind w:firstLine="420" w:end="0"/>
              <w:jc w:val="both"/>
              <w:rPr>
                <w:rFonts w:hint="eastAsia"/>
              </w:rPr>
            </w:pPr>
            <w:r>
              <w:rPr>
                <w:rFonts w:hint="eastAsia"/>
              </w:rPr>
              <w:t>在系统功能方面，拟贯通自然语言与视觉输入、云端规划、边缘核验与调度、端侧执行和效果验证，形成受控桌面仿真原型。以下性能均为待验证目标，软件检查、实际仿真运行与正式研究验收分别记录。</w:t>
            </w:r>
          </w:p>
          <w:p>
            <w:pPr>
              <w:pStyle w:val="Normal"/>
              <w:keepNext w:val="false"/>
              <w:widowControl/>
              <w:snapToGrid w:val="false"/>
              <w:spacing w:lineRule="exact" w:line="320" w:before="0" w:after="50"/>
              <w:ind w:firstLine="420" w:end="0"/>
              <w:jc w:val="both"/>
              <w:rPr>
                <w:rFonts w:hint="eastAsia"/>
              </w:rPr>
            </w:pPr>
            <w:r>
              <w:rPr>
                <w:rFonts w:hint="eastAsia"/>
              </w:rPr>
              <w:t>在基础操作方面，对正确识别且深度有效的目标，预期基坐标系操作点定位误差</w:t>
            </w:r>
            <w:r>
              <w:rPr>
                <w:rFonts w:hint="eastAsia"/>
              </w:rPr>
              <w:t>P90≤10mm</w:t>
            </w:r>
            <w:r>
              <w:rPr>
                <w:rFonts w:hint="eastAsia"/>
              </w:rPr>
              <w:t>，并报告有效覆盖率；独立静态抓放成功率≥</w:t>
            </w:r>
            <w:r>
              <w:rPr>
                <w:rFonts w:hint="eastAsia"/>
              </w:rPr>
              <w:t>90%</w:t>
            </w:r>
            <w:r>
              <w:rPr>
                <w:rFonts w:hint="eastAsia"/>
              </w:rPr>
              <w:t>。失败、超时、停止和阻塞均计入预分配任务分母。</w:t>
            </w:r>
          </w:p>
          <w:p>
            <w:pPr>
              <w:pStyle w:val="Normal"/>
              <w:keepNext w:val="false"/>
              <w:widowControl/>
              <w:snapToGrid w:val="false"/>
              <w:spacing w:lineRule="exact" w:line="320" w:before="0" w:after="50"/>
              <w:ind w:firstLine="420" w:end="0"/>
              <w:jc w:val="both"/>
              <w:rPr>
                <w:rFonts w:hint="eastAsia"/>
                <w:b/>
                <w:bCs/>
              </w:rPr>
            </w:pPr>
            <w:r>
              <w:rPr>
                <w:rFonts w:hint="eastAsia"/>
              </w:rPr>
              <w:t>在协同效率方面，相对合格周期监督基线，预期远程模型请求均值减少≥</w:t>
            </w:r>
            <w:r>
              <w:rPr>
                <w:rFonts w:hint="eastAsia"/>
              </w:rPr>
              <w:t>30%</w:t>
            </w:r>
            <w:r>
              <w:rPr>
                <w:rFonts w:hint="eastAsia"/>
              </w:rPr>
              <w:t>，重试与外部判断调用均计入。成功率差的单侧</w:t>
            </w:r>
            <w:r>
              <w:rPr>
                <w:rFonts w:hint="eastAsia"/>
              </w:rPr>
              <w:t>95%</w:t>
            </w:r>
            <w:r>
              <w:rPr>
                <w:rFonts w:hint="eastAsia"/>
              </w:rPr>
              <w:t>置信下界须大于−</w:t>
            </w:r>
            <w:r>
              <w:rPr>
                <w:rFonts w:hint="eastAsia"/>
              </w:rPr>
              <w:t>3</w:t>
            </w:r>
            <w:r>
              <w:rPr>
                <w:rFonts w:hint="eastAsia"/>
              </w:rPr>
              <w:t>个百分点，安全违规率差的单侧</w:t>
            </w:r>
            <w:r>
              <w:rPr>
                <w:rFonts w:hint="eastAsia"/>
              </w:rPr>
              <w:t>95%</w:t>
            </w:r>
            <w:r>
              <w:rPr>
                <w:rFonts w:hint="eastAsia"/>
              </w:rPr>
              <w:t>置信上界不超过</w:t>
            </w:r>
            <w:r>
              <w:rPr>
                <w:rFonts w:hint="eastAsia"/>
              </w:rPr>
              <w:t>+1</w:t>
            </w:r>
            <w:r>
              <w:rPr>
                <w:rFonts w:hint="eastAsia"/>
              </w:rPr>
              <w:t>个百分点；同时比较含失败代价的任务与恢复耗时。</w:t>
            </w:r>
          </w:p>
          <w:p>
            <w:pPr>
              <w:pStyle w:val="Normal"/>
              <w:keepNext w:val="false"/>
              <w:widowControl/>
              <w:snapToGrid w:val="false"/>
              <w:spacing w:lineRule="exact" w:line="320" w:before="0" w:after="50"/>
              <w:ind w:firstLine="420" w:end="0"/>
              <w:jc w:val="both"/>
              <w:rPr>
                <w:rFonts w:hint="eastAsia"/>
              </w:rPr>
            </w:pPr>
            <w:r>
              <w:rPr>
                <w:rFonts w:hint="eastAsia"/>
                <w:b/>
                <w:bCs/>
              </w:rPr>
              <w:t>2.</w:t>
            </w:r>
            <w:r>
              <w:rPr>
                <w:rFonts w:hint="eastAsia"/>
                <w:b/>
                <w:bCs/>
              </w:rPr>
              <w:t>拟解决的关键问题</w:t>
            </w:r>
          </w:p>
          <w:p>
            <w:pPr>
              <w:pStyle w:val="Normal"/>
              <w:keepNext w:val="false"/>
              <w:widowControl/>
              <w:snapToGrid w:val="false"/>
              <w:spacing w:lineRule="exact" w:line="320" w:before="0" w:after="50"/>
              <w:ind w:firstLine="420" w:end="0"/>
              <w:jc w:val="both"/>
              <w:rPr>
                <w:rFonts w:hint="eastAsia"/>
              </w:rPr>
            </w:pPr>
            <w:r>
              <w:rPr>
                <w:rFonts w:hint="eastAsia"/>
              </w:rPr>
              <w:t>一是远程方案在当前状态下的有效性判定。针对目标移动、旧帧、迟到返回及任务版本冲突，利用本地可观测状态核验方案与动作前提，证据不足时重新观测或拒绝提交。按预定义动作机会统计无效动作误放行、有效动作误拒绝及证据不足比例，以独立物理评价检查核验结果，离线真值不进入在线决策。</w:t>
            </w:r>
          </w:p>
          <w:p>
            <w:pPr>
              <w:pStyle w:val="Normal"/>
              <w:keepNext w:val="false"/>
              <w:widowControl/>
              <w:snapToGrid w:val="false"/>
              <w:spacing w:lineRule="exact" w:line="320" w:before="0" w:after="50"/>
              <w:ind w:firstLine="420" w:end="0"/>
              <w:jc w:val="both"/>
              <w:rPr>
                <w:rFonts w:hint="eastAsia"/>
              </w:rPr>
            </w:pPr>
            <w:r>
              <w:rPr>
                <w:rFonts w:hint="eastAsia"/>
              </w:rPr>
              <w:t>二是质量约束下的云端介入与动作选择。将调用费用、通信和等待耗时分别计量，在能力及安全条件满足后比较有限候选的风险与成本；风险参数、阈值和周期在独立标定或选择集上确定。与合格周期监督及固定阈值触发方法使用相同任务、控制器和安全层开展配对比较，判断调用节省是否同时满足质量约束。</w:t>
            </w:r>
          </w:p>
          <w:p>
            <w:pPr>
              <w:pStyle w:val="Normal"/>
              <w:keepNext w:val="false"/>
              <w:widowControl/>
              <w:snapToGrid w:val="false"/>
              <w:spacing w:lineRule="exact" w:line="320" w:before="0" w:after="50"/>
              <w:ind w:firstLine="420" w:end="0"/>
              <w:jc w:val="both"/>
              <w:rPr>
                <w:rFonts w:hint="eastAsia"/>
                <w:b/>
                <w:bCs/>
              </w:rPr>
            </w:pPr>
            <w:r>
              <w:rPr>
                <w:rFonts w:hint="eastAsia"/>
              </w:rPr>
              <w:t>三是已完成效果的保留与局部恢复边界。按动作前置条件和效果依赖标识失效节点，以新观测复核可保留成果，仅重做受影响步骤。对预定义可恢复故障与完整重规划进行比较，报告恢复成功率、计入失败惩罚的恢复耗时和已完成不可重复动作的重提交次数；预算耗尽或效果无法验证时升级或停止。</w:t>
            </w:r>
          </w:p>
          <w:p>
            <w:pPr>
              <w:pStyle w:val="Normal"/>
              <w:keepNext w:val="false"/>
              <w:widowControl/>
              <w:snapToGrid w:val="false"/>
              <w:spacing w:lineRule="exact" w:line="320" w:before="0" w:after="50"/>
              <w:ind w:firstLine="420" w:end="0"/>
              <w:jc w:val="both"/>
              <w:rPr/>
            </w:pPr>
            <w:r>
              <w:rPr>
                <w:rFonts w:hint="eastAsia"/>
                <w:b/>
                <w:bCs/>
              </w:rPr>
              <w:t>3.</w:t>
            </w:r>
            <w:r>
              <w:rPr>
                <w:rFonts w:hint="eastAsia"/>
                <w:b/>
                <w:bCs/>
              </w:rPr>
              <w:t>系统总体设计与验证方案</w:t>
            </w:r>
          </w:p>
          <w:p>
            <w:pPr>
              <w:pStyle w:val="Normal"/>
              <w:keepNext w:val="false"/>
              <w:widowControl/>
              <w:snapToGrid w:val="false"/>
              <w:spacing w:lineRule="exact" w:line="320" w:before="0" w:after="50"/>
              <w:ind w:firstLine="420" w:end="0"/>
              <w:jc w:val="both"/>
              <w:rPr>
                <w:rFonts w:ascii="Times New Roman" w:hAnsi="Times New Roman" w:eastAsia="Noto Serif CJK SC;苹方-简" w:cs="Times New Roman"/>
                <w:b w:val="false"/>
                <w:i w:val="false"/>
                <w:color w:val="000000"/>
                <w:sz w:val="21"/>
              </w:rPr>
            </w:pPr>
            <w:r>
              <w:drawing>
                <wp:anchor distT="0" distB="0" distL="114935" distR="114935" simplePos="0" relativeHeight="3" behindDoc="0" locked="0" layoutInCell="1" allowOverlap="1">
                  <wp:simplePos x="0" y="0"/>
                  <wp:positionH relativeFrom="column">
                    <wp:posOffset>130175</wp:posOffset>
                  </wp:positionH>
                  <wp:positionV relativeFrom="paragraph">
                    <wp:posOffset>2091690</wp:posOffset>
                  </wp:positionV>
                  <wp:extent cx="4711065" cy="3971925"/>
                  <wp:effectExtent l="0" t="0" r="0" b="0"/>
                  <wp:wrapTopAndBottom/>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rcRect l="11556" t="1077" r="12291" b="2605"/>
                          <a:stretch>
                            <a:fillRect/>
                          </a:stretch>
                        </pic:blipFill>
                        <pic:spPr bwMode="auto">
                          <a:xfrm>
                            <a:off x="0" y="0"/>
                            <a:ext cx="4711065" cy="3971925"/>
                          </a:xfrm>
                          <a:prstGeom prst="rect">
                            <a:avLst/>
                          </a:prstGeom>
                          <a:solidFill>
                            <a:srgbClr val="FFFFFF"/>
                          </a:solidFill>
                        </pic:spPr>
                      </pic:pic>
                    </a:graphicData>
                  </a:graphic>
                </wp:anchor>
              </w:drawing>
            </w:r>
            <w:r>
              <w:rPr>
                <w:rFonts w:hint="eastAsia"/>
              </w:rPr>
              <w:t>系统拟采用图</w:t>
            </w:r>
            <w:r>
              <w:rPr>
                <w:rFonts w:hint="eastAsia"/>
              </w:rPr>
              <w:t>1</w:t>
            </w:r>
            <w:r>
              <w:rPr>
                <w:rFonts w:hint="eastAsia"/>
              </w:rPr>
              <w:t>所示云、边、端架构。云端沿用</w:t>
            </w:r>
            <w:r>
              <w:rPr>
                <w:rFonts w:hint="eastAsia"/>
              </w:rPr>
              <w:t>Qwen3.8-Max</w:t>
            </w:r>
            <w:r>
              <w:rPr>
                <w:rFonts w:hint="eastAsia"/>
              </w:rPr>
              <w:t>方案，输出含对象、前置条件、预期效果和版本的技能级计划，实际服务配置在实验前冻结。边缘近期采用规则与成本策略，当前尚未验收，局部恢复尚未启用；端侧采用</w:t>
            </w:r>
            <w:r>
              <w:rPr>
                <w:rFonts w:hint="eastAsia"/>
              </w:rPr>
              <w:t>OpenCV</w:t>
            </w:r>
            <w:r>
              <w:rPr>
                <w:rFonts w:hint="eastAsia"/>
              </w:rPr>
              <w:t>、</w:t>
            </w:r>
            <w:r>
              <w:rPr>
                <w:rFonts w:hint="eastAsia"/>
              </w:rPr>
              <w:t>RGB-D</w:t>
            </w:r>
            <w:r>
              <w:rPr>
                <w:rFonts w:hint="eastAsia"/>
              </w:rPr>
              <w:t>、可见姿态标记、顶视相机和既定技能控制器，保留碰撞及超时保护。各方法使用同场景、同种子和相同安全层，比较周期监督、固定阈值触发及本方法，纯本地方法用于说明能力边界。分别消融一致性检查、协同决策与恢复模块，报告成功率、请求与字节开销、耗时、资源占用及恢复效果。标定、策略选择与正式测试按来源组隔离，保留全部失败。任务成功同时要求在线效果验证与独立物理评价成立：抓取抬升≥</w:t>
            </w:r>
            <w:r>
              <w:rPr>
                <w:rFonts w:hint="eastAsia"/>
              </w:rPr>
              <w:t>50mm</w:t>
            </w:r>
            <w:r>
              <w:rPr>
                <w:rFonts w:hint="eastAsia"/>
              </w:rPr>
              <w:t>并保持≥</w:t>
            </w:r>
            <w:r>
              <w:rPr>
                <w:rFonts w:hint="eastAsia"/>
              </w:rPr>
              <w:t>0.5</w:t>
            </w:r>
            <w:r>
              <w:rPr>
                <w:rFonts w:hint="eastAsia"/>
              </w:rPr>
              <w:t>秒，释放后在目标区稳定≥</w:t>
            </w:r>
            <w:r>
              <w:rPr>
                <w:rFonts w:hint="eastAsia"/>
              </w:rPr>
              <w:t>1</w:t>
            </w:r>
            <w:r>
              <w:rPr>
                <w:rFonts w:hint="eastAsia"/>
              </w:rPr>
              <w:t>秒。所有结论限定于本实验条件，实机验证另行开展。</w:t>
            </w:r>
          </w:p>
          <w:p>
            <w:pPr>
              <w:pStyle w:val="Normal"/>
              <w:keepNext w:val="false"/>
              <w:widowControl/>
              <w:snapToGrid w:val="false"/>
              <w:spacing w:lineRule="exact" w:line="320" w:before="0" w:after="50"/>
              <w:ind w:firstLine="420" w:end="0"/>
              <w:jc w:val="center"/>
              <w:rPr/>
            </w:pPr>
            <w:r>
              <w:rPr>
                <w:rFonts w:ascii="Times New Roman" w:hAnsi="Times New Roman" w:cs="Times New Roman" w:eastAsia="Noto Serif CJK SC;苹方-简"/>
                <w:b w:val="false"/>
                <w:i w:val="false"/>
                <w:color w:val="000000"/>
                <w:sz w:val="21"/>
              </w:rPr>
              <w:t>图</w:t>
            </w:r>
            <w:r>
              <w:rPr>
                <w:rFonts w:eastAsia="Noto Serif CJK SC;苹方-简" w:cs="Times New Roman"/>
                <w:b w:val="false"/>
                <w:i w:val="false"/>
                <w:color w:val="000000"/>
                <w:sz w:val="21"/>
              </w:rPr>
              <w:t xml:space="preserve">1 </w:t>
            </w:r>
            <w:r>
              <w:rPr>
                <w:rFonts w:ascii="Times New Roman" w:hAnsi="Times New Roman" w:cs="Times New Roman" w:eastAsia="Noto Serif CJK SC;苹方-简"/>
                <w:b w:val="false"/>
                <w:i w:val="false"/>
                <w:color w:val="000000"/>
                <w:sz w:val="21"/>
              </w:rPr>
              <w:t>系统总体架构</w:t>
            </w:r>
          </w:p>
        </w:tc>
      </w:tr>
      <w:tr>
        <w:trPr>
          <w:trHeight w:val="2641" w:hRule="atLeast"/>
        </w:trPr>
        <w:tc>
          <w:tcPr>
            <w:tcW w:w="4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进展计划</w:t>
            </w:r>
          </w:p>
        </w:tc>
        <w:tc>
          <w:tcPr>
            <w:tcW w:w="8296" w:type="dxa"/>
            <w:gridSpan w:val="5"/>
            <w:tcBorders>
              <w:top w:val="single" w:sz="4" w:space="0" w:color="000000"/>
              <w:start w:val="single" w:sz="4" w:space="0" w:color="000000"/>
              <w:bottom w:val="single" w:sz="4" w:space="0" w:color="000000"/>
              <w:end w:val="single" w:sz="4" w:space="0" w:color="000000"/>
            </w:tcBorders>
          </w:tcPr>
          <w:p>
            <w:pPr>
              <w:pStyle w:val="Normal"/>
              <w:rPr>
                <w:rFonts w:hint="eastAsia"/>
                <w:b/>
                <w:bCs/>
              </w:rPr>
            </w:pPr>
            <w:r>
              <w:rPr>
                <w:rFonts w:ascii="Times New Roman" w:hAnsi="Times New Roman" w:cs="Times New Roman" w:hint="eastAsia"/>
              </w:rPr>
              <w:t>（总体安排、进度及预期成果形式）</w:t>
            </w:r>
          </w:p>
          <w:p>
            <w:pPr>
              <w:pStyle w:val="Normal"/>
              <w:ind w:firstLineChars="200" w:startChars="0" w:start="0" w:endChars="0" w:end="0"/>
              <w:rPr>
                <w:rFonts w:hint="eastAsia"/>
                <w:b/>
                <w:bCs/>
              </w:rPr>
            </w:pPr>
            <w:r>
              <w:rPr>
                <w:rFonts w:hint="eastAsia"/>
                <w:b/>
                <w:bCs/>
              </w:rPr>
              <w:t>2026</w:t>
            </w:r>
            <w:r>
              <w:rPr>
                <w:rFonts w:hint="eastAsia"/>
                <w:b/>
                <w:bCs/>
              </w:rPr>
              <w:t>年</w:t>
            </w:r>
            <w:r>
              <w:rPr>
                <w:rFonts w:hint="eastAsia"/>
                <w:b/>
                <w:bCs/>
              </w:rPr>
              <w:t>10</w:t>
            </w:r>
            <w:r>
              <w:rPr>
                <w:rFonts w:hint="eastAsia"/>
                <w:b/>
                <w:bCs/>
              </w:rPr>
              <w:t>月：</w:t>
            </w:r>
            <w:r>
              <w:rPr>
                <w:rFonts w:hint="eastAsia"/>
              </w:rPr>
              <w:t>完成文献梳理与开题材料，明确三个研究问题、系统边界和评价口径，核对既有源码、配置、运行记录与历史负结果。分别记录已有软件基础、实际仿真证据和待研究能力，确定后续实验前提与资源预算。阶段产出为开题报告、接口说明和实验草案；既有局部验证不直接提升为完整闭环验收。</w:t>
            </w:r>
          </w:p>
          <w:p>
            <w:pPr>
              <w:pStyle w:val="Normal"/>
              <w:ind w:firstLineChars="200" w:startChars="0" w:start="0" w:endChars="0" w:end="0"/>
              <w:rPr>
                <w:rFonts w:hint="eastAsia"/>
                <w:b/>
                <w:bCs/>
              </w:rPr>
            </w:pPr>
            <w:r>
              <w:rPr>
                <w:rFonts w:hint="eastAsia"/>
                <w:b/>
                <w:bCs/>
              </w:rPr>
              <w:t>2026</w:t>
            </w:r>
            <w:r>
              <w:rPr>
                <w:rFonts w:hint="eastAsia"/>
                <w:b/>
                <w:bCs/>
              </w:rPr>
              <w:t>年</w:t>
            </w:r>
            <w:r>
              <w:rPr>
                <w:rFonts w:hint="eastAsia"/>
                <w:b/>
                <w:bCs/>
              </w:rPr>
              <w:t>11</w:t>
            </w:r>
            <w:r>
              <w:rPr>
                <w:rFonts w:hint="eastAsia"/>
                <w:b/>
                <w:bCs/>
              </w:rPr>
              <w:t>月：</w:t>
            </w:r>
            <w:r>
              <w:rPr>
                <w:rFonts w:hint="eastAsia"/>
              </w:rPr>
              <w:t>完善感知定位、动作资格和基础抓放闭环。筛选</w:t>
            </w:r>
            <w:r>
              <w:rPr>
                <w:rFonts w:hint="eastAsia"/>
              </w:rPr>
              <w:t>0.5</w:t>
            </w:r>
            <w:r>
              <w:rPr>
                <w:rFonts w:hint="eastAsia"/>
              </w:rPr>
              <w:t>、</w:t>
            </w:r>
            <w:r>
              <w:rPr>
                <w:rFonts w:hint="eastAsia"/>
              </w:rPr>
              <w:t>1</w:t>
            </w:r>
            <w:r>
              <w:rPr>
                <w:rFonts w:hint="eastAsia"/>
              </w:rPr>
              <w:t>、</w:t>
            </w:r>
            <w:r>
              <w:rPr>
                <w:rFonts w:hint="eastAsia"/>
              </w:rPr>
              <w:t>2</w:t>
            </w:r>
            <w:r>
              <w:rPr>
                <w:rFonts w:hint="eastAsia"/>
              </w:rPr>
              <w:t>、</w:t>
            </w:r>
            <w:r>
              <w:rPr>
                <w:rFonts w:hint="eastAsia"/>
              </w:rPr>
              <w:t>5</w:t>
            </w:r>
            <w:r>
              <w:rPr>
                <w:rFonts w:hint="eastAsia"/>
              </w:rPr>
              <w:t>秒周期监督，候选须满足静态成功率≥</w:t>
            </w:r>
            <w:r>
              <w:rPr>
                <w:rFonts w:hint="eastAsia"/>
              </w:rPr>
              <w:t>90%</w:t>
            </w:r>
            <w:r>
              <w:rPr>
                <w:rFonts w:hint="eastAsia"/>
              </w:rPr>
              <w:t>、整体≥</w:t>
            </w:r>
            <w:r>
              <w:rPr>
                <w:rFonts w:hint="eastAsia"/>
              </w:rPr>
              <w:t>80%</w:t>
            </w:r>
            <w:r>
              <w:rPr>
                <w:rFonts w:hint="eastAsia"/>
              </w:rPr>
              <w:t>、安全违规率≤</w:t>
            </w:r>
            <w:r>
              <w:rPr>
                <w:rFonts w:hint="eastAsia"/>
              </w:rPr>
              <w:t>1%</w:t>
            </w:r>
            <w:r>
              <w:rPr>
                <w:rFonts w:hint="eastAsia"/>
              </w:rPr>
              <w:t>。开展新</w:t>
            </w:r>
            <w:r>
              <w:rPr>
                <w:rFonts w:hint="eastAsia"/>
              </w:rPr>
              <w:t>120</w:t>
            </w:r>
            <w:r>
              <w:rPr>
                <w:rFonts w:hint="eastAsia"/>
              </w:rPr>
              <w:t>组基础先导并保存完整失败与物理评价；无合格基线则继续补强，达到门槛后冻结初始实验协议。</w:t>
            </w:r>
          </w:p>
          <w:p>
            <w:pPr>
              <w:pStyle w:val="Normal"/>
              <w:ind w:firstLineChars="200" w:startChars="0" w:start="0" w:endChars="0" w:end="0"/>
              <w:rPr>
                <w:rFonts w:hint="eastAsia"/>
                <w:b/>
                <w:bCs/>
              </w:rPr>
            </w:pPr>
            <w:r>
              <w:rPr>
                <w:rFonts w:hint="eastAsia"/>
                <w:b/>
                <w:bCs/>
              </w:rPr>
              <w:t>2026</w:t>
            </w:r>
            <w:r>
              <w:rPr>
                <w:rFonts w:hint="eastAsia"/>
                <w:b/>
                <w:bCs/>
              </w:rPr>
              <w:t>年</w:t>
            </w:r>
            <w:r>
              <w:rPr>
                <w:rFonts w:hint="eastAsia"/>
                <w:b/>
                <w:bCs/>
              </w:rPr>
              <w:t>12</w:t>
            </w:r>
            <w:r>
              <w:rPr>
                <w:rFonts w:hint="eastAsia"/>
                <w:b/>
                <w:bCs/>
              </w:rPr>
              <w:t>月：</w:t>
            </w:r>
            <w:r>
              <w:rPr>
                <w:rFonts w:hint="eastAsia"/>
              </w:rPr>
              <w:t>实现观测和规划核验、任务版本管理与事件驱动决策，使用独立数据校准风险及阈值。针对旧帧、目标移动、迟到返回和版本冲突检查判定与处理结果，确认合法正常输入能够完成动作。阶段验收要求同时保留正常执行与拒绝反例、完整决策依据和实际成本记录。</w:t>
            </w:r>
          </w:p>
          <w:p>
            <w:pPr>
              <w:pStyle w:val="Normal"/>
              <w:ind w:firstLineChars="200" w:startChars="0" w:start="0" w:endChars="0" w:end="0"/>
              <w:rPr>
                <w:rFonts w:hint="eastAsia"/>
                <w:b/>
                <w:bCs/>
              </w:rPr>
            </w:pPr>
            <w:r>
              <w:rPr>
                <w:rFonts w:hint="eastAsia"/>
                <w:b/>
                <w:bCs/>
              </w:rPr>
              <w:t>2027</w:t>
            </w:r>
            <w:r>
              <w:rPr>
                <w:rFonts w:hint="eastAsia"/>
                <w:b/>
                <w:bCs/>
              </w:rPr>
              <w:t>年</w:t>
            </w:r>
            <w:r>
              <w:rPr>
                <w:rFonts w:hint="eastAsia"/>
                <w:b/>
                <w:bCs/>
              </w:rPr>
              <w:t>1</w:t>
            </w:r>
            <w:r>
              <w:rPr>
                <w:rFonts w:hint="eastAsia"/>
                <w:b/>
                <w:bCs/>
              </w:rPr>
              <w:t>月：</w:t>
            </w:r>
            <w:r>
              <w:rPr>
                <w:rFonts w:hint="eastAsia"/>
              </w:rPr>
              <w:t>完成效果依赖恢复与系统集成，验证补偿后的实际效果及重复执行防护，冻结方法和配置。另用不重叠的</w:t>
            </w:r>
            <w:r>
              <w:rPr>
                <w:rFonts w:hint="eastAsia"/>
              </w:rPr>
              <w:t>120</w:t>
            </w:r>
            <w:r>
              <w:rPr>
                <w:rFonts w:hint="eastAsia"/>
              </w:rPr>
              <w:t>组功效先导，按预定规则从每方法</w:t>
            </w:r>
            <w:r>
              <w:rPr>
                <w:rFonts w:hint="eastAsia"/>
              </w:rPr>
              <w:t>600</w:t>
            </w:r>
            <w:r>
              <w:rPr>
                <w:rFonts w:hint="eastAsia"/>
              </w:rPr>
              <w:t>、</w:t>
            </w:r>
            <w:r>
              <w:rPr>
                <w:rFonts w:hint="eastAsia"/>
              </w:rPr>
              <w:t>1200</w:t>
            </w:r>
            <w:r>
              <w:rPr>
                <w:rFonts w:hint="eastAsia"/>
              </w:rPr>
              <w:t>、</w:t>
            </w:r>
            <w:r>
              <w:rPr>
                <w:rFonts w:hint="eastAsia"/>
              </w:rPr>
              <w:t>1800</w:t>
            </w:r>
            <w:r>
              <w:rPr>
                <w:rFonts w:hint="eastAsia"/>
              </w:rPr>
              <w:t>、</w:t>
            </w:r>
            <w:r>
              <w:rPr>
                <w:rFonts w:hint="eastAsia"/>
              </w:rPr>
              <w:t>2400</w:t>
            </w:r>
            <w:r>
              <w:rPr>
                <w:rFonts w:hint="eastAsia"/>
              </w:rPr>
              <w:t>个配对场景组中确定正式样本量。预算与阶段门槛满足后启动正式实验，未满足则顺延。</w:t>
            </w:r>
          </w:p>
          <w:p>
            <w:pPr>
              <w:pStyle w:val="Normal"/>
              <w:ind w:firstLineChars="200" w:startChars="0" w:start="0" w:endChars="0" w:end="0"/>
              <w:rPr>
                <w:rFonts w:hint="eastAsia"/>
                <w:b/>
                <w:bCs/>
              </w:rPr>
            </w:pPr>
            <w:r>
              <w:rPr>
                <w:rFonts w:hint="eastAsia"/>
                <w:b/>
                <w:bCs/>
              </w:rPr>
              <w:t>2027</w:t>
            </w:r>
            <w:r>
              <w:rPr>
                <w:rFonts w:hint="eastAsia"/>
                <w:b/>
                <w:bCs/>
              </w:rPr>
              <w:t>年</w:t>
            </w:r>
            <w:r>
              <w:rPr>
                <w:rFonts w:hint="eastAsia"/>
                <w:b/>
                <w:bCs/>
              </w:rPr>
              <w:t>2</w:t>
            </w:r>
            <w:r>
              <w:rPr>
                <w:rFonts w:hint="eastAsia"/>
                <w:b/>
                <w:bCs/>
              </w:rPr>
              <w:t>月：</w:t>
            </w:r>
            <w:r>
              <w:rPr>
                <w:rFonts w:hint="eastAsia"/>
              </w:rPr>
              <w:t>在不同任务复杂度、网络延迟与环境扰动下开展配对对照和机制消融，统一任务输入、底层控制器和基础安全保护。按冻结协议采集成功率、任务时间、请求总量、计费用量、通信字节、资源占用及恢复结果。正式数据不用于追加调参，失败、超时、停止与阻塞均保留在统计分母中。</w:t>
            </w:r>
          </w:p>
          <w:p>
            <w:pPr>
              <w:pStyle w:val="Normal"/>
              <w:ind w:firstLineChars="200" w:startChars="0" w:start="0" w:endChars="0" w:end="0"/>
              <w:rPr>
                <w:rFonts w:hint="eastAsia"/>
                <w:b/>
                <w:bCs/>
              </w:rPr>
            </w:pPr>
            <w:r>
              <w:rPr>
                <w:rFonts w:hint="eastAsia"/>
                <w:b/>
                <w:bCs/>
              </w:rPr>
              <w:t>2027</w:t>
            </w:r>
            <w:r>
              <w:rPr>
                <w:rFonts w:hint="eastAsia"/>
                <w:b/>
                <w:bCs/>
              </w:rPr>
              <w:t>年</w:t>
            </w:r>
            <w:r>
              <w:rPr>
                <w:rFonts w:hint="eastAsia"/>
                <w:b/>
                <w:bCs/>
              </w:rPr>
              <w:t>3</w:t>
            </w:r>
            <w:r>
              <w:rPr>
                <w:rFonts w:hint="eastAsia"/>
                <w:b/>
                <w:bCs/>
              </w:rPr>
              <w:t>月：</w:t>
            </w:r>
            <w:r>
              <w:rPr>
                <w:rFonts w:hint="eastAsia"/>
              </w:rPr>
              <w:t>分析配对差异、置信区间及多重检验结果，按预先规定的非劣效和安全界限判断任务质量，分别评价请求、费用与通信收益。解释失败类别和适用条件，保留未达到的目标及负结果。完成论文初稿，并根据导师意见修改；仿真结论不外推为实机性能或特定板卡能耗。</w:t>
            </w:r>
          </w:p>
          <w:p>
            <w:pPr>
              <w:pStyle w:val="Normal"/>
              <w:ind w:firstLineChars="200" w:startChars="0" w:start="0" w:endChars="0" w:end="0"/>
              <w:rPr>
                <w:rFonts w:hint="eastAsia"/>
                <w:b/>
                <w:bCs/>
              </w:rPr>
            </w:pPr>
            <w:r>
              <w:rPr>
                <w:rFonts w:hint="eastAsia"/>
                <w:b/>
                <w:bCs/>
              </w:rPr>
              <w:t>2027</w:t>
            </w:r>
            <w:r>
              <w:rPr>
                <w:rFonts w:hint="eastAsia"/>
                <w:b/>
                <w:bCs/>
              </w:rPr>
              <w:t>年</w:t>
            </w:r>
            <w:r>
              <w:rPr>
                <w:rFonts w:hint="eastAsia"/>
                <w:b/>
                <w:bCs/>
              </w:rPr>
              <w:t>4</w:t>
            </w:r>
            <w:r>
              <w:rPr>
                <w:rFonts w:hint="eastAsia"/>
                <w:b/>
                <w:bCs/>
              </w:rPr>
              <w:t>月：</w:t>
            </w:r>
            <w:r>
              <w:rPr>
                <w:rFonts w:hint="eastAsia"/>
              </w:rPr>
              <w:t>完成论文修订、必要的补充验证及定稿送审，整理原型、接口与设计文档、代码配置、冻结协议和实验记录。复现材料注明数据获取方式与交付边界，保留原始失败证据；如实说明未达目标、样本和运行条件限制，完成查重、评阅修改及答辩材料准备。</w:t>
            </w:r>
          </w:p>
          <w:p>
            <w:pPr>
              <w:pStyle w:val="Normal"/>
              <w:ind w:firstLineChars="200" w:startChars="0" w:start="0" w:endChars="0" w:end="0"/>
              <w:rPr/>
            </w:pPr>
            <w:r>
              <w:rPr>
                <w:rFonts w:hint="eastAsia"/>
                <w:b/>
                <w:bCs/>
              </w:rPr>
              <w:t>2027</w:t>
            </w:r>
            <w:r>
              <w:rPr>
                <w:rFonts w:hint="eastAsia"/>
                <w:b/>
                <w:bCs/>
              </w:rPr>
              <w:t>年</w:t>
            </w:r>
            <w:r>
              <w:rPr>
                <w:rFonts w:hint="eastAsia"/>
                <w:b/>
                <w:bCs/>
              </w:rPr>
              <w:t>5</w:t>
            </w:r>
            <w:r>
              <w:rPr>
                <w:rFonts w:hint="eastAsia"/>
                <w:b/>
                <w:bCs/>
              </w:rPr>
              <w:t>月：</w:t>
            </w:r>
            <w:r>
              <w:rPr>
                <w:rFonts w:hint="eastAsia"/>
              </w:rPr>
              <w:t>按照学院学位论文答辩工作安排，完成论文答辩及相关材料提交工作。</w:t>
            </w:r>
          </w:p>
        </w:tc>
      </w:tr>
    </w:tbl>
    <w:p>
      <w:pPr>
        <w:pStyle w:val="Normal"/>
        <w:jc w:val="center"/>
        <w:rPr>
          <w:rFonts w:hint="eastAsia"/>
          <w:b/>
          <w:sz w:val="32"/>
          <w:szCs w:val="32"/>
        </w:rPr>
      </w:pPr>
      <w:r>
        <w:br w:type="page"/>
      </w:r>
      <w:r>
        <w:rPr>
          <w:rFonts w:hint="eastAsia"/>
          <w:b/>
          <w:sz w:val="32"/>
          <w:szCs w:val="32"/>
        </w:rPr>
        <w:t>北京大学软件与微电子学院</w:t>
      </w:r>
    </w:p>
    <w:p>
      <w:pPr>
        <w:pStyle w:val="Normal"/>
        <w:jc w:val="center"/>
        <w:rPr>
          <w:rFonts w:hint="eastAsia"/>
          <w:b/>
          <w:sz w:val="32"/>
          <w:szCs w:val="32"/>
        </w:rPr>
      </w:pPr>
      <w:r>
        <w:rPr>
          <w:rFonts w:hint="eastAsia"/>
          <w:b/>
          <w:sz w:val="32"/>
          <w:szCs w:val="32"/>
        </w:rPr>
        <w:t>开题报告评审表</w:t>
      </w:r>
    </w:p>
    <w:p>
      <w:pPr>
        <w:pStyle w:val="Normal"/>
        <w:ind w:firstLineChars="0" w:firstLine="0" w:startChars="-171" w:endChars="0" w:end="0"/>
        <w:rPr>
          <w:rFonts w:hint="eastAsia"/>
          <w:sz w:val="28"/>
          <w:szCs w:val="28"/>
        </w:rPr>
      </w:pPr>
      <w:r>
        <w:rPr>
          <w:rFonts w:hint="eastAsia"/>
          <w:b/>
          <w:sz w:val="32"/>
          <w:szCs w:val="32"/>
        </w:rPr>
        <w:t>日期：</w:t>
      </w:r>
      <w:r>
        <w:rPr>
          <w:rFonts w:hint="eastAsia"/>
          <w:b/>
          <w:sz w:val="32"/>
          <w:szCs w:val="32"/>
        </w:rPr>
        <w:t>2026</w:t>
      </w:r>
      <w:r>
        <w:rPr>
          <w:rFonts w:hint="eastAsia"/>
          <w:b/>
          <w:sz w:val="32"/>
          <w:szCs w:val="32"/>
        </w:rPr>
        <w:t>年</w:t>
      </w:r>
      <w:r>
        <w:rPr>
          <w:rFonts w:hint="eastAsia"/>
          <w:b/>
          <w:sz w:val="32"/>
          <w:szCs w:val="32"/>
        </w:rPr>
        <w:t>10</w:t>
      </w:r>
      <w:r>
        <w:rPr>
          <w:rFonts w:hint="eastAsia"/>
          <w:b/>
          <w:sz w:val="32"/>
          <w:szCs w:val="32"/>
        </w:rPr>
        <w:t>月</w:t>
      </w:r>
      <w:r>
        <w:rPr>
          <w:rFonts w:hint="eastAsia"/>
          <w:b/>
          <w:sz w:val="32"/>
          <w:szCs w:val="32"/>
        </w:rPr>
        <w:t>24</w:t>
      </w:r>
      <w:r>
        <w:rPr>
          <w:rFonts w:hint="eastAsia"/>
          <w:b/>
          <w:sz w:val="32"/>
          <w:szCs w:val="32"/>
        </w:rPr>
        <w:t>日 时间：</w:t>
      </w:r>
      <w:r>
        <w:rPr>
          <w:rFonts w:eastAsia="宋体;汉仪书宋二KW" w:cs="Times New Roman" w:hint="eastAsia"/>
          <w:b/>
          <w:sz w:val="32"/>
          <w:szCs w:val="32"/>
        </w:rPr>
        <w:t>9:30</w:t>
      </w:r>
      <w:r>
        <w:rPr>
          <w:rFonts w:hint="eastAsia"/>
          <w:b/>
          <w:sz w:val="32"/>
          <w:szCs w:val="32"/>
        </w:rPr>
        <w:t xml:space="preserve"> </w:t>
      </w:r>
      <w:r>
        <w:rPr>
          <w:rFonts w:hint="eastAsia"/>
          <w:b/>
          <w:sz w:val="32"/>
          <w:szCs w:val="32"/>
        </w:rPr>
        <w:t>地点：北京集成电路产教融合基地 记录人：</w:t>
      </w:r>
    </w:p>
    <w:tbl>
      <w:tblPr>
        <w:tblW w:w="9000" w:type="dxa"/>
        <w:jc w:val="center"/>
        <w:tblInd w:w="0" w:type="dxa"/>
        <w:tblLayout w:type="fixed"/>
        <w:tblCellMar>
          <w:top w:w="0" w:type="dxa"/>
          <w:start w:w="108" w:type="dxa"/>
          <w:bottom w:w="0" w:type="dxa"/>
          <w:end w:w="108" w:type="dxa"/>
        </w:tblCellMar>
      </w:tblPr>
      <w:tblGrid>
        <w:gridCol w:w="900"/>
        <w:gridCol w:w="1980"/>
        <w:gridCol w:w="1800"/>
        <w:gridCol w:w="4320"/>
      </w:tblGrid>
      <w:tr>
        <w:trPr>
          <w:trHeight w:val="615"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姓名</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宁业栋</w:t>
            </w:r>
          </w:p>
        </w:tc>
        <w:tc>
          <w:tcPr>
            <w:tcW w:w="180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报告题目</w:t>
            </w:r>
          </w:p>
        </w:tc>
        <w:tc>
          <w:tcPr>
            <w:tcW w:w="43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rPr>
            </w:pPr>
            <w:r>
              <w:rPr>
                <w:rFonts w:hint="eastAsia"/>
              </w:rPr>
              <w:t>面向边缘智能场景的小型机械臂云边协同控制系统的设计</w:t>
            </w:r>
          </w:p>
        </w:tc>
      </w:tr>
      <w:tr>
        <w:trPr>
          <w:trHeight w:val="615"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学号</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2501220176</w:t>
            </w:r>
          </w:p>
        </w:tc>
        <w:tc>
          <w:tcPr>
            <w:tcW w:w="180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rPr>
            </w:pPr>
            <w:r>
              <w:rPr>
                <w:rFonts w:hint="eastAsia"/>
              </w:rPr>
            </w:r>
          </w:p>
        </w:tc>
        <w:tc>
          <w:tcPr>
            <w:tcW w:w="43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rPr>
            </w:pPr>
            <w:r>
              <w:rPr>
                <w:rFonts w:hint="eastAsia"/>
              </w:rPr>
            </w:r>
          </w:p>
        </w:tc>
      </w:tr>
      <w:tr>
        <w:trPr>
          <w:trHeight w:val="6358"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hint="eastAsia"/>
                <w:sz w:val="28"/>
                <w:szCs w:val="28"/>
              </w:rPr>
            </w:pPr>
            <w:r>
              <w:rPr>
                <w:rFonts w:hint="eastAsia"/>
                <w:sz w:val="28"/>
                <w:szCs w:val="28"/>
              </w:rPr>
            </w:r>
          </w:p>
          <w:p>
            <w:pPr>
              <w:pStyle w:val="Normal"/>
              <w:jc w:val="center"/>
              <w:rPr>
                <w:rFonts w:hint="eastAsia"/>
                <w:sz w:val="28"/>
                <w:szCs w:val="28"/>
              </w:rPr>
            </w:pPr>
            <w:r>
              <w:rPr>
                <w:rFonts w:hint="eastAsia"/>
                <w:sz w:val="28"/>
                <w:szCs w:val="28"/>
              </w:rPr>
              <w:t>记</w:t>
            </w:r>
          </w:p>
          <w:p>
            <w:pPr>
              <w:pStyle w:val="Normal"/>
              <w:jc w:val="center"/>
              <w:rPr>
                <w:rFonts w:hint="eastAsia"/>
                <w:sz w:val="28"/>
                <w:szCs w:val="28"/>
              </w:rPr>
            </w:pPr>
            <w:r>
              <w:rPr>
                <w:rFonts w:hint="eastAsia"/>
                <w:sz w:val="28"/>
                <w:szCs w:val="28"/>
              </w:rPr>
              <w:t>录</w:t>
            </w:r>
          </w:p>
        </w:tc>
        <w:tc>
          <w:tcPr>
            <w:tcW w:w="81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hint="eastAsia"/>
                <w:sz w:val="28"/>
                <w:szCs w:val="28"/>
              </w:rPr>
            </w:pPr>
            <w:r>
              <w:rPr>
                <w:rFonts w:hint="eastAsia"/>
                <w:sz w:val="28"/>
                <w:szCs w:val="28"/>
              </w:rPr>
            </w:r>
          </w:p>
        </w:tc>
      </w:tr>
      <w:tr>
        <w:trPr>
          <w:trHeight w:val="2322"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评委</w:t>
            </w:r>
          </w:p>
          <w:p>
            <w:pPr>
              <w:pStyle w:val="Normal"/>
              <w:jc w:val="center"/>
              <w:rPr>
                <w:rFonts w:hint="eastAsia"/>
                <w:sz w:val="28"/>
                <w:szCs w:val="28"/>
              </w:rPr>
            </w:pPr>
            <w:r>
              <w:rPr>
                <w:rFonts w:hint="eastAsia"/>
                <w:sz w:val="28"/>
                <w:szCs w:val="28"/>
              </w:rPr>
              <w:t>意见</w:t>
            </w:r>
          </w:p>
        </w:tc>
        <w:tc>
          <w:tcPr>
            <w:tcW w:w="81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sz w:val="28"/>
                <w:szCs w:val="28"/>
              </w:rPr>
            </w:pPr>
            <w:r>
              <w:rPr>
                <w:rFonts w:hint="eastAsia"/>
                <w:sz w:val="28"/>
                <w:szCs w:val="28"/>
              </w:rPr>
            </w:r>
          </w:p>
        </w:tc>
      </w:tr>
      <w:tr>
        <w:trPr>
          <w:trHeight w:val="1557" w:hRule="atLeast"/>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hint="eastAsia"/>
                <w:sz w:val="28"/>
                <w:szCs w:val="28"/>
              </w:rPr>
            </w:pPr>
            <w:r>
              <w:rPr>
                <w:rFonts w:hint="eastAsia"/>
                <w:sz w:val="28"/>
                <w:szCs w:val="28"/>
              </w:rPr>
              <w:t>评委签字</w:t>
            </w:r>
          </w:p>
        </w:tc>
        <w:tc>
          <w:tcPr>
            <w:tcW w:w="8100"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hint="eastAsia"/>
                <w:sz w:val="28"/>
                <w:szCs w:val="28"/>
              </w:rPr>
            </w:pPr>
            <w:r>
              <w:rPr>
                <w:rFonts w:hint="eastAsia"/>
                <w:sz w:val="28"/>
                <w:szCs w:val="28"/>
              </w:rPr>
            </w:r>
          </w:p>
        </w:tc>
      </w:tr>
    </w:tbl>
    <w:p>
      <w:pPr>
        <w:pStyle w:val="Normal"/>
        <w:rPr>
          <w:rFonts w:hint="eastAsia"/>
        </w:rPr>
      </w:pPr>
      <w:r>
        <w:rPr>
          <w:rFonts w:hint="eastAsia"/>
        </w:rPr>
        <w:t xml:space="preserve">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宋体">
    <w:altName w:val="汉仪书宋二KW"/>
    <w:charset w:val="01"/>
    <w:family w:val="roman"/>
    <w:pitch w:val="variable"/>
  </w:font>
  <w:font w:name="Arial">
    <w:charset w:val="01"/>
    <w:family w:val="swiss"/>
    <w:pitch w:val="variable"/>
  </w:font>
  <w:font w:name="苹方-简">
    <w:charset w:val="01"/>
    <w:family w:val="roman"/>
    <w:pitch w:val="variable"/>
  </w:font>
  <w:font w:name="Liberation Sans">
    <w:altName w:val="Arial"/>
    <w:charset w:val="01"/>
    <w:family w:val="swiss"/>
    <w:pitch w:val="variable"/>
  </w:font>
  <w:font w:name="Cambria">
    <w:altName w:val="苹方-简"/>
    <w:charset w:val="01"/>
    <w:family w:val="roman"/>
    <w:pitch w:val="variable"/>
  </w:font>
  <w:font w:name="华文中宋">
    <w:altName w:val="汉仪书宋二KW"/>
    <w:charset w:val="01"/>
    <w:family w:val="roman"/>
    <w:pitch w:val="variable"/>
  </w:font>
  <w:font w:name="隶书">
    <w:altName w:val="报隶-简"/>
    <w:charset w:val="01"/>
    <w:family w:val="roman"/>
    <w:pitch w:val="variable"/>
  </w:font>
  <w:font w:name="仿宋_GB2312">
    <w:charset w:val="01"/>
    <w:family w:val="roman"/>
    <w:pitch w:val="variable"/>
  </w:font>
  <w:font w:name="Segoe UI Symbol">
    <w:altName w:val="苹方-简"/>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abstractNum w:abstractNumId="3">
    <w:lvl w:ilvl="0">
      <w:start w:val="1"/>
      <w:numFmt w:val="decimal"/>
      <w:lvlText w:val="%1．"/>
      <w:lvlJc w:val="start"/>
      <w:pPr>
        <w:tabs>
          <w:tab w:val="num" w:pos="0"/>
        </w:tabs>
        <w:ind w:start="360" w:hanging="360"/>
      </w:pPr>
    </w:lvl>
    <w:lvl w:ilvl="1">
      <w:start w:val="1"/>
      <w:numFmt w:val="decimal"/>
      <w:lvlText w:val="%2."/>
      <w:lvlJc w:val="start"/>
      <w:pPr>
        <w:tabs>
          <w:tab w:val="num" w:pos="0"/>
        </w:tabs>
        <w:ind w:start="1440" w:hanging="360"/>
      </w:pPr>
    </w:lvl>
    <w:lvl w:ilvl="2">
      <w:start w:val="1"/>
      <w:numFmt w:val="decimal"/>
      <w:lvlText w:val="%3."/>
      <w:lvlJc w:val="start"/>
      <w:pPr>
        <w:tabs>
          <w:tab w:val="num" w:pos="0"/>
        </w:tabs>
        <w:ind w:start="2160" w:hanging="360"/>
      </w:pPr>
    </w:lvl>
    <w:lvl w:ilvl="3">
      <w:start w:val="1"/>
      <w:numFmt w:val="decimal"/>
      <w:lvlText w:val="%4."/>
      <w:lvlJc w:val="start"/>
      <w:pPr>
        <w:tabs>
          <w:tab w:val="num" w:pos="0"/>
        </w:tabs>
        <w:ind w:start="2880" w:hanging="360"/>
      </w:pPr>
    </w:lvl>
    <w:lvl w:ilvl="4">
      <w:start w:val="1"/>
      <w:numFmt w:val="decimal"/>
      <w:lvlText w:val="%5."/>
      <w:lvlJc w:val="start"/>
      <w:pPr>
        <w:tabs>
          <w:tab w:val="num" w:pos="0"/>
        </w:tabs>
        <w:ind w:start="3600" w:hanging="360"/>
      </w:pPr>
    </w:lvl>
    <w:lvl w:ilvl="5">
      <w:start w:val="1"/>
      <w:numFmt w:val="decimal"/>
      <w:lvlText w:val="%6."/>
      <w:lvlJc w:val="start"/>
      <w:pPr>
        <w:tabs>
          <w:tab w:val="num" w:pos="0"/>
        </w:tabs>
        <w:ind w:start="4320" w:hanging="360"/>
      </w:pPr>
    </w:lvl>
    <w:lvl w:ilvl="6">
      <w:start w:val="1"/>
      <w:numFmt w:val="decimal"/>
      <w:lvlText w:val="%7."/>
      <w:lvlJc w:val="start"/>
      <w:pPr>
        <w:tabs>
          <w:tab w:val="num" w:pos="0"/>
        </w:tabs>
        <w:ind w:start="5040" w:hanging="360"/>
      </w:pPr>
    </w:lvl>
    <w:lvl w:ilvl="7">
      <w:start w:val="1"/>
      <w:numFmt w:val="decimal"/>
      <w:lvlText w:val="%8."/>
      <w:lvlJc w:val="start"/>
      <w:pPr>
        <w:tabs>
          <w:tab w:val="num" w:pos="0"/>
        </w:tabs>
        <w:ind w:start="5760" w:hanging="360"/>
      </w:pPr>
    </w:lvl>
    <w:lvl w:ilvl="8">
      <w:start w:val="1"/>
      <w:numFmt w:val="decimal"/>
      <w:lvlText w:val="%9."/>
      <w:lvlJc w:val="start"/>
      <w:pPr>
        <w:tabs>
          <w:tab w:val="num" w:pos="0"/>
        </w:tabs>
        <w:ind w:start="648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both"/>
    </w:pPr>
    <w:rPr>
      <w:rFonts w:ascii="Times New Roman" w:hAnsi="Times New Roman" w:eastAsia="宋体;汉仪书宋二KW"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汉仪书宋二KW" w:hAnsi="宋体;汉仪书宋二KW" w:eastAsia="宋体;汉仪书宋二KW" w:cs="宋体;汉仪书宋二KW"/>
      <w:b/>
      <w:bCs/>
      <w:kern w:val="2"/>
      <w:sz w:val="48"/>
      <w:szCs w:val="48"/>
    </w:rPr>
  </w:style>
  <w:style w:type="paragraph" w:styleId="Heading2">
    <w:name w:val="heading 2"/>
    <w:next w:val="Normal"/>
    <w:qFormat/>
    <w:pPr>
      <w:keepNext w:val="false"/>
      <w:keepLines w:val="false"/>
      <w:widowControl w:val="false"/>
      <w:numPr>
        <w:ilvl w:val="1"/>
        <w:numId w:val="1"/>
      </w:numPr>
      <w:suppressAutoHyphens w:val="true"/>
      <w:bidi w:val="0"/>
      <w:spacing w:lineRule="auto" w:line="240" w:before="240" w:after="164"/>
      <w:jc w:val="start"/>
      <w:outlineLvl w:val="1"/>
    </w:pPr>
    <w:rPr>
      <w:rFonts w:ascii="Arial" w:hAnsi="Arial" w:eastAsia="黑体;汉仪中黑KW" w:cs="Arial"/>
      <w:color w:val="auto"/>
      <w:kern w:val="2"/>
      <w:sz w:val="28"/>
      <w:szCs w:val="28"/>
      <w:lang w:bidi="ar-SA" w:val="en-US" w:eastAsia="zh-CN"/>
    </w:rPr>
  </w:style>
  <w:style w:type="character" w:styleId="Style12">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Strong">
    <w:name w:val="Strong"/>
    <w:basedOn w:val="Style12"/>
    <w:qFormat/>
    <w:rPr>
      <w:b/>
    </w:rPr>
  </w:style>
  <w:style w:type="character" w:styleId="Hyperlink">
    <w:name w:val="Hyperlink"/>
    <w:basedOn w:val="Style12"/>
    <w:rPr>
      <w:color w:val="0000FF"/>
      <w:u w:val="single"/>
    </w:rPr>
  </w:style>
  <w:style w:type="character" w:styleId="wb1">
    <w:name w:val="wb1"/>
    <w:qFormat/>
    <w:rPr>
      <w:rFonts w:ascii="苹方-简" w:hAnsi="苹方-简" w:cs="苹方-简"/>
      <w:strike w:val="false"/>
      <w:dstrike w:val="false"/>
      <w:color w:val="000000"/>
      <w:sz w:val="18"/>
      <w:szCs w:val="18"/>
      <w:u w:val="none"/>
    </w:rPr>
  </w:style>
  <w:style w:type="character" w:styleId="EndNoteBibliography">
    <w:name w:val="EndNote Bibliography 字符"/>
    <w:qFormat/>
    <w:rPr>
      <w:kern w:val="2"/>
      <w:szCs w:val="22"/>
      <w:lang w:eastAsia="en-US"/>
    </w:rPr>
  </w:style>
  <w:style w:type="paragraph" w:styleId="Heading">
    <w:name w:val="Heading"/>
    <w:basedOn w:val="Normal"/>
    <w:next w:val="BodyText"/>
    <w:qFormat/>
    <w:pPr>
      <w:keepNext w:val="true"/>
      <w:spacing w:before="240" w:after="120"/>
    </w:pPr>
    <w:rPr>
      <w:rFonts w:ascii="Liberation Sans;Arial" w:hAnsi="Liberation Sans;Arial" w:eastAsia="Noto Sans CJK SC" w:cs="Noto Sans"/>
      <w:sz w:val="28"/>
      <w:szCs w:val="28"/>
    </w:rPr>
  </w:style>
  <w:style w:type="paragraph" w:styleId="BodyText">
    <w:name w:val="Body Text"/>
    <w:pPr>
      <w:widowControl w:val="false"/>
      <w:suppressAutoHyphens w:val="true"/>
      <w:bidi w:val="0"/>
      <w:spacing w:lineRule="exact" w:line="400" w:before="0" w:after="0"/>
      <w:ind w:firstLineChars="200" w:startChars="0" w:start="0" w:endChars="0" w:end="0"/>
      <w:jc w:val="both"/>
    </w:pPr>
    <w:rPr>
      <w:rFonts w:ascii="Times New Roman" w:hAnsi="Times New Roman" w:eastAsia="宋体;汉仪书宋二KW" w:cs="Times New Roman"/>
      <w:color w:val="auto"/>
      <w:kern w:val="2"/>
      <w:sz w:val="24"/>
      <w:szCs w:val="24"/>
      <w:lang w:bidi="ar-SA" w:val="en-US" w:eastAsia="zh-CN"/>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caption1">
    <w:name w:val="caption1"/>
    <w:basedOn w:val="Normal"/>
    <w:qFormat/>
    <w:pPr>
      <w:suppressLineNumbers/>
      <w:spacing w:before="120" w:after="120"/>
    </w:pPr>
    <w:rPr>
      <w:rFonts w:cs="Noto Sans"/>
      <w:i/>
      <w:iCs/>
      <w:sz w:val="24"/>
      <w:szCs w:val="24"/>
    </w:rPr>
  </w:style>
  <w:style w:type="paragraph" w:styleId="Style13">
    <w:name w:val="题注"/>
    <w:basedOn w:val="Normal"/>
    <w:next w:val="Normal"/>
    <w:qFormat/>
    <w:pPr/>
    <w:rPr>
      <w:rFonts w:ascii="Cambria;苹方-简" w:hAnsi="Cambria;苹方-简" w:eastAsia="黑体;汉仪中黑KW" w:cs="Times New Roman"/>
      <w:sz w:val="20"/>
      <w:szCs w:val="20"/>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ind w:hanging="0" w:start="0" w:end="0"/>
      <w:jc w:val="start"/>
    </w:pPr>
    <w:rPr>
      <w:kern w:val="0"/>
      <w:sz w:val="24"/>
    </w:rPr>
  </w:style>
  <w:style w:type="paragraph" w:styleId="EndNoteBibliography1">
    <w:name w:val="EndNote Bibliography"/>
    <w:basedOn w:val="Normal"/>
    <w:qFormat/>
    <w:pPr>
      <w:ind w:firstLineChars="200" w:startChars="0" w:start="0" w:endChars="0" w:end="0"/>
      <w:jc w:val="start"/>
    </w:pPr>
    <w:rPr>
      <w:sz w:val="20"/>
      <w:szCs w:val="22"/>
      <w:lang w:eastAsia="en-US"/>
    </w:rPr>
  </w:style>
  <w:style w:type="paragraph" w:styleId="Style16">
    <w:name w:val="列表段落"/>
    <w:basedOn w:val="Normal"/>
    <w:qFormat/>
    <w:pPr>
      <w:ind w:firstLineChars="200" w:startChars="0" w:start="0" w:endChars="0" w:end="0"/>
    </w:pPr>
    <w:rPr>
      <w:rFonts w:cs="Times New Roman"/>
      <w:szCs w:val="22"/>
    </w:rPr>
  </w:style>
  <w:style w:type="paragraph" w:styleId="Style17">
    <w:name w:val="图片标题"/>
    <w:next w:val="Normal"/>
    <w:qFormat/>
    <w:pPr>
      <w:widowControl w:val="false"/>
      <w:tabs>
        <w:tab w:val="clear" w:pos="420"/>
        <w:tab w:val="left" w:pos="0" w:leader="none"/>
      </w:tabs>
      <w:suppressAutoHyphens w:val="true"/>
      <w:bidi w:val="0"/>
      <w:spacing w:lineRule="exact" w:line="400" w:before="120" w:after="120"/>
      <w:jc w:val="center"/>
    </w:pPr>
    <w:rPr>
      <w:rFonts w:ascii="Arial" w:hAnsi="Arial" w:eastAsia="黑体;汉仪中黑KW" w:cs="Arial"/>
      <w:color w:val="auto"/>
      <w:kern w:val="2"/>
      <w:sz w:val="21"/>
      <w:szCs w:val="21"/>
      <w:lang w:bidi="ar-SA" w:val="en-US" w:eastAsia="zh-CN"/>
    </w:rPr>
  </w:style>
  <w:style w:type="paragraph" w:styleId="Style18">
    <w:name w:val="参考文献条目"/>
    <w:next w:val="Normal"/>
    <w:qFormat/>
    <w:pPr>
      <w:widowControl w:val="false"/>
      <w:suppressAutoHyphens w:val="true"/>
      <w:bidi w:val="0"/>
      <w:spacing w:lineRule="exact" w:line="320" w:before="0" w:after="0"/>
      <w:ind w:hangingChars="200" w:startChars="0" w:start="0" w:endChars="0" w:end="0"/>
      <w:jc w:val="both"/>
    </w:pPr>
    <w:rPr>
      <w:rFonts w:ascii="Times New Roman" w:hAnsi="Times New Roman" w:eastAsia="宋体;汉仪书宋二KW" w:cs="Times New Roman"/>
      <w:color w:val="auto"/>
      <w:kern w:val="2"/>
      <w:sz w:val="21"/>
      <w:szCs w:val="21"/>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39840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2025-10-12T02:43:00Z</dcterms:created>
  <dc:creator>Ż�</dc:creator>
  <dc:description/>
  <dc:language>en-US</dc:language>
  <cp:lastModifiedBy>栋</cp:lastModifiedBy>
  <cp:lastPrinted>2007-08-30T15:49:00Z</cp:lastPrinted>
  <dcterms:modified xsi:type="dcterms:W3CDTF">2026-10-20T05:44:44Z</dcterms:modified>
  <cp:revision>2</cp:revision>
  <dc:subject/>
  <dc:title>ѧְ˶ʿרҵѧλо�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1D3FDCB241AB909D618ACB6A0F0B2CF8_42</vt:lpwstr>
  </property>
  <property fmtid="{D5CDD505-2E9C-101B-9397-08002B2CF9AE}" pid="3" name="KSOProductBuildVer">
    <vt:lpwstr>2052-12.1.28496.28496</vt:lpwstr>
  </property>
</Properties>
</file>