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0" w:end="0" w:start="0"/>
        <w:jc w:val="center"/>
        <w:spacing w:before="0" w:after="12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>学校及学院：________________________________</w:t>
      </w:r>
    </w:p>
    <w:p>
      <w:pPr>
        <w:pStyle w:val="Title"/>
        <w:ind w:firstLine="0" w:end="0" w:start="0"/>
        <w:jc w:val="center"/>
        <w:spacing w:before="0" w:after="200" w:line="320" w:lineRule="exact"/>
        <w:snapToGrid w:val="0"/>
        <w:widowControl w:val="1"/>
        <w:keepNext w:val="1"/>
      </w:pPr>
      <w:r>
        <w:rPr>
          <w:rFonts w:ascii="Times New Roman" w:hAnsi="Times New Roman" w:eastAsia="宋体" w:cs="Times New Roman"/>
          <w:color w:val="000000"/>
          <w:sz w:val="30"/>
          <w:szCs w:val="30"/>
          <w:b/>
        </w:rPr>
        <w:t>论文开题报告申请表</w:t>
      </w:r>
    </w:p>
    <w:tbl>
      <w:tblPr>
        <w:tblW w:w="8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8"/>
        <w:gridCol w:w="180"/>
        <w:gridCol w:w="360"/>
        <w:gridCol w:w="1440"/>
        <w:gridCol w:w="720"/>
        <w:gridCol w:w="1980"/>
        <w:gridCol w:w="3615"/>
      </w:tblGrid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学生姓名</w:t>
            </w:r>
          </w:p>
        </w:tc>
        <w:tc>
          <w:tcPr>
            <w:tcW w:w="18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论文名称</w:t>
            </w:r>
          </w:p>
        </w:tc>
        <w:tc>
          <w:tcPr>
            <w:tcW w:w="55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面向边缘智能场景的小型机械臂云边协同控制系统的设计</w:t>
            </w:r>
          </w:p>
        </w:tc>
      </w:tr>
      <w:tr>
        <w:trPr>
          <w:trHeight w:val="465" w:hRule="atLeast"/>
          <w:cantSplit/>
        </w:trPr>
        <w:tc>
          <w:tcPr>
            <w:tcW w:w="6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论文类型</w:t>
            </w:r>
          </w:p>
        </w:tc>
        <w:tc>
          <w:tcPr>
            <w:tcW w:w="252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工程类（√）／研究类（ ）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专业学位领域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集成电路工程</w:t>
            </w:r>
          </w:p>
        </w:tc>
      </w:tr>
      <w:tr>
        <w:trPr>
          <w:trHeight w:val="435" w:hRule="atLeast"/>
          <w:cantSplit/>
        </w:trPr>
        <w:tc>
          <w:tcPr>
            <w:tcW w:w="1008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申请开题日期</w:t>
            </w:r>
          </w:p>
        </w:tc>
        <w:tc>
          <w:tcPr>
            <w:tcW w:w="2160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企业合作导师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2160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学院指导教师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</w:tr>
      <w:tr>
        <w:trPr>
          <w:trHeight w:val="459" w:hRule="atLeast"/>
          <w:cantSplit/>
        </w:trPr>
        <w:tc>
          <w:tcPr>
            <w:tcW w:w="100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学号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研究方向</w:t>
            </w:r>
          </w:p>
        </w:tc>
        <w:tc>
          <w:tcPr>
            <w:tcW w:w="36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0" w:line="28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嵌入式智能系统与云边端协同控制</w:t>
            </w:r>
          </w:p>
        </w:tc>
      </w:tr>
      <w:tr>
        <w:trPr>
          <w:trHeight w:val="2156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技术背景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一、选题意义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针对小型机械臂边缘计算资源有限、云端响应存在延迟以及视觉信息可能失效的问题，研究云端规划、边缘决策与端侧感知执行相结合的控制系统。通过在任务成功率和安全约束下优化计算与通信分工，为面向嵌入式处理器的智能控制系统设计、接口组织和资源利用提供工程依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国内外研究现状与立项依据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机器人通过远程计算和共享资源扩展机器人能力，边缘计算则将部分处理任务部署在靠近传感器与执行器的位置，以改善响应时间和带宽利用[1-2]。已有机器人网络卸载研究将感知不确定性和通信成本纳入决策[3]；语言模型机器人研究通过技能可行性约束，将高层语义规划连接到物理执行[4]。这些工作为本课题的分层方案提供了基础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对实际操作任务而言，云端返回的方案可能依赖过期观测，端侧感知也可能受到遮挡和无效深度影响。因此，本课题重点研究“当前证据能否支持动作执行”以及“证据失效后如何有限修复”，在已有云边协同框架上建立从观测、判断、动作到效果验证的闭环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依托BIGsmall项目，专业关联重点为嵌入式计算任务划分、传感与控制接口、通信资源约束及系统可靠性验证。近期以物理仿真和模拟云边端部署为主要验证环境，板级部署与真实机械臂验证另按设备条件开展，相关结论限定于实际验证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主要参考文献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[1] Kehoe B, et al. A Survey of Research on Cloud Robotics and Automation. IEEE TASE, 2015, 12(2): 398–409.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[2] Shi W, et al. Edge Computing: Vision and Challenges. IEEE Internet of Things Journal, 2016, 3(5): 637–646.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[3] Chinchali S, et al. Network Offloading Policies for Cloud Robotics: A Learning-Based Approach. Robotics: Science and Systems, 2019.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[4] Ahn M, et al. Do As I Can, Not As I Say: Grounding Language in Robotic Affordances. Conference on Robot Learning, 2022.</w:t>
            </w:r>
          </w:p>
        </w:tc>
      </w:tr>
      <w:tr>
        <w:trPr>
          <w:trHeight w:val="4038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研究开发方案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二、研究内容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1. 已完成的工作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建立任务契约、周期云端监督、事件触发边缘自治、模式选择、技能执行和安全检查等软件模块，并形成MuJoCo仿真运行、可视化工作台及实验记录工具。云端历史记录包括35次真实Max请求及响应有效性核验；端侧已实现OpenCV身份检查、RGB-D几何条件和三值判断，一次限定开发轨迹的4,807帧均完成原始读出及标记观测核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当前资产已实际采集100组开发数据，运行来源和时效窗口软件已完成部分限定验收。上述工作证明了软件和局部仿真链路具备研究基础，尚不能替代完整动作资格或正式方法验证；旧版120组先导仅5组成功的负结果继续保留，后续需先建立合格基础闭环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2. 研究方案与技术路线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云端沿用项目既定的Qwen3.8-Max方案，负责初始任务规划、监督与重规划；边缘侧汇总观测和执行状态，近期采用规则与实测成本进行受约束判断，边缘模型选型后置；端侧采用OpenCV、RGB-D几何及已选可见姿态标记，保留顶视相机、现有控制器、技能执行器与SafetyShield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技术路线：任务输入 → 云端规划 → 边缘证据与能力检查 → 端侧受控执行 → 新观测与效果验证 → 继续、重观测、修复、请求云端或停止。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拟解决三个关键问题：一是将目标身份、观测时刻、标定版本和几何误差界与动作绑定，在云端返回及动作提交前复核；二是在满足能力与风险约束的候选中，联合考虑计算、通信和任务代价；三是根据证据依赖定位受影响的未完成步骤，在有限预算内局部修复，并保护已经确认完成的物理效果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模型请求异步执行，普通决策在技能边界应用，硬停止独立于模型响应。研究中记录实际计算平台、CPU/GPU占用、内存、收发字节和端到端延迟，评价软硬件接口组织及资源分配对系统性能的影响。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3. 研究目标与验证方法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采用相同场景、模型、控制器及安全约束，对比周期监督、固定阈值事件触发、规则模式选择和拟研究方法；先在0.5、1、2、5秒周期上筛选合格基线，再开展相互隔离的基础先导、方法冻结、功效先导和正式实验。正式样本量按预定功效规则从每方法600、1,200、1,800、2,400个配对场景组中选择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计划目标包括：有效定位误差P90不超过10 mm，独立静态抓放成功率不低于90%；相对合格周期基线，云请求均值降低至少30%，同时满足成功率差单侧95%下界大于−3个百分点、安全违规率差单侧95%上界不超过+1个百分点；在预定义200个可恢复故障组中，恢复成功率不低于80%。以上均为待验证目标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在线效果验证与独立物理评价共同判定任务成功。训练、标定、选择与测试按来源组隔离；原始失败、超时、停止和阻塞均保留。现有软件、数据和仿真平台可支持方法开发，近期重点是补齐几何、时效与执行边界，再进入正式对照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三、论文架构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第一章 绪论：研究背景、国内外现状、研究问题与主要内容。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第二章 系统需求与总体设计：任务约束、计算平台、云边端分工、传感与控制接口、资源预算。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第三章 端侧视觉与证据约束：RGB-D采集、身份与姿态观测、几何误差、有效期及效果验证。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第四章 云边协同决策：任务契约、周期与事件机制、风险校准、成本决策及模式切换。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第五章 局部修复与系统实现：失败依赖、恢复预算、完成效果保护、控制器集成与状态持久化。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第六章 实验与性能分析：基线筛选、正式比较、消融与恢复、资源开销、失败分析及复现。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第七章 总结与展望：研究结论、工程价值、局限与后续板级及实机验证。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四、成果展示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已申请发明专利1项：《机器人控制方法、装备及存储介质》，申请号202611505816.9。相关技术涉及云端计划有效性验证、边缘安全决策及执行模式协调，与论文的系统接口、协同决策和可靠执行内容相对应。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现有工程成果包括系统软件原型、仿真工作台、局部开发验证记录和研究文稿；后续拟形成学位论文、正式对照与消融结果、资源开销分析以及可追溯的演示和复现材料。学术论文发表或录用信息尚未登记。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本课题与“集成电路工程”的关联拟落实到面向嵌入式处理器的系统设计、传感控制接口和资源约束评价。现有专利处于申请阶段，是否满足毕业成果要求，须结合学院适用规定、发明人排序和成果证明材料核定，不能仅依据申请号认定达标。</w:t>
            </w:r>
          </w:p>
        </w:tc>
      </w:tr>
      <w:tr>
        <w:trPr>
          <w:trHeight w:val="2641" w:hRule="atLeast"/>
        </w:trPr>
        <w:tc>
          <w:tcPr>
            <w:tcW w:w="4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firstLine="0" w:end="0" w:start="0"/>
              <w:jc w:val="center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进展计划</w:t>
            </w:r>
          </w:p>
        </w:tc>
        <w:tc>
          <w:tcPr>
            <w:tcW w:w="8295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60" w:type="dxa"/>
              <w:bottom w:w="60" w:type="dxa"/>
            </w:tcMar>
          </w:tcPr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1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  <w:b/>
              </w:rPr>
              <w:t>五、进度安排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2026年10月12—23日：完成开题材料与专利证明整理，核对专业要求；继续完善端侧证据、运行来源和时效检查。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2026年10月24日：提交开题申请，按学院安排参加评审，并根据意见完善研究范围。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2026年10月25日—11月1日：贯通当前配置的基础闭环，补齐几何和运动证据，筛选周期基线，开展新120组基础先导；达标后冻结初始协议。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2026年11月2—15日：完成独立风险校准、证据有效期及提交前复核，验证遮挡、旧帧、版本冲突和迟到返回等情况。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2026年11月16—29日：完善协同决策与局部修复，验证预算控制、模式交接及重复执行防护，建立公平比较条件。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2026年11月30日—12月6日：冻结方法及配置，运行另120组功效先导，核定正式样本量与资源预算。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2026年12月7—20日：开展正式比较、恢复与消融实验，完成统计、资源开销和失败分析，形成论文初稿。</w:t>
            </w:r>
          </w:p>
          <w:p>
            <w:pPr>
              <w:pStyle w:val="Normal"/>
              <w:ind w:firstLine="0" w:end="0" w:start="0"/>
              <w:jc w:val="left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2026年12月21—27日：根据导师意见修改论文，整理专利、演示和复现材料；后续评阅与答辩按学院正式日程执行。</w:t>
            </w:r>
          </w:p>
          <w:p>
            <w:pPr>
              <w:pStyle w:val="Normal"/>
              <w:ind w:firstLine="420" w:end="0" w:start="0"/>
              <w:jc w:val="both"/>
              <w:spacing w:before="0" w:after="50" w:line="320" w:lineRule="exact"/>
              <w:snapToGrid w:val="0"/>
              <w:widowControl w:val="1"/>
              <w:keepNext w:val="0"/>
            </w:pPr>
            <w:r>
              <w:rPr>
                <w:rFonts w:ascii="Times New Roman" w:hAnsi="Times New Roman" w:eastAsia="宋体" w:cs="Times New Roman"/>
                <w:color w:val="000000"/>
                <w:sz w:val="21"/>
                <w:szCs w:val="21"/>
              </w:rPr>
              <w:t>各日期为研究计划目标，执行以依赖和验收条件为准。若基础能力或预算未就绪，则与导师协商顺延，不降低实验门槛。12月27日为文稿与材料交付目标，并非已经确认的答辩日期。</w:t>
            </w:r>
          </w:p>
        </w:tc>
      </w:tr>
    </w:tbl>
    <w:p>
      <w:pPr>
        <w:pStyle w:val="Normal"/>
        <w:ind w:firstLine="0" w:end="0" w:start="0"/>
        <w:jc w:val="both"/>
        <w:spacing w:before="0" w:after="0" w:line="320" w:lineRule="exact"/>
        <w:snapToGrid w:val="0"/>
        <w:widowControl w:val="1"/>
        <w:keepNext w:val="0"/>
      </w:pPr>
      <w:r>
        <w:rPr>
          <w:rFonts w:ascii="Times New Roman" w:hAnsi="Times New Roman" w:eastAsia="宋体" w:cs="Times New Roman"/>
          <w:color w:val="000000"/>
          <w:sz w:val="21"/>
          <w:szCs w:val="21"/>
        </w:rPr>
        <w:t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mbria">
    <w:charset w:val="00"/>
    <w:family w:val="roman"/>
    <w:pitch w:val="variable"/>
  </w:font>
  <w:font w:name="华文中宋">
    <w:charset w:val="86"/>
    <w:family w:val="auto"/>
    <w:pitch w:val="variable"/>
  </w:font>
  <w:font w:name="隶书">
    <w:altName w:val="微软雅黑"/>
    <w:charset w:val="86"/>
    <w:family w:val="modern"/>
    <w:pitch w:val="default"/>
  </w:font>
  <w:font w:name="仿宋_GB2312">
    <w:charset w:val="86"/>
    <w:family w:val="modern"/>
    <w:pitch w:val="default"/>
  </w:font>
  <w:font w:name="Segoe UI Symbol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）"/>
      <w:lvlJc w:val="start"/>
      <w:pPr>
        <w:tabs>
          <w:tab w:val="num" w:pos="420"/>
        </w:tabs>
        <w:ind w:start="780" w:hanging="360"/>
      </w:pPr>
      <w:rPr/>
    </w:lvl>
  </w:abstractNum>
  <w:abstractNum w:abstractNumId="2">
    <w:lvl w:ilvl="0">
      <w:start w:val="1"/>
      <w:numFmt w:val="decimal"/>
      <w:lvlText w:val="%1．"/>
      <w:lvlJc w:val="start"/>
      <w:pPr>
        <w:tabs>
          <w:tab w:val="num" w:pos="360"/>
        </w:tabs>
        <w:ind w:start="36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6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默认段落字体"/>
    <w:qFormat/>
    <w:rPr/>
  </w:style>
  <w:style w:type="character" w:styleId="Char">
    <w:name w:val="页眉 Char"/>
    <w:qFormat/>
    <w:rPr>
      <w:kern w:val="2"/>
      <w:sz w:val="18"/>
      <w:szCs w:val="18"/>
    </w:rPr>
  </w:style>
  <w:style w:type="character" w:styleId="Char1">
    <w:name w:val="页脚 Char"/>
    <w:qFormat/>
    <w:rPr>
      <w:kern w:val="2"/>
      <w:sz w:val="18"/>
      <w:szCs w:val="18"/>
    </w:rPr>
  </w:style>
  <w:style w:type="character" w:styleId="wb1">
    <w:name w:val="wb1"/>
    <w:qFormat/>
    <w:rPr>
      <w:rFonts w:ascii="Times New Roman" w:hAnsi="Times New Roman" w:cs="Times New Roman"/>
      <w:strike w:val="false"/>
      <w:dstrike w:val="false"/>
      <w:color w:val="000000"/>
      <w:sz w:val="18"/>
      <w:szCs w:val="18"/>
      <w:u w:val="none"/>
    </w:rPr>
  </w:style>
  <w:style w:type="character" w:styleId="EndNoteBibliography">
    <w:name w:val="EndNote Bibliography 字符"/>
    <w:qFormat/>
    <w:rPr>
      <w:kern w:val="2"/>
      <w:szCs w:val="22"/>
      <w:lang w:val="en-US" w:eastAsia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6">
    <w:name w:val="题注"/>
    <w:basedOn w:val="Normal"/>
    <w:next w:val="Normal"/>
    <w:qFormat/>
    <w:pPr/>
    <w:rPr>
      <w:rFonts w:ascii="Cambria" w:hAnsi="Cambria" w:eastAsia="黑体;SimHei" w:cs="Times New Roman"/>
      <w:sz w:val="20"/>
      <w:szCs w:val="20"/>
    </w:rPr>
  </w:style>
  <w:style w:type="paragraph" w:styleId="EndNoteBibliography1">
    <w:name w:val="EndNote Bibliography"/>
    <w:basedOn w:val="Normal"/>
    <w:qFormat/>
    <w:pPr>
      <w:ind w:firstLineChars="200" w:startChars="0" w:start="0" w:endChars="0" w:end="0"/>
      <w:jc w:val="start"/>
    </w:pPr>
    <w:rPr>
      <w:sz w:val="20"/>
      <w:szCs w:val="22"/>
      <w:lang w:val="en-US" w:eastAsia="en-US"/>
    </w:rPr>
  </w:style>
  <w:style w:type="paragraph" w:styleId="Style17">
    <w:name w:val="列表段落"/>
    <w:basedOn w:val="Normal"/>
    <w:qFormat/>
    <w:pPr>
      <w:ind w:firstLineChars="200" w:startChars="0" w:start="0" w:endChars="0" w:end="0"/>
    </w:pPr>
    <w:rPr>
      <w:rFonts w:cs="Times New Roman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paragraph" w:styleId="Title">
    <w:name w:val="Title"/>
    <w:basedOn w:val="Normal"/>
    <w:qFormat/>
    <w:pPr>
      <w:jc w:val="center"/>
      <w:keepNext/>
    </w:pPr>
    <w:rPr>
      <w:b/>
      <w:color w:val="000000"/>
      <w:sz w:val="3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2025-10-10T18:43:00Z</dcterms:created>
  <dc:language>en-US</dc:language>
  <cp:lastPrinted>2007-08-29T15:49:00Z</cp:lastPrinted>
  <dcterms:modified xsi:type="dcterms:W3CDTF">2025-10-10T18:43:00Z</dcterms:modified>
  <cp:revision>2</cp:revision>
  <dc:title>论文开题报告申请表</dc:title>
</cp:coreProperties>
</file>