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40"/>
      </w:pPr>
    </w:p>
    <w:p>
      <w:pPr>
        <w:pStyle w:val="Title"/>
        <w:spacing w:after="500"/>
        <w:jc w:val="center"/>
      </w:pPr>
      <w:r>
        <w:rPr>
          <w:sz w:val="52"/>
        </w:rPr>
        <w:t>开题报告</w:t>
      </w:r>
    </w:p>
    <w:p>
      <w:pPr>
        <w:pStyle w:val="Title"/>
        <w:spacing w:after="700"/>
        <w:jc w:val="center"/>
      </w:pPr>
      <w:r>
        <w:rPr>
          <w:sz w:val="42"/>
        </w:rPr>
        <w:t>面向边缘智能场景的小型机械臂</w:t>
        <w:br/>
        <w:t>云边协同控制系统的设计</w:t>
      </w:r>
    </w:p>
    <w:p>
      <w:pPr>
        <w:pStyle w:val="Subtitle"/>
        <w:spacing w:after="200"/>
        <w:jc w:val="center"/>
      </w:pPr>
      <w:r>
        <w:t>感知不确定性与时效约束的云边协同决策</w:t>
      </w:r>
    </w:p>
    <w:p>
      <w:pPr>
        <w:pStyle w:val="Subtitle"/>
        <w:spacing w:after="200"/>
        <w:jc w:val="center"/>
      </w:pPr>
      <w:r>
        <w:t>视觉证据契约与验证驱动的最小局部修复</w:t>
      </w:r>
    </w:p>
    <w:p>
      <w:pPr>
        <w:pStyle w:val="Subtitle"/>
        <w:spacing w:after="200"/>
        <w:jc w:val="center"/>
      </w:pPr>
      <w:r>
        <w:t>执行决策闭环与创新提升修订版</w:t>
      </w:r>
    </w:p>
    <w:p>
      <w:pPr>
        <w:spacing w:after="500"/>
      </w:pPr>
    </w:p>
    <w:p>
      <w:pPr>
        <w:ind w:firstLine="0"/>
        <w:jc w:val="center"/>
      </w:pPr>
      <w:r>
        <w:rPr>
          <w:sz w:val="22"/>
        </w:rPr>
        <w:t>修订日期：2026 年 10 月 3 日    研究周期：12 周</w:t>
      </w:r>
    </w:p>
    <w:p>
      <w:pPr>
        <w:ind w:firstLine="0"/>
        <w:jc w:val="center"/>
      </w:pPr>
      <w:r>
        <w:rPr>
          <w:sz w:val="22"/>
        </w:rPr>
        <w:t>研究基础：BIG-small 当前工程及用户提供的专利文稿</w:t>
      </w:r>
    </w:p>
    <w:p>
      <w:r>
        <w:br w:type="page"/>
      </w:r>
    </w:p>
    <w:p>
      <w:pPr>
        <w:pStyle w:val="Heading1"/>
      </w:pPr>
      <w:r>
        <w:t>目录</w:t>
      </w:r>
    </w:p>
    <w:p>
      <w:pPr>
        <w:tabs>
          <w:tab w:pos="9406" w:val="right" w:leader="dot"/>
        </w:tabs>
        <w:spacing w:after="160" w:line="440" w:lineRule="exact"/>
        <w:ind w:firstLine="0"/>
      </w:pPr>
      <w:hyperlink w:anchor="sec_0">
        <w:r>
          <w:rPr>
            <w:color w:val="000000"/>
            <w:u w:val="none"/>
          </w:rPr>
          <w:t>摘要</w:t>
        </w:r>
      </w:hyperlink>
      <w:r>
        <w:tab/>
        <w:t>3</w:t>
      </w:r>
    </w:p>
    <w:p>
      <w:pPr>
        <w:tabs>
          <w:tab w:pos="9406" w:val="right" w:leader="dot"/>
        </w:tabs>
        <w:spacing w:after="160" w:line="440" w:lineRule="exact"/>
        <w:ind w:firstLine="0"/>
      </w:pPr>
      <w:hyperlink w:anchor="sec_1">
        <w:r>
          <w:rPr>
            <w:color w:val="000000"/>
            <w:u w:val="none"/>
          </w:rPr>
          <w:t>一、研究背景与选题意义</w:t>
        </w:r>
      </w:hyperlink>
      <w:r>
        <w:tab/>
        <w:t>4</w:t>
      </w:r>
    </w:p>
    <w:p>
      <w:pPr>
        <w:tabs>
          <w:tab w:pos="9406" w:val="right" w:leader="dot"/>
        </w:tabs>
        <w:spacing w:after="160" w:line="440" w:lineRule="exact"/>
        <w:ind w:firstLine="0"/>
      </w:pPr>
      <w:hyperlink w:anchor="sec_2">
        <w:r>
          <w:rPr>
            <w:color w:val="000000"/>
            <w:u w:val="none"/>
          </w:rPr>
          <w:t>二、国内外相关研究及分析</w:t>
        </w:r>
      </w:hyperlink>
      <w:r>
        <w:tab/>
        <w:t>6</w:t>
      </w:r>
    </w:p>
    <w:p>
      <w:pPr>
        <w:tabs>
          <w:tab w:pos="9406" w:val="right" w:leader="dot"/>
        </w:tabs>
        <w:spacing w:after="160" w:line="440" w:lineRule="exact"/>
        <w:ind w:firstLine="0"/>
      </w:pPr>
      <w:hyperlink w:anchor="sec_3">
        <w:r>
          <w:rPr>
            <w:color w:val="000000"/>
            <w:u w:val="none"/>
          </w:rPr>
          <w:t>三、项目现状与专利研究基础</w:t>
        </w:r>
      </w:hyperlink>
      <w:r>
        <w:tab/>
        <w:t>10</w:t>
      </w:r>
    </w:p>
    <w:p>
      <w:pPr>
        <w:tabs>
          <w:tab w:pos="9406" w:val="right" w:leader="dot"/>
        </w:tabs>
        <w:spacing w:after="160" w:line="440" w:lineRule="exact"/>
        <w:ind w:firstLine="0"/>
      </w:pPr>
      <w:hyperlink w:anchor="sec_4">
        <w:r>
          <w:rPr>
            <w:color w:val="000000"/>
            <w:u w:val="none"/>
          </w:rPr>
          <w:t>四、研究目标、科学问题与可检验假设</w:t>
        </w:r>
      </w:hyperlink>
      <w:r>
        <w:tab/>
        <w:t>12</w:t>
      </w:r>
    </w:p>
    <w:p>
      <w:pPr>
        <w:tabs>
          <w:tab w:pos="9406" w:val="right" w:leader="dot"/>
        </w:tabs>
        <w:spacing w:after="160" w:line="440" w:lineRule="exact"/>
        <w:ind w:firstLine="0"/>
      </w:pPr>
      <w:hyperlink w:anchor="sec_5">
        <w:r>
          <w:rPr>
            <w:color w:val="000000"/>
            <w:u w:val="none"/>
          </w:rPr>
          <w:t>五、双系统协同的建模与评价边界</w:t>
        </w:r>
      </w:hyperlink>
      <w:r>
        <w:tab/>
        <w:t>15</w:t>
      </w:r>
    </w:p>
    <w:p>
      <w:pPr>
        <w:tabs>
          <w:tab w:pos="9406" w:val="right" w:leader="dot"/>
        </w:tabs>
        <w:spacing w:after="160" w:line="440" w:lineRule="exact"/>
        <w:ind w:firstLine="0"/>
      </w:pPr>
      <w:hyperlink w:anchor="sec_6">
        <w:r>
          <w:rPr>
            <w:color w:val="000000"/>
            <w:u w:val="none"/>
          </w:rPr>
          <w:t>六、双系统协同方法研究方案</w:t>
        </w:r>
      </w:hyperlink>
      <w:r>
        <w:tab/>
        <w:t>19</w:t>
      </w:r>
    </w:p>
    <w:p>
      <w:pPr>
        <w:tabs>
          <w:tab w:pos="9406" w:val="right" w:leader="dot"/>
        </w:tabs>
        <w:spacing w:after="160" w:line="440" w:lineRule="exact"/>
        <w:ind w:firstLine="0"/>
      </w:pPr>
      <w:hyperlink w:anchor="sec_7">
        <w:r>
          <w:rPr>
            <w:color w:val="000000"/>
            <w:u w:val="none"/>
          </w:rPr>
          <w:t>七、数据生产与基于模拟设备的 Sim2Real 路线</w:t>
        </w:r>
      </w:hyperlink>
      <w:r>
        <w:tab/>
        <w:t>28</w:t>
      </w:r>
    </w:p>
    <w:p>
      <w:pPr>
        <w:tabs>
          <w:tab w:pos="9406" w:val="right" w:leader="dot"/>
        </w:tabs>
        <w:spacing w:after="160" w:line="440" w:lineRule="exact"/>
        <w:ind w:firstLine="0"/>
      </w:pPr>
      <w:hyperlink w:anchor="sec_8">
        <w:r>
          <w:rPr>
            <w:color w:val="000000"/>
            <w:u w:val="none"/>
          </w:rPr>
          <w:t>八、实验设计、指标与统计分析</w:t>
        </w:r>
      </w:hyperlink>
      <w:r>
        <w:tab/>
        <w:t>31</w:t>
      </w:r>
    </w:p>
    <w:p>
      <w:pPr>
        <w:tabs>
          <w:tab w:pos="9406" w:val="right" w:leader="dot"/>
        </w:tabs>
        <w:spacing w:after="160" w:line="440" w:lineRule="exact"/>
        <w:ind w:firstLine="0"/>
      </w:pPr>
      <w:hyperlink w:anchor="sec_9">
        <w:r>
          <w:rPr>
            <w:color w:val="000000"/>
            <w:u w:val="none"/>
          </w:rPr>
          <w:t>九、拟创新点与成果评价</w:t>
        </w:r>
      </w:hyperlink>
      <w:r>
        <w:tab/>
        <w:t>38</w:t>
      </w:r>
    </w:p>
    <w:p>
      <w:pPr>
        <w:tabs>
          <w:tab w:pos="9406" w:val="right" w:leader="dot"/>
        </w:tabs>
        <w:spacing w:after="160" w:line="440" w:lineRule="exact"/>
        <w:ind w:firstLine="0"/>
      </w:pPr>
      <w:hyperlink w:anchor="sec_10">
        <w:r>
          <w:rPr>
            <w:color w:val="000000"/>
            <w:u w:val="none"/>
          </w:rPr>
          <w:t>十、可行性、风险与研究保障</w:t>
        </w:r>
      </w:hyperlink>
      <w:r>
        <w:tab/>
        <w:t>41</w:t>
      </w:r>
    </w:p>
    <w:p>
      <w:pPr>
        <w:tabs>
          <w:tab w:pos="9406" w:val="right" w:leader="dot"/>
        </w:tabs>
        <w:spacing w:after="160" w:line="440" w:lineRule="exact"/>
        <w:ind w:firstLine="0"/>
      </w:pPr>
      <w:hyperlink w:anchor="sec_11">
        <w:r>
          <w:rPr>
            <w:color w:val="000000"/>
            <w:u w:val="none"/>
          </w:rPr>
          <w:t>十一、研究计划与预期成果</w:t>
        </w:r>
      </w:hyperlink>
      <w:r>
        <w:tab/>
        <w:t>43</w:t>
      </w:r>
    </w:p>
    <w:p>
      <w:pPr>
        <w:tabs>
          <w:tab w:pos="9406" w:val="right" w:leader="dot"/>
        </w:tabs>
        <w:spacing w:after="160" w:line="440" w:lineRule="exact"/>
        <w:ind w:firstLine="0"/>
      </w:pPr>
      <w:hyperlink w:anchor="sec_12">
        <w:r>
          <w:rPr>
            <w:color w:val="000000"/>
            <w:u w:val="none"/>
          </w:rPr>
          <w:t>附录 A：工程事实与研究任务映射</w:t>
        </w:r>
      </w:hyperlink>
      <w:r>
        <w:tab/>
        <w:t>46</w:t>
      </w:r>
    </w:p>
    <w:p>
      <w:pPr>
        <w:tabs>
          <w:tab w:pos="9406" w:val="right" w:leader="dot"/>
        </w:tabs>
        <w:spacing w:after="160" w:line="440" w:lineRule="exact"/>
        <w:ind w:firstLine="0"/>
      </w:pPr>
      <w:hyperlink w:anchor="sec_13">
        <w:r>
          <w:rPr>
            <w:color w:val="000000"/>
            <w:u w:val="none"/>
          </w:rPr>
          <w:t>附录 B：资料来源与引用说明</w:t>
        </w:r>
      </w:hyperlink>
      <w:r>
        <w:tab/>
        <w:t>46</w:t>
      </w:r>
    </w:p>
    <w:p>
      <w:pPr>
        <w:tabs>
          <w:tab w:pos="9406" w:val="right" w:leader="dot"/>
        </w:tabs>
        <w:spacing w:after="160" w:line="440" w:lineRule="exact"/>
        <w:ind w:firstLine="0"/>
      </w:pPr>
      <w:hyperlink w:anchor="sec_14">
        <w:r>
          <w:rPr>
            <w:color w:val="000000"/>
            <w:u w:val="none"/>
          </w:rPr>
          <w:t>参考文献</w:t>
        </w:r>
      </w:hyperlink>
      <w:r>
        <w:tab/>
        <w:t>48</w:t>
      </w:r>
    </w:p>
    <w:p>
      <w:r>
        <w:br w:type="page"/>
      </w:r>
    </w:p>
    <w:p>
      <w:bookmarkStart w:id="1" w:name="sec_0"/>
      <w:pPr>
        <w:pStyle w:val="Heading1"/>
      </w:pPr>
      <w:r>
        <w:t>摘要</w:t>
      </w:r>
      <w:bookmarkEnd w:id="1"/>
    </w:p>
    <w:p>
      <w:pPr>
        <w:spacing w:line="400" w:lineRule="exact"/>
      </w:pPr>
      <w:r>
        <w:rPr>
          <w:b w:val="0"/>
        </w:rPr>
        <w:t>小型机械臂执行自然语言描述的操作任务时，需要把语义目标、视觉证据、几何约束和物理反馈连接起来。云端方案可能因传输和推理而迟到，本地视觉结果也可能受遮挡、深度缺失、标定误差和目标运动影响。即使网络畅通，缺少可靠几何证据的计划仍不能执行；即使云端暂时不可用，证据仍然有效且技能可行的步骤也未必需要停下。本课题在 BIG-small 已有执行链和专利研究基础上，将研究主线收敛为两项：感知不确定性与时效约束的云边协同决策，以及视觉证据契约与最小局部修复。</w:t>
      </w:r>
    </w:p>
    <w:p>
      <w:pPr>
        <w:spacing w:line="400" w:lineRule="exact"/>
      </w:pPr>
      <w:r>
        <w:rPr>
          <w:b w:val="0"/>
        </w:rPr>
        <w:t>第一项拟创新针对固定周期、固定阈值和人工加权模式选择：将独立校准的 RGB-D 感知风险、动作相关证据有效期与实测调用成本纳入有限候选决策，在每次动作反馈后重新选择继续、重观测、本地恢复、云端求助或停止。第二项拟创新针对证据失效后完整重规划和固定重试：以视觉证据依赖定位受影响的未完成步骤，经过提交前复核实施局部修复，再用动作后的新观测验证效果；最终验证失败也进入有界恢复，使任务结束具有可核查依据。课题复用 PCSC、ETEAC、TaskContract、SafetyShield 与设备适配框架，保持云端慢规划、边缘决策和确定性技能执行的权限边界。</w:t>
      </w:r>
    </w:p>
    <w:p>
      <w:pPr>
        <w:spacing w:line="400" w:lineRule="exact"/>
      </w:pPr>
      <w:r>
        <w:rPr>
          <w:b w:val="0"/>
        </w:rPr>
        <w:t>预期提升包括：相对合理调参的周期监督，云请求均值降低至少 30%，同时满足成功率与物理风险非劣约束；相对共同安全层上的时间及状态检查，无效机会误放行率降低至少 50% 且绝对值不超过 2%；在预定义可恢复故障上，恢复成功率至少 80%，惩罚恢复耗时中位数降低至少 30%。这些数值是待验证目标。证据不足、误报完成、拒答回退和无进展终止另行统计，防止以少调用或软件返回成功掩盖任务失败。</w:t>
      </w:r>
    </w:p>
    <w:p>
      <w:pPr>
        <w:spacing w:line="400" w:lineRule="exact"/>
      </w:pPr>
      <w:r>
        <w:rPr>
          <w:b w:val="0"/>
        </w:rPr>
        <w:t>截至 2026 年 10 月 3 日，来源审计和同步 RGB-D 已完成阶段验收，真实视觉模型和视觉驱动物理抓放仍待贯通。研究周期为 12 周，以 MuJoCo 执行器和实际物理步进建立闭环，固定基础视觉模型，只训练轻量风险与恢复模块。正式主比较从每方法 600 个独立配对场景起步，经过两轮互斥先导按预定功效规则锁定样本量。在线验证仅用可观测证据，独立评价器只负责事后物理判定。Isaac 跨引擎、定向数据收益和技能缓存为扩展；本周期不开展真实硬件实验，仿真结论限定为后续迁移准备。</w:t>
      </w:r>
    </w:p>
    <w:p>
      <w:pPr>
        <w:spacing w:line="400" w:lineRule="exact"/>
        <w:ind w:firstLine="0"/>
      </w:pPr>
      <w:r>
        <w:rPr>
          <w:b w:val="0"/>
        </w:rPr>
        <w:t>关键词：云边协同；RGB-D；感知不确定性；证据有效期；执行决策闭环；局部修复</w:t>
      </w:r>
    </w:p>
    <w:p>
      <w:r>
        <w:br w:type="page"/>
      </w:r>
    </w:p>
    <w:p>
      <w:bookmarkStart w:id="2" w:name="sec_1"/>
      <w:pPr>
        <w:pStyle w:val="Heading1"/>
      </w:pPr>
      <w:r>
        <w:t>一、研究背景与选题意义</w:t>
      </w:r>
      <w:bookmarkEnd w:id="2"/>
    </w:p>
    <w:p>
      <w:pPr>
        <w:pStyle w:val="Heading2"/>
      </w:pPr>
      <w:r>
        <w:t>1.1 研究背景</w:t>
      </w:r>
    </w:p>
    <w:p>
      <w:r>
        <w:rPr>
          <w:b w:val="0"/>
        </w:rPr>
        <w:t>小型机械臂逐步进入教学、轻量装配、桌面整理和实验自动化等场景。相较于固定程序控制，用户通过自然语言描述目标，系统结合现场状态生成操作步骤，能够降低任务编排的门槛。但语义上正确的任务方案可能在几何上不可达，静态环境中有效的运动路径可能在执行中被障碍物阻断，已经发送的更新也可能在到达时失去适用条件。智能规划与物理执行之间存在时间尺度、信息粒度和责任边界的差异，这些差异决定了研究对象不能仅被描述为“大模型控制机械臂”。</w:t>
      </w:r>
    </w:p>
    <w:p>
      <w:r>
        <w:rPr>
          <w:b w:val="0"/>
        </w:rPr>
        <w:t>云机器人研究关注云端计算、共享数据与集体学习对机器人能力的支持，相关综述同时指出网络依赖和实时性约束的重要性</w:t>
      </w:r>
      <w:hyperlink w:anchor="ref_1">
        <w:r>
          <w:rPr>
            <w:color w:val="000000"/>
            <w:vertAlign w:val="superscript"/>
            <w:sz w:val="18"/>
          </w:rPr>
          <w:t>[1]</w:t>
        </w:r>
      </w:hyperlink>
      <w:r>
        <w:rPr>
          <w:b w:val="0"/>
        </w:rPr>
        <w:t>。边缘计算强调将部分处理能力靠近数据产生端，边缘智能进一步讨论训练、推理与资源分配在云边之间的组织方式</w:t>
      </w:r>
      <w:hyperlink w:anchor="ref_2">
        <w:r>
          <w:rPr>
            <w:color w:val="000000"/>
            <w:vertAlign w:val="superscript"/>
            <w:sz w:val="18"/>
          </w:rPr>
          <w:t>[2]</w:t>
        </w:r>
      </w:hyperlink>
      <w:hyperlink w:anchor="ref_3">
        <w:r>
          <w:rPr>
            <w:color w:val="000000"/>
            <w:vertAlign w:val="superscript"/>
            <w:sz w:val="18"/>
          </w:rPr>
          <w:t>[3]</w:t>
        </w:r>
      </w:hyperlink>
      <w:r>
        <w:rPr>
          <w:b w:val="0"/>
        </w:rPr>
        <w:t>。对小型机械臂而言，云端能够处理任务分解、语义歧义和全局重规划，边缘端则适于运行高频状态监测、参数受控的技能和独立安全逻辑。由此形成能力互补的双系统，但互补能否转化为可靠执行，还取决于协同协议与动态调度。</w:t>
      </w:r>
    </w:p>
    <w:p>
      <w:r>
        <w:rPr>
          <w:b w:val="0"/>
        </w:rPr>
        <w:t>网络化控制研究已经系统分析传输延迟、采样、带宽与丢包对闭环行为的影响</w:t>
      </w:r>
      <w:hyperlink w:anchor="ref_4">
        <w:r>
          <w:rPr>
            <w:color w:val="000000"/>
            <w:vertAlign w:val="superscript"/>
            <w:sz w:val="18"/>
          </w:rPr>
          <w:t>[4]</w:t>
        </w:r>
      </w:hyperlink>
      <w:r>
        <w:rPr>
          <w:b w:val="0"/>
        </w:rPr>
        <w:t>。本课题面对的通信对象主要是高层任务契约、监督命令和失败摘要，边缘设备的控制周期不应被云端推理阻塞。因此，不能直接将传统远程伺服结论移植为高层语言规划的稳定性保证，而应借鉴其中关于时效、反馈和资源约束的思想，建立与本项目执行链相匹配的协同模型。核心矛盾是在有限通信和推理资源下，及时发现高层计划的失效，同时保持边缘执行的连续性与可解释的安全权限。</w:t>
      </w:r>
    </w:p>
    <w:p>
      <w:pPr>
        <w:pStyle w:val="Heading2"/>
      </w:pPr>
      <w:r>
        <w:t>1.2 双系统的含义与研究范围</w:t>
      </w:r>
    </w:p>
    <w:p>
      <w:r>
        <w:rPr>
          <w:b w:val="0"/>
        </w:rPr>
        <w:t>本报告所称双系统，是云端智能规划系统和边缘确定性执行系统。前者负责目标理解、任务结构生成、异常原因解释及高层重规划；后者包含本地视觉证据处理、契约校验、状态监测、技能执行、本地恢复和独立安全监督。本次研究要求本地视觉语言模型真实运行，直接接收图像；确定性的是动作权限、几何解算和执行约束，不意味着感知结果没有误差。云端与边缘是权限和时效分工，同一计算机可以通过独立进程及故障注入构成模拟部署；其性能结论应同时注明设备负载，不能推广为实测广域网部署。</w:t>
      </w:r>
    </w:p>
    <w:p>
      <w:r>
        <w:rPr>
          <w:b w:val="0"/>
        </w:rPr>
        <w:t>研究保持项目既有总体架构：任务经云端理解形成 TaskContract，再依次经过 EdgeContractValidator、SafetyShield、TaskExecutor 或 SkillExecutor 与 RobotAdapter，最终作用于模拟设备；设备状态经 Telemetry、事件检测和恢复模块反馈至协同层</w:t>
      </w:r>
      <w:hyperlink w:anchor="ref_34">
        <w:r>
          <w:rPr>
            <w:color w:val="000000"/>
            <w:vertAlign w:val="superscript"/>
            <w:sz w:val="18"/>
          </w:rPr>
          <w:t>[34]</w:t>
        </w:r>
      </w:hyperlink>
      <w:r>
        <w:rPr>
          <w:b w:val="0"/>
        </w:rPr>
        <w:t>。云端只提出高层意图和受约束候选方案，边缘保留最终拒绝权。低层轨迹由经过验证的技能或运动规划链生成，不把语言模型的自由文本直接转化为关节指令。研究允许改进协同判据、协议字段和实验方法，但不从零替换已有执行链。</w:t>
      </w:r>
    </w:p>
    <w:p>
      <w:r>
        <w:rPr>
          <w:b w:val="0"/>
        </w:rPr>
        <w:t>用户明确要求以模拟设备方式开展 Sim2Real 研究。本课题采用“真实图像输入—几何证据—受约束决策—物理技能执行—在线效果复核—独立结果评价”的核心路线，首批限定刚性可抓取物体及已定义抓放技能。跨仿真器对照为资源允许时的扩展，不作为主方法成立的先决条件。这里的 Sim2Real 是面向后续迁移的研究组织方式；在没有真实设备数据时，只能评价仿真内鲁棒性及可能的模拟器间差异。不得将 Isaac 标为 REAL，也不将接口兼容推断为真实硬件已验证。</w:t>
      </w:r>
    </w:p>
    <w:p>
      <w:pPr>
        <w:pStyle w:val="Heading2"/>
      </w:pPr>
      <w:r>
        <w:t>1.3 理论意义与应用价值</w:t>
      </w:r>
    </w:p>
    <w:p>
      <w:r>
        <w:rPr>
          <w:b w:val="0"/>
        </w:rPr>
        <w:t>理论意义在于研究不同时间尺度、不同可信度的决策系统如何建立可检验的协同关系。云端方案具有语义灵活性，但生成时间不可严格预定；边缘技能具有明确输入输出和执行边界，但处理新任务的能力受限。本课题拟将计划有效性、网络质量、风险状态和恢复预算共同纳入协同决策，使“是否需要云端”从固定周期调用问题转化为上下文约束下的参与时机问题。同时研究协同模式切换与安全状态转移之间的关系，避免用单一模式编号承担多种不等价的含义。</w:t>
      </w:r>
    </w:p>
    <w:p>
      <w:r>
        <w:rPr>
          <w:b w:val="0"/>
        </w:rPr>
        <w:t>应用价值在于降低不必要的云端重规划与通信开销，改善网络退化期间的任务连续性，并使每次拒绝、恢复和交接均具有可追溯依据。对教学与轻量操作平台而言，统一契约、可回放事件和模拟设备接口有助于复用已有研发成果，也能够降低后续设备替换时的验证负担。但上述收益需要通过公平对照证明，不能以模块数量、演示视频或软件测试通过率替代任务层面的研究证据。</w:t>
      </w:r>
    </w:p>
    <w:p>
      <w:bookmarkStart w:id="3" w:name="sec_2"/>
      <w:pPr>
        <w:pStyle w:val="Heading1"/>
      </w:pPr>
      <w:r>
        <w:t>二、国内外相关研究及分析</w:t>
      </w:r>
      <w:bookmarkEnd w:id="3"/>
    </w:p>
    <w:p>
      <w:pPr>
        <w:pStyle w:val="Heading2"/>
      </w:pPr>
      <w:r>
        <w:t>2.1 云机器人与边缘智能研究</w:t>
      </w:r>
    </w:p>
    <w:p>
      <w:r>
        <w:rPr>
          <w:b w:val="0"/>
        </w:rPr>
        <w:t>Kehoe 等对云机器人和自动化研究进行了综述，梳理云端计算、共享数据以及共同学习等方向</w:t>
      </w:r>
      <w:hyperlink w:anchor="ref_1">
        <w:r>
          <w:rPr>
            <w:color w:val="000000"/>
            <w:vertAlign w:val="superscript"/>
            <w:sz w:val="18"/>
          </w:rPr>
          <w:t>[1]</w:t>
        </w:r>
      </w:hyperlink>
      <w:r>
        <w:rPr>
          <w:b w:val="0"/>
        </w:rPr>
        <w:t>。Shi 等阐述边缘计算的基本愿景与系统挑战</w:t>
      </w:r>
      <w:hyperlink w:anchor="ref_2">
        <w:r>
          <w:rPr>
            <w:color w:val="000000"/>
            <w:vertAlign w:val="superscript"/>
            <w:sz w:val="18"/>
          </w:rPr>
          <w:t>[2]</w:t>
        </w:r>
      </w:hyperlink>
      <w:r>
        <w:rPr>
          <w:b w:val="0"/>
        </w:rPr>
        <w:t>；Zhou 等从边缘智能角度讨论模型训练、推理及其部署组织</w:t>
      </w:r>
      <w:hyperlink w:anchor="ref_3">
        <w:r>
          <w:rPr>
            <w:color w:val="000000"/>
            <w:vertAlign w:val="superscript"/>
            <w:sz w:val="18"/>
          </w:rPr>
          <w:t>[3]</w:t>
        </w:r>
      </w:hyperlink>
      <w:r>
        <w:rPr>
          <w:b w:val="0"/>
        </w:rPr>
        <w:t>。这些研究为云端能力与现场响应能力分工提供了依据。对于我国小型机械臂与边缘智能应用，资源受限、网络质量变化和多类设备接口同样构成重要约束。本文按研究问题评价已有成果，不根据作者机构或应用宣传推断具体平台的性能，也不以未经核验的国内案例充当文献。</w:t>
      </w:r>
    </w:p>
    <w:p>
      <w:r>
        <w:rPr>
          <w:b w:val="0"/>
        </w:rPr>
        <w:t>云边任务卸载通常关注计算位置、时延、能耗与资源成本。机械臂双系统协同还需要回答更新方案是否适用、谁有权替换正在执行的步骤、通信中断后能否继续，以及恢复时如何避免新旧计划冲突。一个耗时较低的云端返回结果，仍可能依赖过期环境；一个节省带宽的自治策略，也可能在局部无法处理的异常中长期停滞。因此，任务卸载最优不等价于协同执行有效。本课题将有效性和安全权限作为可行条件，再讨论资源与性能优化。</w:t>
      </w:r>
    </w:p>
    <w:p>
      <w:r>
        <w:rPr>
          <w:b w:val="0"/>
        </w:rPr>
        <w:t>Chinchali 等的 Network Offloading Policies for Cloud Robotics 已研究模型不确定性、通信成本和预测年龄共同影响的机器人网络卸载策略</w:t>
      </w:r>
      <w:hyperlink w:anchor="ref_35">
        <w:r>
          <w:rPr>
            <w:color w:val="000000"/>
            <w:vertAlign w:val="superscript"/>
            <w:sz w:val="18"/>
          </w:rPr>
          <w:t>[35]</w:t>
        </w:r>
      </w:hyperlink>
      <w:r>
        <w:rPr>
          <w:b w:val="0"/>
        </w:rPr>
        <w:t>。因此，将不确定性或信息时效引入云边选择本身不能作为本课题独有的创新。CloudEdgeVLA 进一步讨论延迟云端表征与实时边缘视觉之间的协作</w:t>
      </w:r>
      <w:hyperlink w:anchor="ref_38">
        <w:r>
          <w:rPr>
            <w:color w:val="000000"/>
            <w:vertAlign w:val="superscript"/>
            <w:sz w:val="18"/>
          </w:rPr>
          <w:t>[38]</w:t>
        </w:r>
      </w:hyperlink>
      <w:r>
        <w:rPr>
          <w:b w:val="0"/>
        </w:rPr>
        <w:t>，说明高层信息迟到并不总需要阻塞现场控制。该文为 2026 年预印本，本文只将其用于界定研究邻域，不把其架构或公开性能直接当作现有工程的已验证能力。相较这些研究，本课题拟考察的是：以实际 RGB-D 几何证据限定动作权限时，重观测、局部恢复与云端请求如何共同选择，以及节省请求是否仍满足明确的任务成功与风险门槛。</w:t>
      </w:r>
    </w:p>
    <w:p>
      <w:pPr>
        <w:pStyle w:val="Heading2"/>
      </w:pPr>
      <w:r>
        <w:t>2.2 周期监督、事件触发与信息时效</w:t>
      </w:r>
    </w:p>
    <w:p>
      <w:r>
        <w:rPr>
          <w:b w:val="0"/>
        </w:rPr>
        <w:t>Tabuada 研究事件触发的控制任务调度，表明更新时机可以由系统状态与误差条件决定</w:t>
      </w:r>
      <w:hyperlink w:anchor="ref_5">
        <w:r>
          <w:rPr>
            <w:color w:val="000000"/>
            <w:vertAlign w:val="superscript"/>
            <w:sz w:val="18"/>
          </w:rPr>
          <w:t>[5]</w:t>
        </w:r>
      </w:hyperlink>
      <w:r>
        <w:rPr>
          <w:b w:val="0"/>
        </w:rPr>
        <w:t>。Heemels 等进一步综述事件触发与自触发控制，区分在线检测事件和提前预测下一次更新时刻的方式</w:t>
      </w:r>
      <w:hyperlink w:anchor="ref_6">
        <w:r>
          <w:rPr>
            <w:color w:val="000000"/>
            <w:vertAlign w:val="superscript"/>
            <w:sz w:val="18"/>
          </w:rPr>
          <w:t>[6]</w:t>
        </w:r>
      </w:hyperlink>
      <w:r>
        <w:rPr>
          <w:b w:val="0"/>
        </w:rPr>
        <w:t>。这些工作启发本课题按任务事件和风险状态组织云端参与，但其数学结论通常依赖明确的动力学、控制器和误差假设。语言模型输出的高层计划既不满足这些前提，也不等价于低层采样控制量，因此本报告不将“采用事件触发”写成已获得稳定性保证。</w:t>
      </w:r>
    </w:p>
    <w:p>
      <w:r>
        <w:rPr>
          <w:b w:val="0"/>
        </w:rPr>
        <w:t>周期监督的优点是规则简单、可维持固定的信息刷新机会，缺点是平稳任务中可能产生冗余消息。事件协同在正常运行时能够减少请求，但依赖事件检测的覆盖性、状态观测质量和恢复预算。若目标缓慢移动未越过阈值，系统可能持续执行偏离目标的计划；若同一异常产生多个派生事件，云端也可能遭遇请求风暴。为此，需要研究软事件、硬事件、心跳与最大信息年龄的组合，而非把 ETEAC 理解为任务开始之后完全取消监督。</w:t>
      </w:r>
    </w:p>
    <w:p>
      <w:r>
        <w:rPr>
          <w:b w:val="0"/>
        </w:rPr>
        <w:t>Yates 等关于信息年龄的综述提供了评价接收端信息新鲜度的基础</w:t>
      </w:r>
      <w:hyperlink w:anchor="ref_7">
        <w:r>
          <w:rPr>
            <w:color w:val="000000"/>
            <w:vertAlign w:val="superscript"/>
            <w:sz w:val="18"/>
          </w:rPr>
          <w:t>[7]</w:t>
        </w:r>
      </w:hyperlink>
      <w:r>
        <w:rPr>
          <w:b w:val="0"/>
        </w:rPr>
        <w:t>。信息年龄关注当前时间与最近有效信息生成时间之间的差异，不等同于单次通信往返时延。机械臂计划可能刚到达边缘，但基准观测已经较旧；也可能网络时延略高，而任务环境几乎没有变化。本课题拟将信息年龄与状态差异、环境摘要同时用于计划验证，分别检验纯时间阈值、纯状态阈值及联合判据的优缺点。该组合属于本课题的研究方案，不是文献</w:t>
      </w:r>
      <w:hyperlink w:anchor="ref_7">
        <w:r>
          <w:rPr>
            <w:color w:val="000000"/>
            <w:vertAlign w:val="superscript"/>
            <w:sz w:val="18"/>
          </w:rPr>
          <w:t>[7]</w:t>
        </w:r>
      </w:hyperlink>
      <w:r>
        <w:rPr>
          <w:b w:val="0"/>
        </w:rPr>
        <w:t>已经证明的机械臂协同算法。</w:t>
      </w:r>
    </w:p>
    <w:p>
      <w:pPr>
        <w:pStyle w:val="Heading2"/>
      </w:pPr>
      <w:r>
        <w:t>2.3 分层规划与语言模型机器人研究</w:t>
      </w:r>
    </w:p>
    <w:p>
      <w:r>
        <w:rPr>
          <w:b w:val="0"/>
        </w:rPr>
        <w:t>Kaelbling 与 Lozano-Pérez 研究分层任务与运动规划，强调抽象任务和连续几何约束之间的联系</w:t>
      </w:r>
      <w:hyperlink w:anchor="ref_8">
        <w:r>
          <w:rPr>
            <w:color w:val="000000"/>
            <w:vertAlign w:val="superscript"/>
            <w:sz w:val="18"/>
          </w:rPr>
          <w:t>[8]</w:t>
        </w:r>
      </w:hyperlink>
      <w:r>
        <w:rPr>
          <w:b w:val="0"/>
        </w:rPr>
        <w:t>。Colledanchise 与 Ögren 对行为树的模块化、反应式任务组织及分析方法进行了系统介绍</w:t>
      </w:r>
      <w:hyperlink w:anchor="ref_9">
        <w:r>
          <w:rPr>
            <w:color w:val="000000"/>
            <w:vertAlign w:val="superscript"/>
            <w:sz w:val="18"/>
          </w:rPr>
          <w:t>[9]</w:t>
        </w:r>
      </w:hyperlink>
      <w:r>
        <w:rPr>
          <w:b w:val="0"/>
        </w:rPr>
        <w:t>。这些研究说明高层意图需要通过具备明确条件和执行语义的模块落实。对于本项目，TaskContract 应承担可校验的任务表达，技能执行器应承担具体动作语义，协同策略应处理契约生命周期，而不把所有行为变化交给自由文本解释。</w:t>
      </w:r>
    </w:p>
    <w:p>
      <w:r>
        <w:rPr>
          <w:b w:val="0"/>
        </w:rPr>
        <w:t>SayCan 将语言模型提供的高层知识与技能可行性评价相结合，为语言目标与机器人能力之间的关联提供了代表性方案</w:t>
      </w:r>
      <w:hyperlink w:anchor="ref_10">
        <w:r>
          <w:rPr>
            <w:color w:val="000000"/>
            <w:vertAlign w:val="superscript"/>
            <w:sz w:val="18"/>
          </w:rPr>
          <w:t>[10]</w:t>
        </w:r>
      </w:hyperlink>
      <w:r>
        <w:rPr>
          <w:b w:val="0"/>
        </w:rPr>
        <w:t>。Inner Monologue 通过环境反馈支持闭环高层规划</w:t>
      </w:r>
      <w:hyperlink w:anchor="ref_11">
        <w:r>
          <w:rPr>
            <w:color w:val="000000"/>
            <w:vertAlign w:val="superscript"/>
            <w:sz w:val="18"/>
          </w:rPr>
          <w:t>[11]</w:t>
        </w:r>
      </w:hyperlink>
      <w:r>
        <w:rPr>
          <w:b w:val="0"/>
        </w:rPr>
        <w:t>；Code as Policies 研究利用语言模型生成调用机器人接口的程序</w:t>
      </w:r>
      <w:hyperlink w:anchor="ref_12">
        <w:r>
          <w:rPr>
            <w:color w:val="000000"/>
            <w:vertAlign w:val="superscript"/>
            <w:sz w:val="18"/>
          </w:rPr>
          <w:t>[12]</w:t>
        </w:r>
      </w:hyperlink>
      <w:r>
        <w:rPr>
          <w:b w:val="0"/>
        </w:rPr>
        <w:t>；VoxPoser 将语言推断的操作约束映射到三维价值表示并结合模型规划</w:t>
      </w:r>
      <w:hyperlink w:anchor="ref_13">
        <w:r>
          <w:rPr>
            <w:color w:val="000000"/>
            <w:vertAlign w:val="superscript"/>
            <w:sz w:val="18"/>
          </w:rPr>
          <w:t>[13]</w:t>
        </w:r>
      </w:hyperlink>
      <w:r>
        <w:rPr>
          <w:b w:val="0"/>
        </w:rPr>
        <w:t>。上述工作分别从技能落地、反馈推理、程序表达和空间约束角度推进智能操作。其共同启示是，高层语言知识需要与环境反馈和执行能力连接。它们的主要评价目标与本课题的云边网络条件、计划版本冲突和交接时效并不完全相同。</w:t>
      </w:r>
    </w:p>
    <w:p>
      <w:r>
        <w:rPr>
          <w:b w:val="0"/>
        </w:rPr>
        <w:t>RT-2、OpenVLA 和 π</w:t>
      </w:r>
      <w:r>
        <w:rPr>
          <w:b w:val="0"/>
          <w:vertAlign w:val="subscript"/>
        </w:rPr>
        <w:t>0</w:t>
      </w:r>
      <w:r>
        <w:rPr>
          <w:b w:val="0"/>
        </w:rPr>
        <w:t>.</w:t>
      </w:r>
      <w:r>
        <w:rPr>
          <w:b w:val="0"/>
          <w:vertAlign w:val="subscript"/>
        </w:rPr>
        <w:t>5</w:t>
      </w:r>
      <w:r>
        <w:rPr>
          <w:b w:val="0"/>
        </w:rPr>
        <w:t xml:space="preserve"> 等视觉语言动作研究展示了大规模预训练、机器人数据和泛化能力之间的联系</w:t>
      </w:r>
      <w:hyperlink w:anchor="ref_14">
        <w:r>
          <w:rPr>
            <w:color w:val="000000"/>
            <w:vertAlign w:val="superscript"/>
            <w:sz w:val="18"/>
          </w:rPr>
          <w:t>[14]</w:t>
        </w:r>
      </w:hyperlink>
      <w:hyperlink w:anchor="ref_15">
        <w:r>
          <w:rPr>
            <w:color w:val="000000"/>
            <w:vertAlign w:val="superscript"/>
            <w:sz w:val="18"/>
          </w:rPr>
          <w:t>[15]</w:t>
        </w:r>
      </w:hyperlink>
      <w:hyperlink w:anchor="ref_16">
        <w:r>
          <w:rPr>
            <w:color w:val="000000"/>
            <w:vertAlign w:val="superscript"/>
            <w:sz w:val="18"/>
          </w:rPr>
          <w:t>[16]</w:t>
        </w:r>
      </w:hyperlink>
      <w:r>
        <w:rPr>
          <w:b w:val="0"/>
        </w:rPr>
        <w:t>。这说明智能规划系统可以利用持续发展的模型能力，但本课题不以从头训练通用动作模型为主要任务，也不把其他平台的成功率引用为当前小型机械臂的能力。为识别协同方法的贡献，全部正式研究运行固定真实视觉语言模型、技能集合和安全配置，只训练轻量风险与恢复决策模块。确定性提供者用于协议回归，真实模型图像调用则是正式实验的进入门槛。</w:t>
      </w:r>
    </w:p>
    <w:p>
      <w:r>
        <w:rPr>
          <w:b w:val="0"/>
        </w:rPr>
        <w:t>KnowNo 通过校准不确定性研究语言模型规划器何时应请求帮助</w:t>
      </w:r>
      <w:hyperlink w:anchor="ref_36">
        <w:r>
          <w:rPr>
            <w:color w:val="000000"/>
            <w:vertAlign w:val="superscript"/>
            <w:sz w:val="18"/>
          </w:rPr>
          <w:t>[36]</w:t>
        </w:r>
      </w:hyperlink>
      <w:r>
        <w:rPr>
          <w:b w:val="0"/>
        </w:rPr>
        <w:t>。这一工作提醒本研究，模型自报的 confidence 不等于校准后的失败概率，求助阈值应由独立数据和任务损失确定。VoxPoser 的三维空间落地</w:t>
      </w:r>
      <w:hyperlink w:anchor="ref_13">
        <w:r>
          <w:rPr>
            <w:color w:val="000000"/>
            <w:vertAlign w:val="superscript"/>
            <w:sz w:val="18"/>
          </w:rPr>
          <w:t>[13]</w:t>
        </w:r>
      </w:hyperlink>
      <w:r>
        <w:rPr>
          <w:b w:val="0"/>
        </w:rPr>
        <w:t>则提示，语言理解需要连接可观测的几何量。本课题拟将目标像素、有效深度、相机标定、运动界和观测年龄组成可追溯证据，输出“继续、重观测、局部恢复、请求云端、停止”五种动作。这里的区别必须通过与固定阈值及现有人工加权规则比较来证明，不能因为输出类别更多就宣称方法更优。</w:t>
      </w:r>
    </w:p>
    <w:p>
      <w:r>
        <w:rPr>
          <w:b w:val="0"/>
        </w:rPr>
        <w:t>Jev 官方文档提出以结构化状态回答类型化问题，将范围明确的判断交给模型，再由程序组合结果</w:t>
      </w:r>
      <w:hyperlink w:anchor="ref_41">
        <w:r>
          <w:rPr>
            <w:color w:val="000000"/>
            <w:vertAlign w:val="superscript"/>
            <w:sz w:val="18"/>
          </w:rPr>
          <w:t>[41]</w:t>
        </w:r>
      </w:hyperlink>
      <w:r>
        <w:rPr>
          <w:b w:val="0"/>
        </w:rPr>
        <w:t>。本课题借鉴这一职责划分，把“证据是否足够”“哪些动作可行”“是否值得请求云端”分开处理。其 Choice 与 Score 所带置信度是候选分布的统计量</w:t>
      </w:r>
      <w:hyperlink w:anchor="ref_42">
        <w:r>
          <w:rPr>
            <w:color w:val="000000"/>
            <w:vertAlign w:val="superscript"/>
            <w:sz w:val="18"/>
          </w:rPr>
          <w:t>[42]</w:t>
        </w:r>
      </w:hyperlink>
      <w:r>
        <w:rPr>
          <w:b w:val="0"/>
        </w:rPr>
        <w:t>，不能直接用作机械臂执行成功概率。Jev 属于可选判断提供者和工程参考，不构成课题创新名称，也不是实现前提；主方法先用规则及校准成本提供者建立可复现闭环。</w:t>
      </w:r>
    </w:p>
    <w:p>
      <w:pPr>
        <w:pStyle w:val="Heading2"/>
      </w:pPr>
      <w:r>
        <w:t>2.4 运行时保障、安全屏障与混合系统</w:t>
      </w:r>
    </w:p>
    <w:p>
      <w:r>
        <w:rPr>
          <w:b w:val="0"/>
        </w:rPr>
        <w:t>Sha 提出的以简单机制约束复杂系统的思想，为复杂决策与可信监督之间的分工提供了依据</w:t>
      </w:r>
      <w:hyperlink w:anchor="ref_17">
        <w:r>
          <w:rPr>
            <w:color w:val="000000"/>
            <w:vertAlign w:val="superscript"/>
            <w:sz w:val="18"/>
          </w:rPr>
          <w:t>[17]</w:t>
        </w:r>
      </w:hyperlink>
      <w:r>
        <w:rPr>
          <w:b w:val="0"/>
        </w:rPr>
        <w:t>。Ames 等研究基于控制屏障函数的二次规划，将性能控制与安全集合条件联系起来</w:t>
      </w:r>
      <w:hyperlink w:anchor="ref_18">
        <w:r>
          <w:rPr>
            <w:color w:val="000000"/>
            <w:vertAlign w:val="superscript"/>
            <w:sz w:val="18"/>
          </w:rPr>
          <w:t>[18]</w:t>
        </w:r>
      </w:hyperlink>
      <w:r>
        <w:rPr>
          <w:b w:val="0"/>
        </w:rPr>
        <w:t>；Alshiekh 等研究针对时序逻辑性质合成屏蔽器，对学习系统的动作进行监测和必要修正</w:t>
      </w:r>
      <w:hyperlink w:anchor="ref_19">
        <w:r>
          <w:rPr>
            <w:color w:val="000000"/>
            <w:vertAlign w:val="superscript"/>
            <w:sz w:val="18"/>
          </w:rPr>
          <w:t>[19]</w:t>
        </w:r>
      </w:hyperlink>
      <w:r>
        <w:rPr>
          <w:b w:val="0"/>
        </w:rPr>
        <w:t>。Henzinger 关于混合自动机的研究为离散模式与连续状态共同建模提供了理论基础</w:t>
      </w:r>
      <w:hyperlink w:anchor="ref_20">
        <w:r>
          <w:rPr>
            <w:color w:val="000000"/>
            <w:vertAlign w:val="superscript"/>
            <w:sz w:val="18"/>
          </w:rPr>
          <w:t>[20]</w:t>
        </w:r>
      </w:hyperlink>
      <w:r>
        <w:rPr>
          <w:b w:val="0"/>
        </w:rPr>
        <w:t>。García 与 Fernández 的安全强化学习综述则说明，优化任务收益与满足安全约束需要区分处理</w:t>
      </w:r>
      <w:hyperlink w:anchor="ref_21">
        <w:r>
          <w:rPr>
            <w:color w:val="000000"/>
            <w:vertAlign w:val="superscript"/>
            <w:sz w:val="18"/>
          </w:rPr>
          <w:t>[21]</w:t>
        </w:r>
      </w:hyperlink>
      <w:r>
        <w:rPr>
          <w:b w:val="0"/>
        </w:rPr>
        <w:t>。</w:t>
      </w:r>
    </w:p>
    <w:p>
      <w:r>
        <w:rPr>
          <w:b w:val="0"/>
        </w:rPr>
        <w:t>本项目现有 SafetyShield 主要依赖工作空间、速度、障碍、场景新鲜度等规则进行拒绝和修正</w:t>
      </w:r>
      <w:hyperlink w:anchor="ref_34">
        <w:r>
          <w:rPr>
            <w:color w:val="000000"/>
            <w:vertAlign w:val="superscript"/>
            <w:sz w:val="18"/>
          </w:rPr>
          <w:t>[34]</w:t>
        </w:r>
      </w:hyperlink>
      <w:r>
        <w:rPr>
          <w:b w:val="0"/>
        </w:rPr>
        <w:t>。这能够支持明确规则下的运行时监督，但不自动等价于已合成的形式化屏蔽器，也不自动满足控制屏障函数的前向不变性条件。课题拟先定义可审计的接口不变式，再在简化动力学与可验证约束条件下研究局部安全筛选。若未来采用控制屏障函数，需要明确状态估计误差、模型误差、可行控制集合、离散采样和求解器失效条件，不能将引用文献作为省略这些假设的理由。</w:t>
      </w:r>
    </w:p>
    <w:p>
      <w:r>
        <w:rPr>
          <w:b w:val="0"/>
        </w:rPr>
        <w:t>SafeGate 研究执行前安全门、任务安全契约和在线检查</w:t>
      </w:r>
      <w:hyperlink w:anchor="ref_39">
        <w:r>
          <w:rPr>
            <w:color w:val="000000"/>
            <w:vertAlign w:val="superscript"/>
            <w:sz w:val="18"/>
          </w:rPr>
          <w:t>[39]</w:t>
        </w:r>
      </w:hyperlink>
      <w:r>
        <w:rPr>
          <w:b w:val="0"/>
        </w:rPr>
        <w:t>，因而安全契约及执行前验证已属于相关研究范围。本文不将新增几个契约字段或再次检查动作表述为独立新概念，而拟把契约依赖落实到 RGB-D 观测身份、校准版本、几何误差界、动作持续时间和已完成物理效果。重点比较这种视觉证据约束能否减少无效动作放行，并在证据失效时以较少改动恢复任务。文献</w:t>
      </w:r>
      <w:hyperlink w:anchor="ref_39">
        <w:r>
          <w:rPr>
            <w:color w:val="000000"/>
            <w:vertAlign w:val="superscript"/>
            <w:sz w:val="18"/>
          </w:rPr>
          <w:t>[39]</w:t>
        </w:r>
      </w:hyperlink>
      <w:r>
        <w:rPr>
          <w:b w:val="0"/>
        </w:rPr>
        <w:t>按预印本著录，其提出的方法也不构成本课题的无条件安全证明。</w:t>
      </w:r>
    </w:p>
    <w:p>
      <w:pPr>
        <w:pStyle w:val="Heading2"/>
      </w:pPr>
      <w:r>
        <w:t>2.5 Sim2Real、域随机化与仿真评价</w:t>
      </w:r>
    </w:p>
    <w:p>
      <w:r>
        <w:rPr>
          <w:b w:val="0"/>
        </w:rPr>
        <w:t>Tobin 等研究视觉域随机化，Peng 等研究动力学随机化对机器人控制迁移的作用</w:t>
      </w:r>
      <w:hyperlink w:anchor="ref_22">
        <w:r>
          <w:rPr>
            <w:color w:val="000000"/>
            <w:vertAlign w:val="superscript"/>
            <w:sz w:val="18"/>
          </w:rPr>
          <w:t>[22]</w:t>
        </w:r>
      </w:hyperlink>
      <w:hyperlink w:anchor="ref_23">
        <w:r>
          <w:rPr>
            <w:color w:val="000000"/>
            <w:vertAlign w:val="superscript"/>
            <w:sz w:val="18"/>
          </w:rPr>
          <w:t>[23]</w:t>
        </w:r>
      </w:hyperlink>
      <w:r>
        <w:rPr>
          <w:b w:val="0"/>
        </w:rPr>
        <w:t>；Zhao 等对机器人深度强化学习中的 Sim2Real 路线进行了综述</w:t>
      </w:r>
      <w:hyperlink w:anchor="ref_24">
        <w:r>
          <w:rPr>
            <w:color w:val="000000"/>
            <w:vertAlign w:val="superscript"/>
            <w:sz w:val="18"/>
          </w:rPr>
          <w:t>[24]</w:t>
        </w:r>
      </w:hyperlink>
      <w:r>
        <w:rPr>
          <w:b w:val="0"/>
        </w:rPr>
        <w:t>。视觉外观、物体质量、摩擦、控制延迟与执行器特性均可能导致仿真方案在新条件下失效。对于本课题，随机化不仅是训练数据扩充方法，也是检验协同判据是否过度依赖某一模拟环境的手段。必须记录实际应用的物理参数，不能将配置文件中存在随机参数写成随机化已经进入物理场景。</w:t>
      </w:r>
    </w:p>
    <w:p>
      <w:r>
        <w:rPr>
          <w:b w:val="0"/>
        </w:rPr>
        <w:t>MuJoCo 提供面向多关节动力学与接触的物理计算基础</w:t>
      </w:r>
      <w:hyperlink w:anchor="ref_25">
        <w:r>
          <w:rPr>
            <w:color w:val="000000"/>
            <w:vertAlign w:val="superscript"/>
            <w:sz w:val="18"/>
          </w:rPr>
          <w:t>[25]</w:t>
        </w:r>
      </w:hyperlink>
      <w:r>
        <w:rPr>
          <w:b w:val="0"/>
        </w:rPr>
        <w:t>；Isaac Gym 展示 GPU 上并行物理与学习计算的组织方式</w:t>
      </w:r>
      <w:hyperlink w:anchor="ref_26">
        <w:r>
          <w:rPr>
            <w:color w:val="000000"/>
            <w:vertAlign w:val="superscript"/>
            <w:sz w:val="18"/>
          </w:rPr>
          <w:t>[26]</w:t>
        </w:r>
      </w:hyperlink>
      <w:r>
        <w:rPr>
          <w:b w:val="0"/>
        </w:rPr>
        <w:t>；Orbit 研究统一的交互式机器人学习仿真框架</w:t>
      </w:r>
      <w:hyperlink w:anchor="ref_27">
        <w:r>
          <w:rPr>
            <w:color w:val="000000"/>
            <w:vertAlign w:val="superscript"/>
            <w:sz w:val="18"/>
          </w:rPr>
          <w:t>[27]</w:t>
        </w:r>
      </w:hyperlink>
      <w:r>
        <w:rPr>
          <w:b w:val="0"/>
        </w:rPr>
        <w:t>。Isaac Gym、Orbit 与当前 Isaac Sim 或 Isaac Lab 并非完全相同的软件版本，相关文献只作为技术背景，不作为本项目特定版本已经验收的证据。ROS 2 的架构研究与 OMPL 的规划库研究分别支持通信组织和运动规划基础</w:t>
      </w:r>
      <w:hyperlink w:anchor="ref_28">
        <w:r>
          <w:rPr>
            <w:color w:val="000000"/>
            <w:vertAlign w:val="superscript"/>
            <w:sz w:val="18"/>
          </w:rPr>
          <w:t>[28]</w:t>
        </w:r>
      </w:hyperlink>
      <w:hyperlink w:anchor="ref_29">
        <w:r>
          <w:rPr>
            <w:color w:val="000000"/>
            <w:vertAlign w:val="superscript"/>
            <w:sz w:val="18"/>
          </w:rPr>
          <w:t>[29]</w:t>
        </w:r>
      </w:hyperlink>
      <w:r>
        <w:rPr>
          <w:b w:val="0"/>
        </w:rPr>
        <w:t>；碰撞检测和几何有效性仍需要由具体集成系统提供。</w:t>
      </w:r>
    </w:p>
    <w:p>
      <w:r>
        <w:rPr>
          <w:b w:val="0"/>
        </w:rPr>
        <w:t>MimicGen 研究从人类示范生成可扩展机器人学习数据</w:t>
      </w:r>
      <w:hyperlink w:anchor="ref_37">
        <w:r>
          <w:rPr>
            <w:color w:val="000000"/>
            <w:vertAlign w:val="superscript"/>
            <w:sz w:val="18"/>
          </w:rPr>
          <w:t>[37]</w:t>
        </w:r>
      </w:hyperlink>
      <w:r>
        <w:rPr>
          <w:b w:val="0"/>
        </w:rPr>
        <w:t>；RESample 探讨通过探索采样构造操作数据与恢复样本</w:t>
      </w:r>
      <w:hyperlink w:anchor="ref_40">
        <w:r>
          <w:rPr>
            <w:color w:val="000000"/>
            <w:vertAlign w:val="superscript"/>
            <w:sz w:val="18"/>
          </w:rPr>
          <w:t>[40]</w:t>
        </w:r>
      </w:hyperlink>
      <w:r>
        <w:rPr>
          <w:b w:val="0"/>
        </w:rPr>
        <w:t>。这些工作说明，数据的覆盖方式和失败附近的采样可能影响学习效率，但不能据此保证本项目定向采样一定优于均匀随机化。RESample 按 2025 年首次发布的 arXiv 预印本引用，2026 年修订中的期刊投稿说明不等于已经录用。本文的数据扩展仅训练轻量模块，使用相同有效训练组数、优化步数和训练种子，另与普通失败采样比较，以隔离收益是否来自更多数据、更长训练或特殊场景偏置。</w:t>
      </w:r>
    </w:p>
    <w:p>
      <w:pPr>
        <w:pStyle w:val="Heading2"/>
      </w:pPr>
      <w:r>
        <w:t>2.6 现有研究的启示与本课题切入点</w:t>
      </w:r>
    </w:p>
    <w:p>
      <w:r>
        <w:rPr>
          <w:b w:val="0"/>
        </w:rPr>
        <w:t>已有研究已覆盖云边计算分工、不确定性求助、事件更新、空间落地、安全契约和数据生成，因而不能声称该领域“尚无有效解决方案”。本课题的切入点收敛为两项可证伪贡献：第一，以校准感知风险和动作相关证据时效约束运行中的云边决策；第二，以视觉证据契约定位失效依赖并实施最小局部修复。异步线程、版本检查、状态机和设备适配为支撑机制。研究采用工程内可执行的 B0—B5 机制基线，不冒称完整复现文献</w:t>
      </w:r>
      <w:hyperlink w:anchor="ref_35">
        <w:r>
          <w:rPr>
            <w:color w:val="000000"/>
            <w:vertAlign w:val="superscript"/>
            <w:sz w:val="18"/>
          </w:rPr>
          <w:t>[35]</w:t>
        </w:r>
      </w:hyperlink>
      <w:r>
        <w:rPr>
          <w:b w:val="0"/>
        </w:rPr>
        <w:t>—</w:t>
      </w:r>
      <w:hyperlink w:anchor="ref_40">
        <w:r>
          <w:rPr>
            <w:color w:val="000000"/>
            <w:vertAlign w:val="superscript"/>
            <w:sz w:val="18"/>
          </w:rPr>
          <w:t>[40]</w:t>
        </w:r>
      </w:hyperlink>
      <w:r>
        <w:rPr>
          <w:b w:val="0"/>
        </w:rPr>
        <w:t>，也不把不同任务、模型和设备条件下的公开数值直接用于优劣比较。</w:t>
      </w:r>
    </w:p>
    <w:p>
      <w:r>
        <w:rPr>
          <w:b w:val="0"/>
        </w:rPr>
        <w:t>Henderson 等讨论算法、环境和随机性对评价可复现性的影响，Pineau 等介绍研究复现程序与检查要求</w:t>
      </w:r>
      <w:hyperlink w:anchor="ref_30">
        <w:r>
          <w:rPr>
            <w:color w:val="000000"/>
            <w:vertAlign w:val="superscript"/>
            <w:sz w:val="18"/>
          </w:rPr>
          <w:t>[30]</w:t>
        </w:r>
      </w:hyperlink>
      <w:hyperlink w:anchor="ref_31">
        <w:r>
          <w:rPr>
            <w:color w:val="000000"/>
            <w:vertAlign w:val="superscript"/>
            <w:sz w:val="18"/>
          </w:rPr>
          <w:t>[31]</w:t>
        </w:r>
      </w:hyperlink>
      <w:r>
        <w:rPr>
          <w:b w:val="0"/>
        </w:rPr>
        <w:t>。本课题据此将原始记录、失败原因、来源版本和评价口径列为成果组成部分，而不把单个成功演示视为方法证据。创新评价将针对明确的组合机制、适用条件和可证伪假设展开，不以现成模块的简单拼接或专利措辞替代学术论证。</w:t>
      </w:r>
    </w:p>
    <w:p>
      <w:bookmarkStart w:id="4" w:name="sec_3"/>
      <w:pPr>
        <w:pStyle w:val="Heading1"/>
      </w:pPr>
      <w:r>
        <w:t>三、项目现状与专利研究基础</w:t>
      </w:r>
      <w:bookmarkEnd w:id="4"/>
    </w:p>
    <w:p>
      <w:pPr>
        <w:pStyle w:val="Heading2"/>
      </w:pPr>
      <w:r>
        <w:t>3.1 已有研发成果</w:t>
      </w:r>
    </w:p>
    <w:p>
      <w:r>
        <w:rPr>
          <w:b w:val="0"/>
        </w:rPr>
        <w:t>以 2026 年 10 月 3 日工作区中的权威状态索引核对，2026 年 10 月 2 日的历史验收资料显示，核心执行链、Dashboard、MuJoCo、ROS 2 和 MoveIt 的相应部署验证已通过；Isaac、Sim2Real、完整实验与论文收敛仍存在未完成项，真实模型运行尚未接受</w:t>
      </w:r>
      <w:hyperlink w:anchor="ref_34">
        <w:r>
          <w:rPr>
            <w:color w:val="000000"/>
            <w:vertAlign w:val="superscript"/>
            <w:sz w:val="18"/>
          </w:rPr>
          <w:t>[34]</w:t>
        </w:r>
      </w:hyperlink>
      <w:r>
        <w:rPr>
          <w:b w:val="0"/>
        </w:rPr>
        <w:t>。已有 PCSC、ETEAC 与 AUTO 机制、任务契约校验、事件反馈、本地恢复以及设备适配，为方法改进提供工程基础，但不能据此跳过真实视觉和物理任务闭环的补齐。软件测试为模块行为提供依据，不能证明网络条件下的任务收益，更不能证明真实硬件迁移完成。</w:t>
      </w:r>
    </w:p>
    <w:p>
      <w:r>
        <w:rPr>
          <w:b w:val="0"/>
        </w:rPr>
        <w:t>项目全量原始记录包含 5580 条，其中运行完成 5040 条，运行前阻塞 540 条；运行完成记录仍包含失败和安全停止。全量终态为成功 3960 条、失败 480 条、安全停止 600 条及阻塞 540 条。由于记录同时含 MOCK、物理仿真和干运行类别，不能将 3960/5580 直接称为真实物理操作成功率。完整验证状态为 PHASE12_REJECTED，经过验证器认可并可直接支撑最终论文结论的权威运行数量为零。重新分析修正了重复配对口径，但未使跨仿真器物理条件达到公平对照要求</w:t>
      </w:r>
      <w:hyperlink w:anchor="ref_34">
        <w:r>
          <w:rPr>
            <w:color w:val="000000"/>
            <w:vertAlign w:val="superscript"/>
            <w:sz w:val="18"/>
          </w:rPr>
          <w:t>[34]</w:t>
        </w:r>
      </w:hyperlink>
      <w:r>
        <w:rPr>
          <w:b w:val="0"/>
        </w:rPr>
        <w:t>。</w:t>
      </w:r>
    </w:p>
    <w:p>
      <w:r>
        <w:rPr>
          <w:b w:val="0"/>
        </w:rPr>
        <w:t>上述现状决定开题阶段的工作重点：保留已有工程成果，修复研究证据链中的关键缺口，建立能够回答方法问题的实验条件。报告不把已完成的环境部署重新列为主要创新，也不把阻塞和安全停止从记录中删除。后续每项结论均应说明使用的数据类别、执行后端、源码版本、样本量及失效排除规则。</w:t>
      </w:r>
    </w:p>
    <w:p>
      <w:r>
        <w:rPr>
          <w:b w:val="0"/>
        </w:rPr>
        <w:t>截至同日最新 P1 增补验收，T1 来源审计与 T2 同步 RGB-D 已完成。T2 定向回归 42 项、最终合并回归 123 项通过；实际采集的 100 个桌面点中，平面高度反投影最大误差为 2.728 mm，低于该采集验收的 5 mm 门槛。新增修复覆盖采集时刻、跨渲染通道标定一致性及分辨率边界。该证据支持相机数据链和静态几何自检，尚不能解释为 G1 的目标定位精度或抓放成功率；完整测试套件也尚未完成</w:t>
      </w:r>
      <w:hyperlink w:anchor="ref_34">
        <w:r>
          <w:rPr>
            <w:color w:val="000000"/>
            <w:vertAlign w:val="superscript"/>
            <w:sz w:val="18"/>
          </w:rPr>
          <w:t>[34]</w:t>
        </w:r>
      </w:hyperlink>
      <w:r>
        <w:rPr>
          <w:b w:val="0"/>
        </w:rPr>
        <w:t>。</w:t>
      </w:r>
    </w:p>
    <w:p>
      <w:r>
        <w:rPr>
          <w:b w:val="0"/>
        </w:rPr>
        <w:t>静态数据工厂 T6a、真实视觉模型 T3 与物理技能 T4 已满足开始条件，尚未执行验收。高层动作仍有软件状态更新路径，当前 AUTO 单次初始化选择也不足以支持持续自适应结论。因此，后续首先贯通同一 episode 中的观测、模型、执行器与动作后新观测，再建立在线效果验证和决策回路。新的 C1/C2 机制及量化收益仍属研究任务，本次报告只更新其设计与验证方案。</w:t>
      </w:r>
    </w:p>
    <w:p>
      <w:pPr>
        <w:pStyle w:val="Heading2"/>
      </w:pPr>
      <w:r>
        <w:t>3.2 当前仿真与迁移准备的边界</w:t>
      </w:r>
    </w:p>
    <w:p>
      <w:r>
        <w:rPr>
          <w:b w:val="0"/>
        </w:rPr>
        <w:t>MuJoCo 已有实际物理参数随机化及确定性检查；Isaac Sim 已有应用启动、关节与末端状态、RGB、深度、接触、步进、重置和停止等运行证据，但完整域随机化场景应用尚未验收，相关 EventManager 在实际场景中的应用仍未完成验证</w:t>
      </w:r>
      <w:hyperlink w:anchor="ref_34">
        <w:r>
          <w:rPr>
            <w:color w:val="000000"/>
            <w:vertAlign w:val="superscript"/>
            <w:sz w:val="18"/>
          </w:rPr>
          <w:t>[34]</w:t>
        </w:r>
      </w:hyperlink>
      <w:r>
        <w:rPr>
          <w:b w:val="0"/>
        </w:rPr>
        <w:t>。当前两后端的初始关节、目标、时间步和持续时间存在差异，部分 Isaac 运行采用直接设置关节状态，这些条件不足以支撑动力学轨迹误差的公平比较。</w:t>
      </w:r>
    </w:p>
    <w:p>
      <w:r>
        <w:rPr>
          <w:b w:val="0"/>
        </w:rPr>
        <w:t>现有差距接口仅接受 SIM 与 REAL 的配对语义，SIM 与 ISAAC 的比较尚需增加明确的模拟器类别。该问题应通过扩展数据类型和验证协议解决，不能通过将 Isaac 数据伪装成 REAL 绕过检查。当前无真实控制器连接，无真实设备写入或运动，硬件执行通道关闭，相关推进等级保持锁定</w:t>
      </w:r>
      <w:hyperlink w:anchor="ref_34">
        <w:r>
          <w:rPr>
            <w:color w:val="000000"/>
            <w:vertAlign w:val="superscript"/>
            <w:sz w:val="18"/>
          </w:rPr>
          <w:t>[34]</w:t>
        </w:r>
      </w:hyperlink>
      <w:r>
        <w:rPr>
          <w:b w:val="0"/>
        </w:rPr>
        <w:t>。这与本课题全部使用模拟设备的研究路线一致，也限制了结论只能讨论迁移准备，而不能讨论未经测量的真实设备误差。</w:t>
      </w:r>
    </w:p>
    <w:p>
      <w:pPr>
        <w:pStyle w:val="Heading2"/>
      </w:pPr>
      <w:r>
        <w:t>3.3 专利内容与研究问题的对应</w:t>
      </w:r>
    </w:p>
    <w:p>
      <w:r>
        <w:rPr>
          <w:b w:val="0"/>
        </w:rPr>
        <w:t>用户提供的专利文稿题名为《机器人控制方法、装置及存储介质》</w:t>
      </w:r>
      <w:hyperlink w:anchor="ref_33">
        <w:r>
          <w:rPr>
            <w:color w:val="000000"/>
            <w:vertAlign w:val="superscript"/>
            <w:sz w:val="18"/>
          </w:rPr>
          <w:t>[33]</w:t>
        </w:r>
      </w:hyperlink>
      <w:r>
        <w:rPr>
          <w:b w:val="0"/>
        </w:rPr>
        <w:t>。其方法以边缘节点为执行主体，获取机器人状态与多源网络状态，对云端计划封装体进行有效性校验，再对候选轨迹作分级安全决策，最后通过模式状态机选择执行方式。有效性判据覆盖基准状态差异、有效时间窗、传感器需求和环境约束匹配。说明书提出云端慢循环与边缘快循环相分离，以及新计划在接收时和交接窗口内分别验证的机制。本报告引用的是用户提供的文稿，未确认公开申请号、授权号或法律状态。</w:t>
      </w:r>
    </w:p>
    <w:p>
      <w:r>
        <w:rPr>
          <w:b w:val="0"/>
        </w:rPr>
        <w:t>专利提出的字段包括计划标识、代次、生成时间、有效时间窗、基准状态摘要、环境与约束摘要、候选及回退轨迹、传感器需求和交接窗口等。拟在已有 TaskContract 外围建立生命周期封装，保持高层任务表达与低层动作权限的边界。结构完整性、版本单调性、环境匹配和交接复核作为拟研究扩展，不把文稿中的每个字段都写成仓库已经实现。签名验证需要明确密钥配置与协议实现，在完成之前只能称为设计要求。</w:t>
      </w:r>
    </w:p>
    <w:p>
      <w:pPr>
        <w:pStyle w:val="Heading2"/>
      </w:pPr>
      <w:r>
        <w:t>3.4 从专利示例到可检验方法</w:t>
      </w:r>
    </w:p>
    <w:p>
      <w:r>
        <w:rPr>
          <w:b w:val="0"/>
        </w:rPr>
        <w:t>专利示例将时延、抖动和丢包指标归一化并加权形成网络波动指数，同时给出部分模式偏移条件。若每项指标均限定于零至一且权重和为一，指数也应处于零至一；此时“指数大于等于二”的条件不可达。若比值未截断，则指数可以超过一，但又不能称其始终归一化至零至一。因此课题需要选择一种一致定义，并重新标定阈值。专利中的模式预测也不能仅因名称包含“预测”就认定具备学习或提前预测能力；若只读取当前状态进行转移，应称为规则状态转移。</w:t>
      </w:r>
    </w:p>
    <w:p>
      <w:r>
        <w:rPr>
          <w:b w:val="0"/>
        </w:rPr>
        <w:t>另一个需要研究的问题是安全状态不能简单按编号作加减。重规划请求并不总意味着立即触发紧急停止，网络变差也不必然意味着机械臂运动不安全；安全保持在持物、接触或不稳定姿态下同样需要满足保持条件。说明书提到边缘自治，部分权利要求示例主要给出正常、受限、保持和停止四类动作映射。本课题将“协同调度方式”和“操作安全状态”设为两个正交维度，以显式守卫条件和优先级表达转换，保留专利提出的机制方向并补足可执行语义。</w:t>
      </w:r>
    </w:p>
    <w:p>
      <w:r>
        <w:rPr>
          <w:b w:val="0"/>
        </w:rPr>
        <w:t>最后，交接失败时继续旧计划不能作为无条件回退规则。旧计划可能已经过期，环境可能变化，或者旧任务步骤已经完成。拟研究的回退逻辑必须重新验证旧计划的剩余段；只有仍然有效且安全时才继续，否则进入受约束保持、局部撤离或停止，并报告失败原因。专利提供研究结构，学术工作则需要补充变量定义、假设、反例、算法与实验。二者在本课题中相互关联，但创新和有效性需要分别评价。</w:t>
      </w:r>
    </w:p>
    <w:p>
      <w:bookmarkStart w:id="5" w:name="sec_4"/>
      <w:pPr>
        <w:pStyle w:val="Heading1"/>
      </w:pPr>
      <w:r>
        <w:t>四、研究目标、科学问题与可检验假设</w:t>
      </w:r>
      <w:bookmarkEnd w:id="5"/>
    </w:p>
    <w:p>
      <w:pPr>
        <w:pStyle w:val="Heading2"/>
      </w:pPr>
      <w:r>
        <w:t>4.1 总体研究目标</w:t>
      </w:r>
    </w:p>
    <w:p>
      <w:r>
        <w:rPr>
          <w:b w:val="0"/>
        </w:rPr>
        <w:t>本课题拟在十二周内，以 MuJoCo 和真实本地视觉语言模型构成可审计的 RGB-D 物理闭环，完成两项方法研究。核心贡献 C1 是感知不确定性与时效约束下的运行中云边决策，核心贡献 C2 是视觉证据契约与最小局部修复。两者复用 PCSC、ETEAC、TaskContract、SafetyShield 和设备适配链，分别回答“何时需要新证据或云端参与”和“证据失效后如何保留已完成效果，并验证局部修复确实恢复任务”。</w:t>
      </w:r>
    </w:p>
    <w:p>
      <w:r>
        <w:rPr>
          <w:b w:val="0"/>
        </w:rPr>
        <w:t>基础模型全程固定，只训练轻量失败风险估计与恢复决策模块。工程真实性和标称任务能力先验收，之后才比较请求、通信、耗时和恢复收益。G2a 是次级优化目标，G5 是支撑研究扩展；Isaac 跨引擎对照及技能缓存迁移另列扩展。相对降幅以百分比表示，比例绝对差以“百分点”表示；成功率等绝对门槛单列。各基线数值尚未实测，以下目标是预注册研究要求，不是已取得结果，也不是性能承诺。</w:t>
      </w:r>
    </w:p>
    <w:p>
      <w:pPr>
        <w:pStyle w:val="Caption"/>
        <w:keepNext/>
      </w:pPr>
      <w:r>
        <w:t>表 1  预注册量化目标与验收范围</w:t>
      </w:r>
    </w:p>
    <w:tbl>
      <w:tblPr>
        <w:tblW w:type="auto" w:w="0"/>
        <w:jc w:val="center"/>
        <w:tblLayout w:type="fixed"/>
        <w:tblLook w:firstColumn="1" w:firstRow="1" w:lastColumn="0" w:lastRow="0" w:noHBand="0" w:noVBand="1" w:val="04A0"/>
      </w:tblPr>
      <w:tblGrid>
        <w:gridCol w:w="1364"/>
        <w:gridCol w:w="4750"/>
        <w:gridCol w:w="3292"/>
      </w:tblGrid>
      <w:tr>
        <w:trPr>
          <w:cantSplit/>
          <w:tblHeader/>
        </w:trPr>
        <w:tc>
          <w:tcPr>
            <w:tcW w:type="dxa" w:w="136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shd w:fill="EDEDED"/>
          </w:tcPr>
          <w:p>
            <w:pPr>
              <w:spacing w:after="0" w:line="320" w:lineRule="exact"/>
              <w:ind w:firstLine="0"/>
              <w:jc w:val="center"/>
            </w:pPr>
            <w:r>
              <w:rPr>
                <w:b/>
                <w:sz w:val="21"/>
              </w:rPr>
              <w:t>编号与层级</w:t>
            </w:r>
          </w:p>
        </w:tc>
        <w:tc>
          <w:tcPr>
            <w:tcW w:type="dxa" w:w="4750"/>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shd w:fill="EDEDED"/>
          </w:tcPr>
          <w:p>
            <w:pPr>
              <w:spacing w:after="0" w:line="320" w:lineRule="exact"/>
              <w:ind w:firstLine="0"/>
              <w:jc w:val="center"/>
            </w:pPr>
            <w:r>
              <w:rPr>
                <w:b/>
                <w:sz w:val="21"/>
              </w:rPr>
              <w:t>优化对象及量化目标</w:t>
            </w:r>
          </w:p>
        </w:tc>
        <w:tc>
          <w:tcPr>
            <w:tcW w:type="dxa" w:w="329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shd w:fill="EDEDED"/>
          </w:tcPr>
          <w:p>
            <w:pPr>
              <w:spacing w:after="0" w:line="320" w:lineRule="exact"/>
              <w:ind w:firstLine="0"/>
              <w:jc w:val="center"/>
            </w:pPr>
            <w:r>
              <w:rPr>
                <w:b/>
                <w:sz w:val="21"/>
              </w:rPr>
              <w:t>测量集合与判定作用</w:t>
            </w:r>
          </w:p>
        </w:tc>
      </w:tr>
      <w:tr>
        <w:trPr>
          <w:cantSplit/>
        </w:trPr>
        <w:tc>
          <w:tcPr>
            <w:tcW w:type="dxa" w:w="136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G0，工程门槛</w:t>
            </w:r>
          </w:p>
        </w:tc>
        <w:tc>
          <w:tcPr>
            <w:tcW w:type="dxa" w:w="4750"/>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正式运行中已发生的感知、模型及动作阶段 100% 使用真实 RGB-D、实际模型调用和 actuator/step；真值泄露、伪装成功、跨集合组重复均为 0；阻塞及未执行阶段如实登记</w:t>
            </w:r>
          </w:p>
        </w:tc>
        <w:tc>
          <w:tcPr>
            <w:tcW w:type="dxa" w:w="329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全部正式运行和来源审计；不通过则不能验收方法</w:t>
            </w:r>
          </w:p>
        </w:tc>
      </w:tr>
      <w:tr>
        <w:trPr>
          <w:cantSplit/>
        </w:trPr>
        <w:tc>
          <w:tcPr>
            <w:tcW w:type="dxa" w:w="136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G1，基础能力</w:t>
            </w:r>
          </w:p>
        </w:tc>
        <w:tc>
          <w:tcPr>
            <w:tcW w:type="dxa" w:w="4750"/>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清晰可见目标三维表面定位误差 P90 ≤10 mm；标称静态抓放成功率点估计 ≥90%</w:t>
            </w:r>
          </w:p>
        </w:tc>
        <w:tc>
          <w:tcPr>
            <w:tcW w:type="dxa" w:w="329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独立标称任务测试层；定位仅对正确识别且深度有效的目标统计，同时报告识别覆盖率与无效深度拒绝率</w:t>
            </w:r>
          </w:p>
        </w:tc>
      </w:tr>
      <w:tr>
        <w:trPr>
          <w:cantSplit/>
        </w:trPr>
        <w:tc>
          <w:tcPr>
            <w:tcW w:type="dxa" w:w="136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G2，C1 核心</w:t>
            </w:r>
          </w:p>
        </w:tc>
        <w:tc>
          <w:tcPr>
            <w:tcW w:type="dxa" w:w="4750"/>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相对 B0，每分配任务云端模型请求均值降低 ≥30%；成功率差的一侧 95% 置信下界 &gt;−3 个百分点；物理安全违规率差的一侧 95% 置信上界 ≤+1 个百分点</w:t>
            </w:r>
          </w:p>
        </w:tc>
        <w:tc>
          <w:tcPr>
            <w:tcW w:type="dxa" w:w="329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同一正式配对任务；请求计入超时、重试及失败请求；三项同时通过</w:t>
            </w:r>
          </w:p>
        </w:tc>
      </w:tr>
      <w:tr>
        <w:trPr>
          <w:cantSplit/>
        </w:trPr>
        <w:tc>
          <w:tcPr>
            <w:tcW w:type="dxa" w:w="136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G2a，次级</w:t>
            </w:r>
          </w:p>
        </w:tc>
        <w:tc>
          <w:tcPr>
            <w:tcW w:type="dxa" w:w="4750"/>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相对 B0，应用层实际传输字节均值降低 ≥25%；含失败惩罚的任务耗时 P95 降低 ≥15%</w:t>
            </w:r>
          </w:p>
        </w:tc>
        <w:tc>
          <w:tcPr>
            <w:tcW w:type="dxa" w:w="329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与 G2 相同；两项分别报告是否达标</w:t>
            </w:r>
          </w:p>
        </w:tc>
      </w:tr>
      <w:tr>
        <w:trPr>
          <w:cantSplit/>
        </w:trPr>
        <w:tc>
          <w:tcPr>
            <w:tcW w:type="dxa" w:w="136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G3，C2 核心</w:t>
            </w:r>
          </w:p>
        </w:tc>
        <w:tc>
          <w:tcPr>
            <w:tcW w:type="dxa" w:w="4750"/>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相对 B3，无效机会误放行率降低 ≥50%，且绝对误放行率 ≤2%；有效且安全机会错误拒绝率 ≤5%</w:t>
            </w:r>
          </w:p>
        </w:tc>
        <w:tc>
          <w:tcPr>
            <w:tcW w:type="dxa" w:w="329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预定义移动、遮挡、深度损坏和延迟机会；真值只供独立离线评价</w:t>
            </w:r>
          </w:p>
        </w:tc>
      </w:tr>
      <w:tr>
        <w:trPr>
          <w:cantSplit/>
        </w:trPr>
        <w:tc>
          <w:tcPr>
            <w:tcW w:type="dxa" w:w="136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G4，C2 恢复</w:t>
            </w:r>
          </w:p>
        </w:tc>
        <w:tc>
          <w:tcPr>
            <w:tcW w:type="dxa" w:w="4750"/>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预注册可恢复故障的恢复成功率 ≥80%；相对 B4，含失败惩罚恢复耗时中位数降低 ≥30%；已完成不可重复动作重复提交次数为 0</w:t>
            </w:r>
          </w:p>
        </w:tc>
        <w:tc>
          <w:tcPr>
            <w:tcW w:type="dxa" w:w="329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200 个独立故障 episode；比较方法运行前锁定故障集合</w:t>
            </w:r>
          </w:p>
        </w:tc>
      </w:tr>
      <w:tr>
        <w:trPr>
          <w:cantSplit/>
        </w:trPr>
        <w:tc>
          <w:tcPr>
            <w:tcW w:type="dxa" w:w="136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G5，支撑扩展</w:t>
            </w:r>
          </w:p>
        </w:tc>
        <w:tc>
          <w:tcPr>
            <w:tcW w:type="dxa" w:w="4750"/>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相同 2000 个有效训练组下，定向数据相对均匀随机化使域外成功率提高 ≥5 个百分点；绘制 500、1000、2000 组学习曲线</w:t>
            </w:r>
          </w:p>
        </w:tc>
        <w:tc>
          <w:tcPr>
            <w:tcW w:type="dxa" w:w="329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300 个独立域外测试组、3 个训练种子；基础 VLM 固定</w:t>
            </w:r>
          </w:p>
        </w:tc>
      </w:tr>
    </w:tbl>
    <w:p>
      <w:pPr>
        <w:spacing w:after="0" w:line="80" w:lineRule="exact"/>
        <w:ind w:firstLine="0"/>
      </w:pPr>
      <w:r>
        <w:rPr>
          <w:sz w:val="8"/>
        </w:rPr>
      </w:r>
    </w:p>
    <w:p>
      <w:r>
        <w:rPr>
          <w:b w:val="0"/>
        </w:rPr>
        <w:t>数值选择具有明确的研究含义，但没有当前项目实测保证。云请求减少 30% 表示每十次基线调用至少节省三次，用作值得增加调度复杂度的工程收益门槛；3 个百分点是本研究允许的最大成功率代价，1 个百分点是限定仿真内的风险差验收上限。误放行相对减少 50% 要求出现可辨识收益，绝对 2% 误放行和 5% 错误拒绝约束避免结果完全依赖较弱基线或过度保守。恢复成功率 80% 表示预定义可恢复故障中至少五次成功四次。定位、字节、耗时及域外收益同样是设计方提出的研究门槛，并非从文献直接推导出的已知常数，也不构成真实设备安全标准。</w:t>
      </w:r>
    </w:p>
    <w:p>
      <w:pPr>
        <w:pStyle w:val="Heading2"/>
      </w:pPr>
      <w:r>
        <w:t>4.2 拟解决的关键问题</w:t>
      </w:r>
    </w:p>
    <w:p>
      <w:r>
        <w:rPr>
          <w:b w:val="0"/>
        </w:rPr>
        <w:t>第一，感知不确定性和观测年龄如何共同限定一个动作是否仍可执行。相同的旧图像在静止目标与移动目标上含义不同，相同的深度噪声对宽容放置和精细抓取的影响也不同。需要将误差界、动作允许误差和预计动作时间联系起来，区分可信、失效与 UNKNOWN，并检验判据是否同时降低误放行和错误拒绝。</w:t>
      </w:r>
    </w:p>
    <w:p>
      <w:r>
        <w:rPr>
          <w:b w:val="0"/>
        </w:rPr>
        <w:t>第二，云端参与应如何与重观测、本地恢复共同选择。网络时延只描述云端更新的成本和可达性，不能替代现场几何证据；VLM 自报置信度也不能直接作为失败概率。研究需要把可观测的深度质量、像素稳定性、标定残差、运动估计和任务阶段映射为经独立校准的失败风险，再在确定性安全门许可的动作中比较期望成本。首个实现采用有限候选或启发式优化，不宣称获得全局最优解。</w:t>
      </w:r>
    </w:p>
    <w:p>
      <w:r>
        <w:rPr>
          <w:b w:val="0"/>
        </w:rPr>
        <w:t>第三，局部修复应在什么条件下启动、结束或升级。需要以证据依赖确定受影响的未完成步骤，以新观测确认已有物理效果，再通过后置条件判断修复是否生效。最终验收出现 UNKNOWN 时应有限重观测，可恢复 FAIL 应重新进入恢复；授权重试、模型返回和执行器接受均不能直接记作解决。持久化预算和无进展判据保证闭环能够明确终止。</w:t>
      </w:r>
    </w:p>
    <w:p>
      <w:r>
        <w:rPr>
          <w:b w:val="0"/>
        </w:rPr>
        <w:t>第四，如何使上述收益可公平辨认。所有方法须共享真实模型、技能能力、SafetyShield、物理种子和故障日程；基线也应具有运行中决策入口。样本划分、错误机会分母和超时惩罚必须先冻结，避免通过挑选弱周期、丢弃失败或重复统计同场景帧得到表面优势。</w:t>
      </w:r>
    </w:p>
    <w:p>
      <w:pPr>
        <w:pStyle w:val="Heading2"/>
      </w:pPr>
      <w:r>
        <w:t>4.3 假设及判定方式</w:t>
      </w:r>
    </w:p>
    <w:p>
      <w:r>
        <w:rPr>
          <w:b w:val="0"/>
        </w:rPr>
        <w:t>H1 对应 C1/G2：校准感知风险与动作时效参与调度后，相对经验证集合理选择的周期监督 B0，云请求均值可减少至少 30%，且成功与风险非劣同时通过。B1 固定阈值 ETEAC 和 B2 现有规则 AUTO 用于辨认改进是否超出现有事件及规则机制。G2a 的字节与耗时分别检验，不能用请求减少代替其他收益。若减少请求导致成功率差下界未越过 −3 个百分点，或风险差上界超过 +1 个百分点，则不宣称 C1 达标。</w:t>
      </w:r>
    </w:p>
    <w:p>
      <w:r>
        <w:rPr>
          <w:b w:val="0"/>
        </w:rPr>
        <w:t>H2 对应 C2/G3：相较保留共同安全层、版本和基础几何检查的 B3，校准误差界与动作相关证据有效期可同时满足相对误放行减少、绝对误放行及错误拒绝门槛。预注册机会由独立评价器确定，在线策略不可读取真值。若相对基线误放行率为零，则相对改善记 N/A，仅报告绝对门槛是否达到，不能宣布相对优势已证明。</w:t>
      </w:r>
    </w:p>
    <w:p>
      <w:r>
        <w:rPr>
          <w:b w:val="0"/>
        </w:rPr>
        <w:t>H3 对应 C2/G4：在同一故障集合中，视觉依赖驱动的局部修复相对失败后完整重规划 B4，可在恢复成功率至少 80% 的同时，将惩罚恢复耗时中位数降低至少 30%，并保持已完成不可重复动作重复提交为零。若恢复仅依赖读取目标真值、忽略 SafetyShield 或重复执行已完成副作用，相关运行不满足 G0，也不能支持 H3。</w:t>
      </w:r>
    </w:p>
    <w:p>
      <w:r>
        <w:rPr>
          <w:b w:val="0"/>
        </w:rPr>
        <w:t>H4 对应扩展 G5：固定基础 VLM 和轻量模块训练条件时，针对训练池薄弱条件的定向采样相对 B5 均匀随机化，在 2000 个有效训练组下提高域外成功率至少 5 个百分点。另设普通失败采样，检验方法是否超出“多采失败附近样本”的一般收益。学习曲线和三个训练种子用于观察数据效率及训练随机性，该扩展不替代 C1/C2。</w:t>
      </w:r>
    </w:p>
    <w:p>
      <w:r>
        <w:rPr>
          <w:b w:val="0"/>
        </w:rPr>
        <w:t>G0、G1 通过才进入正式方法验收；C1 需 G2 通过，C2 需 G3 与 G4 均通过。各相对目标按点估计判定，同时要求相应改善的 95% 区间排除零才称为可靠改善；不能将点估计越过 30% 写成置信下界也达到 30%。多主假设检验使用 Holm 校正。基线成功或风险不合格时报告无可行对照并补基础能力；样本功效不足或区间过宽时报告证据不足。第 4 周基础先导固定超时、场景、统计规则和预算，第 9 周完整方法冻结后以另一批开发先导确定正式样本量；两轮均不进入测试，不能用于事后放宽目标。</w:t>
      </w:r>
    </w:p>
    <w:p>
      <w:bookmarkStart w:id="6" w:name="sec_5"/>
      <w:pPr>
        <w:pStyle w:val="Heading1"/>
      </w:pPr>
      <w:r>
        <w:t>五、双系统协同的建模与评价边界</w:t>
      </w:r>
      <w:bookmarkEnd w:id="6"/>
    </w:p>
    <w:p>
      <w:pPr>
        <w:pStyle w:val="Heading2"/>
      </w:pPr>
      <w:r>
        <w:t>5.1 多时间尺度模型</w:t>
      </w:r>
    </w:p>
    <w:p>
      <w:r>
        <w:rPr>
          <w:b w:val="0"/>
        </w:rPr>
        <w:t>令边缘离散执行时刻为 t</w:t>
      </w:r>
      <w:r>
        <w:rPr>
          <w:b w:val="0"/>
          <w:vertAlign w:val="subscript"/>
        </w:rPr>
        <w:t>k</w:t>
      </w:r>
      <w:r>
        <w:rPr>
          <w:b w:val="0"/>
        </w:rPr>
        <w:t>，边缘周期为 T</w:t>
      </w:r>
      <w:r>
        <w:rPr>
          <w:b w:val="0"/>
          <w:vertAlign w:val="subscript"/>
        </w:rPr>
        <w:t>e</w:t>
      </w:r>
      <w:r>
        <w:rPr>
          <w:b w:val="0"/>
        </w:rPr>
        <w:t>，云端监督或规划完成时刻为 s</w:t>
      </w:r>
      <w:r>
        <w:rPr>
          <w:b w:val="0"/>
          <w:vertAlign w:val="subscript"/>
        </w:rPr>
        <w:t>j</w:t>
      </w:r>
      <w:r>
        <w:rPr>
          <w:b w:val="0"/>
        </w:rPr>
        <w:t xml:space="preserve">。云端周期 </w:t>
      </w:r>
      <w:r>
        <w:rPr>
          <w:b w:val="0"/>
        </w:rPr>
        <w:t>T</w:t>
      </w:r>
      <w:r>
        <w:rPr>
          <w:b w:val="0"/>
          <w:vertAlign w:val="subscript"/>
        </w:rPr>
        <w:t>c</w:t>
      </w:r>
      <w:r>
        <w:rPr>
          <w:b w:val="0"/>
        </w:rPr>
        <w:t xml:space="preserve"> 表示监督机会或调度间隔，通常大于 T</w:t>
      </w:r>
      <w:r>
        <w:rPr>
          <w:b w:val="0"/>
          <w:vertAlign w:val="subscript"/>
        </w:rPr>
        <w:t>e</w:t>
      </w:r>
      <w:r>
        <w:rPr>
          <w:b w:val="0"/>
        </w:rPr>
        <w:t>；复杂推理耗时允许变化，不能假设每个监督周期都能完成一次模型调用。机器人状态、任务进度、传感器质量与网络统计构成边缘上下文。用下式表达模拟设备上的状态演化与动作产生关系：</w:t>
      </w:r>
    </w:p>
    <w:p>
      <w:pPr>
        <w:keepLines/>
        <w:spacing w:before="100" w:after="160" w:line="240" w:lineRule="auto"/>
        <w:ind w:firstLine="0"/>
        <w:jc w:val="center"/>
      </w:pPr>
      <w:r>
        <w:drawing>
          <wp:inline xmlns:a="http://schemas.openxmlformats.org/drawingml/2006/main" xmlns:pic="http://schemas.openxmlformats.org/drawingml/2006/picture">
            <wp:extent cx="3601089" cy="188973"/>
            <wp:docPr id="1" name="Picture 1" descr="公式 1: x_{k+1}=f_{\theta}(x_k,u_k,w_k),\qquad u_k=\mathcal{S}(x_k,\pi_k,c_k)" title="公式 1: x_{k+1}=f_{\theta}(x_k,u_k,w_k),\qquad u_k=\mathcal{S}(x_k,\pi_k,c_k)"/>
            <wp:cNvGraphicFramePr>
              <a:graphicFrameLocks noChangeAspect="1"/>
            </wp:cNvGraphicFramePr>
            <a:graphic>
              <a:graphicData uri="http://schemas.openxmlformats.org/drawingml/2006/picture">
                <pic:pic>
                  <pic:nvPicPr>
                    <pic:cNvPr id="0" name="equation-1.png"/>
                    <pic:cNvPicPr/>
                  </pic:nvPicPr>
                  <pic:blipFill>
                    <a:blip r:embed="rId11"/>
                    <a:stretch>
                      <a:fillRect/>
                    </a:stretch>
                  </pic:blipFill>
                  <pic:spPr>
                    <a:xfrm>
                      <a:off x="0" y="0"/>
                      <a:ext cx="3601089" cy="188973"/>
                    </a:xfrm>
                    <a:prstGeom prst="rect"/>
                  </pic:spPr>
                </pic:pic>
              </a:graphicData>
            </a:graphic>
          </wp:inline>
        </w:drawing>
      </w:r>
      <w:r>
        <w:rPr>
          <w:sz w:val="20"/>
        </w:rPr>
        <w:t xml:space="preserve">  （1）</w:t>
      </w:r>
    </w:p>
    <w:p>
      <w:r>
        <w:rPr>
          <w:b w:val="0"/>
        </w:rPr>
        <w:t>其中，θ 表示仿真物理参数，w</w:t>
      </w:r>
      <w:r>
        <w:rPr>
          <w:b w:val="0"/>
          <w:vertAlign w:val="subscript"/>
        </w:rPr>
        <w:t>k</w:t>
      </w:r>
      <w:r>
        <w:rPr>
          <w:b w:val="0"/>
        </w:rPr>
        <w:t xml:space="preserve"> 表示外部扰动，π</w:t>
      </w:r>
      <w:r>
        <w:rPr>
          <w:b w:val="0"/>
          <w:vertAlign w:val="subscript"/>
        </w:rPr>
        <w:t>k</w:t>
      </w:r>
      <w:r>
        <w:rPr>
          <w:b w:val="0"/>
        </w:rPr>
        <w:t xml:space="preserve"> 表示当前候选轨迹或技能，c</w:t>
      </w:r>
      <w:r>
        <w:rPr>
          <w:b w:val="0"/>
          <w:vertAlign w:val="subscript"/>
        </w:rPr>
        <w:t>k</w:t>
      </w:r>
      <w:r>
        <w:rPr>
          <w:b w:val="0"/>
        </w:rPr>
        <w:t xml:space="preserve"> 表示契约与约束，𝒮 表示边缘安全筛选及执行逻辑。模型用于界定输入输出和实验变量，不预设已经得到精确动力学。云端方案通过异步通道到达，边缘在每个周期读取已验证的执行快照；接收线程不得在控制循环中进行阻塞式模型请求。</w:t>
      </w:r>
    </w:p>
    <w:p>
      <w:r>
        <w:rPr>
          <w:b w:val="0"/>
        </w:rPr>
        <w:t>状态 x</w:t>
      </w:r>
      <w:r>
        <w:rPr>
          <w:b w:val="0"/>
          <w:vertAlign w:val="subscript"/>
        </w:rPr>
        <w:t>k</w:t>
      </w:r>
      <w:r>
        <w:rPr>
          <w:b w:val="0"/>
        </w:rPr>
        <w:t xml:space="preserve"> 描述物理环境，不表示在线策略可以读取全部仿真状态。策略输入是受限观测 o</w:t>
      </w:r>
      <w:r>
        <w:rPr>
          <w:b w:val="0"/>
          <w:vertAlign w:val="subscript"/>
        </w:rPr>
        <w:t>k</w:t>
      </w:r>
      <w:r>
        <w:rPr>
          <w:b w:val="0"/>
        </w:rPr>
        <w:t>，包括 RGB、米制深度、有效掩码、相机标定、关节与执行反馈及时间戳；真实目标位姿、实际定位误差和预设故障标签只供离线教师或独立评价。首个配置为固定顶视相机，默认 320×240，RGB 为 uint8，光轴深度为以米为单位的 float32。每帧保留内参、相机到世界变换、帧号、采集时刻、场景及 episode 标识、标定版本和校验和，使几何结果可回溯到输入证据。</w:t>
      </w:r>
    </w:p>
    <w:p>
      <w:r>
        <w:rPr>
          <w:b w:val="0"/>
        </w:rPr>
        <w:t>本地 VLM 必须实际接收 RGB 图与深度可视化图，输出目标及放置区域像素位置和白名单技能意图。深度可视化只作模型辅助输入及界面展示，几何计算必须读取原始深度；不能把双图输入称为原生四通道融合。模型输出不直接生成关节控制量，也不能用场景文字标签代替图像理解。腕部相机属于后续可选扩展，旧图裁剪或重新编码不计作新视点或新观测。</w:t>
      </w:r>
    </w:p>
    <w:p>
      <w:pPr>
        <w:pStyle w:val="Heading2"/>
      </w:pPr>
      <w:r>
        <w:t>5.2 计划、信息与上下文的时效</w:t>
      </w:r>
    </w:p>
    <w:p>
      <w:r>
        <w:rPr>
          <w:b w:val="0"/>
        </w:rPr>
        <w:t xml:space="preserve">对计划 P，定义其基准观测生成时间 </w:t>
      </w:r>
      <w:r>
        <w:rPr>
          <w:b w:val="0"/>
        </w:rPr>
        <w:t>τ</w:t>
      </w:r>
      <w:r>
        <w:rPr>
          <w:b w:val="0"/>
          <w:vertAlign w:val="subscript"/>
        </w:rPr>
        <w:t>obs</w:t>
      </w:r>
      <w:r>
        <w:rPr>
          <w:b w:val="0"/>
        </w:rPr>
        <w:t xml:space="preserve">、计划生成时间 </w:t>
      </w:r>
      <w:r>
        <w:rPr>
          <w:b w:val="0"/>
        </w:rPr>
        <w:t>τ</w:t>
      </w:r>
      <w:r>
        <w:rPr>
          <w:b w:val="0"/>
          <w:vertAlign w:val="subscript"/>
        </w:rPr>
        <w:t>gen</w:t>
      </w:r>
      <w:r>
        <w:rPr>
          <w:b w:val="0"/>
        </w:rPr>
        <w:t xml:space="preserve">、接收时间 </w:t>
      </w:r>
      <w:r>
        <w:rPr>
          <w:b w:val="0"/>
        </w:rPr>
        <w:t>τ</w:t>
      </w:r>
      <w:r>
        <w:rPr>
          <w:b w:val="0"/>
          <w:vertAlign w:val="subscript"/>
        </w:rPr>
        <w:t>recv</w:t>
      </w:r>
      <w:r>
        <w:rPr>
          <w:b w:val="0"/>
        </w:rPr>
        <w:t xml:space="preserve"> 和实际提交时间 </w:t>
      </w:r>
      <w:r>
        <w:rPr>
          <w:b w:val="0"/>
        </w:rPr>
        <w:t>τ</w:t>
      </w:r>
      <w:r>
        <w:rPr>
          <w:b w:val="0"/>
          <w:vertAlign w:val="subscript"/>
        </w:rPr>
        <w:t>commit</w:t>
      </w:r>
      <w:r>
        <w:rPr>
          <w:b w:val="0"/>
        </w:rPr>
        <w:t>。方案的上下文信息年龄与通信时延分别为：</w:t>
      </w:r>
    </w:p>
    <w:p>
      <w:pPr>
        <w:keepLines/>
        <w:spacing w:before="100" w:after="160" w:line="240" w:lineRule="auto"/>
        <w:ind w:firstLine="0"/>
        <w:jc w:val="center"/>
      </w:pPr>
      <w:r>
        <w:drawing>
          <wp:inline xmlns:a="http://schemas.openxmlformats.org/drawingml/2006/main" xmlns:pic="http://schemas.openxmlformats.org/drawingml/2006/picture">
            <wp:extent cx="3167204" cy="197840"/>
            <wp:docPr id="2" name="Picture 2" descr="公式 2: A_P(t)=t-\tau_{\mathrm{obs}},\qquad D_P=\tau_{\mathrm{recv}}-\tau_{\mathrm{gen}}" title="公式 2: A_P(t)=t-\tau_{\mathrm{obs}},\qquad D_P=\tau_{\mathrm{recv}}-\tau_{\mathrm{gen}}"/>
            <wp:cNvGraphicFramePr>
              <a:graphicFrameLocks noChangeAspect="1"/>
            </wp:cNvGraphicFramePr>
            <a:graphic>
              <a:graphicData uri="http://schemas.openxmlformats.org/drawingml/2006/picture">
                <pic:pic>
                  <pic:nvPicPr>
                    <pic:cNvPr id="0" name="equation-2.png"/>
                    <pic:cNvPicPr/>
                  </pic:nvPicPr>
                  <pic:blipFill>
                    <a:blip r:embed="rId12"/>
                    <a:stretch>
                      <a:fillRect/>
                    </a:stretch>
                  </pic:blipFill>
                  <pic:spPr>
                    <a:xfrm>
                      <a:off x="0" y="0"/>
                      <a:ext cx="3167204" cy="197840"/>
                    </a:xfrm>
                    <a:prstGeom prst="rect"/>
                  </pic:spPr>
                </pic:pic>
              </a:graphicData>
            </a:graphic>
          </wp:inline>
        </w:drawing>
      </w:r>
      <w:r>
        <w:rPr>
          <w:sz w:val="20"/>
        </w:rPr>
        <w:t xml:space="preserve">  （2）</w:t>
      </w:r>
    </w:p>
    <w:p>
      <w:r>
        <w:rPr>
          <w:b w:val="0"/>
        </w:rPr>
        <w:t>时间量需要在同一时钟语义下计算。单进程仿真可以使用统一模拟时钟评估任务演化；实际模型调用和网络注入则使用单调墙钟记录等待成本。模拟时间快于或慢于墙钟时，两类时间必须分栏保存。跨进程或云边不同主机存在时钟偏差，应记录同步误差界；不能直接将两个未同步系统的时间戳相减并声称获得单向延迟。</w:t>
      </w:r>
    </w:p>
    <w:p>
      <w:r>
        <w:rPr>
          <w:b w:val="0"/>
        </w:rPr>
        <w:t>计划有效性定义为多个必要条件的合取：</w:t>
      </w:r>
    </w:p>
    <w:p>
      <w:pPr>
        <w:keepLines/>
        <w:spacing w:before="100" w:after="160" w:line="240" w:lineRule="auto"/>
        <w:ind w:firstLine="0"/>
        <w:jc w:val="center"/>
      </w:pPr>
      <w:r>
        <w:drawing>
          <wp:inline xmlns:a="http://schemas.openxmlformats.org/drawingml/2006/main" xmlns:pic="http://schemas.openxmlformats.org/drawingml/2006/picture">
            <wp:extent cx="4728874" cy="196006"/>
            <wp:docPr id="3" name="Picture 3" descr="公式 3: V(P,t)=V_{\mathrm{schema}}\land V_{\mathrm{epoch}}\land V_{\mathrm{time}}\land V_{\mathrm{state}}\land V_{\mathrm{sensor}}\land V_{\mathrm{context}}" title="公式 3: V(P,t)=V_{\mathrm{schema}}\land V_{\mathrm{epoch}}\land V_{\mathrm{time}}\land V_{\mathrm{state}}\land V_{\mathrm{sensor}}\land V_{\mathrm{context}}"/>
            <wp:cNvGraphicFramePr>
              <a:graphicFrameLocks noChangeAspect="1"/>
            </wp:cNvGraphicFramePr>
            <a:graphic>
              <a:graphicData uri="http://schemas.openxmlformats.org/drawingml/2006/picture">
                <pic:pic>
                  <pic:nvPicPr>
                    <pic:cNvPr id="0" name="equation-3.png"/>
                    <pic:cNvPicPr/>
                  </pic:nvPicPr>
                  <pic:blipFill>
                    <a:blip r:embed="rId13"/>
                    <a:stretch>
                      <a:fillRect/>
                    </a:stretch>
                  </pic:blipFill>
                  <pic:spPr>
                    <a:xfrm>
                      <a:off x="0" y="0"/>
                      <a:ext cx="4728874" cy="196006"/>
                    </a:xfrm>
                    <a:prstGeom prst="rect"/>
                  </pic:spPr>
                </pic:pic>
              </a:graphicData>
            </a:graphic>
          </wp:inline>
        </w:drawing>
      </w:r>
      <w:r>
        <w:rPr>
          <w:sz w:val="20"/>
        </w:rPr>
        <w:t xml:space="preserve">  （3）</w:t>
      </w:r>
    </w:p>
    <w:p>
      <w:r>
        <w:rPr>
          <w:b w:val="0"/>
        </w:rPr>
        <w:t>结构条件对应已知字段、技能和参数；代次条件对应任务标识、版本与乱序拒绝；时间条件对应动作相关有效窗、最大年龄及剩余段时限；状态条件对应起始适用范围；传感器条件对应深度质量、校准误差界和更新年龄；上下文条件对应目标身份、障碍、约束与设备配置。有效性是进入安全筛选的前提，而不是安全筛选的替代。一个有效计划仍可能在具体轨迹生成后被判定不可执行。关键条件不可估计时返回 UNKNOWN，不能把未发现反例解释为有效。</w:t>
      </w:r>
    </w:p>
    <w:p>
      <w:pPr>
        <w:pStyle w:val="Heading2"/>
      </w:pPr>
      <w:r>
        <w:t>5.3 协同策略与安全状态的正交模型</w:t>
      </w:r>
    </w:p>
    <w:p>
      <w:r>
        <w:rPr>
          <w:b w:val="0"/>
        </w:rPr>
        <w:t>协同策略集合为 C＝{PCSC，ETEAC}，AUTO 是在可行条件下选择其中一种的调度器。安全执行状态集合拟定义为 M＝{NORMAL，LIMITED，HOLD，STOP}，分别表示正常执行、受限执行、满足保持条件的等待，以及停止状态。边缘自治属于协同方式或云端可用性下的执行权限，不作为比 NORMAL 更安全或更危险的编号。系统状态因此包含策略、操作状态、契约代次和剩余恢复预算，而不能用一个整型 mode 表示全部含义。</w:t>
      </w:r>
    </w:p>
    <w:p>
      <w:pPr>
        <w:pStyle w:val="Caption"/>
        <w:keepNext/>
      </w:pPr>
      <w:r>
        <w:t>表 2  协同策略与安全状态的正交关系</w:t>
      </w:r>
    </w:p>
    <w:tbl>
      <w:tblPr>
        <w:tblW w:type="auto" w:w="0"/>
        <w:jc w:val="center"/>
        <w:tblLayout w:type="fixed"/>
        <w:tblLook w:firstColumn="1" w:firstRow="1" w:lastColumn="0" w:lastRow="0" w:noHBand="0" w:noVBand="1" w:val="04A0"/>
      </w:tblPr>
      <w:tblGrid>
        <w:gridCol w:w="1505"/>
        <w:gridCol w:w="2163"/>
        <w:gridCol w:w="2634"/>
        <w:gridCol w:w="3104"/>
      </w:tblGrid>
      <w:tr>
        <w:trPr>
          <w:cantSplit/>
          <w:tblHeader/>
        </w:trPr>
        <w:tc>
          <w:tcPr>
            <w:tcW w:type="dxa" w:w="150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shd w:fill="EDEDED"/>
          </w:tcPr>
          <w:p>
            <w:pPr>
              <w:spacing w:after="0" w:line="320" w:lineRule="exact"/>
              <w:ind w:firstLine="0"/>
              <w:jc w:val="center"/>
            </w:pPr>
            <w:r>
              <w:rPr>
                <w:b/>
                <w:sz w:val="21"/>
              </w:rPr>
              <w:t>协同维度</w:t>
            </w:r>
          </w:p>
        </w:tc>
        <w:tc>
          <w:tcPr>
            <w:tcW w:type="dxa" w:w="2163"/>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shd w:fill="EDEDED"/>
          </w:tcPr>
          <w:p>
            <w:pPr>
              <w:spacing w:after="0" w:line="320" w:lineRule="exact"/>
              <w:ind w:firstLine="0"/>
              <w:jc w:val="center"/>
            </w:pPr>
            <w:r>
              <w:rPr>
                <w:b/>
                <w:sz w:val="21"/>
              </w:rPr>
              <w:t>安全维度</w:t>
            </w:r>
          </w:p>
        </w:tc>
        <w:tc>
          <w:tcPr>
            <w:tcW w:type="dxa" w:w="263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shd w:fill="EDEDED"/>
          </w:tcPr>
          <w:p>
            <w:pPr>
              <w:spacing w:after="0" w:line="320" w:lineRule="exact"/>
              <w:ind w:firstLine="0"/>
              <w:jc w:val="center"/>
            </w:pPr>
            <w:r>
              <w:rPr>
                <w:b/>
                <w:sz w:val="21"/>
              </w:rPr>
              <w:t>典型行为</w:t>
            </w:r>
          </w:p>
        </w:tc>
        <w:tc>
          <w:tcPr>
            <w:tcW w:type="dxa" w:w="310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shd w:fill="EDEDED"/>
          </w:tcPr>
          <w:p>
            <w:pPr>
              <w:spacing w:after="0" w:line="320" w:lineRule="exact"/>
              <w:ind w:firstLine="0"/>
              <w:jc w:val="center"/>
            </w:pPr>
            <w:r>
              <w:rPr>
                <w:b/>
                <w:sz w:val="21"/>
              </w:rPr>
              <w:t>解释</w:t>
            </w:r>
          </w:p>
        </w:tc>
      </w:tr>
      <w:tr>
        <w:trPr>
          <w:cantSplit/>
        </w:trPr>
        <w:tc>
          <w:tcPr>
            <w:tcW w:type="dxa" w:w="150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PCSC</w:t>
            </w:r>
          </w:p>
        </w:tc>
        <w:tc>
          <w:tcPr>
            <w:tcW w:type="dxa" w:w="2163"/>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NORMAL 或 LIMITED</w:t>
            </w:r>
          </w:p>
        </w:tc>
        <w:tc>
          <w:tcPr>
            <w:tcW w:type="dxa" w:w="263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按周期反馈，边缘持续执行或限速</w:t>
            </w:r>
          </w:p>
        </w:tc>
        <w:tc>
          <w:tcPr>
            <w:tcW w:type="dxa" w:w="310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有监督机会不意味着跳过边缘检查</w:t>
            </w:r>
          </w:p>
        </w:tc>
      </w:tr>
      <w:tr>
        <w:trPr>
          <w:cantSplit/>
        </w:trPr>
        <w:tc>
          <w:tcPr>
            <w:tcW w:type="dxa" w:w="150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ETEAC</w:t>
            </w:r>
          </w:p>
        </w:tc>
        <w:tc>
          <w:tcPr>
            <w:tcW w:type="dxa" w:w="2163"/>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NORMAL 或 LIMITED</w:t>
            </w:r>
          </w:p>
        </w:tc>
        <w:tc>
          <w:tcPr>
            <w:tcW w:type="dxa" w:w="263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执行已验证契约，处理有界局部事件</w:t>
            </w:r>
          </w:p>
        </w:tc>
        <w:tc>
          <w:tcPr>
            <w:tcW w:type="dxa" w:w="310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自治范围由技能、约束和预算共同限定</w:t>
            </w:r>
          </w:p>
        </w:tc>
      </w:tr>
      <w:tr>
        <w:trPr>
          <w:cantSplit/>
        </w:trPr>
        <w:tc>
          <w:tcPr>
            <w:tcW w:type="dxa" w:w="150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任一策略</w:t>
            </w:r>
          </w:p>
        </w:tc>
        <w:tc>
          <w:tcPr>
            <w:tcW w:type="dxa" w:w="2163"/>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HOLD</w:t>
            </w:r>
          </w:p>
        </w:tc>
        <w:tc>
          <w:tcPr>
            <w:tcW w:type="dxa" w:w="263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维持已验证保持状态并等待条件恢复</w:t>
            </w:r>
          </w:p>
        </w:tc>
        <w:tc>
          <w:tcPr>
            <w:tcW w:type="dxa" w:w="310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保持是否可行需要当前状态证据</w:t>
            </w:r>
          </w:p>
        </w:tc>
      </w:tr>
      <w:tr>
        <w:trPr>
          <w:cantSplit/>
        </w:trPr>
        <w:tc>
          <w:tcPr>
            <w:tcW w:type="dxa" w:w="150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任一策略</w:t>
            </w:r>
          </w:p>
        </w:tc>
        <w:tc>
          <w:tcPr>
            <w:tcW w:type="dxa" w:w="2163"/>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STOP</w:t>
            </w:r>
          </w:p>
        </w:tc>
        <w:tc>
          <w:tcPr>
            <w:tcW w:type="dxa" w:w="263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终止推进并保留故障证据</w:t>
            </w:r>
          </w:p>
        </w:tc>
        <w:tc>
          <w:tcPr>
            <w:tcW w:type="dxa" w:w="310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协同调度不得覆盖停止优先级</w:t>
            </w:r>
          </w:p>
        </w:tc>
      </w:tr>
    </w:tbl>
    <w:p>
      <w:pPr>
        <w:spacing w:after="0" w:line="80" w:lineRule="exact"/>
        <w:ind w:firstLine="0"/>
      </w:pPr>
      <w:r>
        <w:rPr>
          <w:sz w:val="8"/>
        </w:rPr>
      </w:r>
    </w:p>
    <w:p>
      <w:r>
        <w:rPr>
          <w:b w:val="0"/>
        </w:rPr>
        <w:t>上述模型使网络退化可以改变协同方式，而安全约束仍由独立监督决定。高风险弱网条件下，系统可能进入受限或保持；它不能通过“切换为边缘自治”自动获得执行许可。安全状态退出也必须依据恢复证据，而非仅因为网络恢复。图 1 展示拟研究的双时间尺度闭环。</w:t>
      </w:r>
    </w:p>
    <w:p>
      <w:pPr>
        <w:keepNext/>
        <w:spacing w:after="80" w:line="240" w:lineRule="auto"/>
        <w:ind w:firstLine="0"/>
        <w:jc w:val="center"/>
      </w:pPr>
      <w:r>
        <w:drawing>
          <wp:inline xmlns:a="http://schemas.openxmlformats.org/drawingml/2006/main" xmlns:pic="http://schemas.openxmlformats.org/drawingml/2006/picture">
            <wp:extent cx="5852160" cy="4608576"/>
            <wp:docPr id="4" name="Picture 4" descr="图 1  在线验证驱动的执行决策闭环及独立物理评价" title="图 1  在线验证驱动的执行决策闭环及独立物理评价"/>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5852160" cy="4608576"/>
                    </a:xfrm>
                    <a:prstGeom prst="rect"/>
                  </pic:spPr>
                </pic:pic>
              </a:graphicData>
            </a:graphic>
          </wp:inline>
        </w:drawing>
      </w:r>
    </w:p>
    <w:p>
      <w:pPr>
        <w:pStyle w:val="Caption"/>
        <w:jc w:val="center"/>
      </w:pPr>
      <w:r>
        <w:t>图 1  在线验证驱动的执行决策闭环及独立物理评价</w:t>
      </w:r>
    </w:p>
    <w:p>
      <w:pPr>
        <w:pStyle w:val="Heading2"/>
      </w:pPr>
      <w:r>
        <w:t>5.4 约束、目标及结论层级</w:t>
      </w:r>
    </w:p>
    <w:p>
      <w:r>
        <w:rPr>
          <w:b w:val="0"/>
        </w:rPr>
        <w:t>在满足权限、有效性和安全筛选条件的动作集合内，拟比较继续执行 CONTINUE、重新观测 REOBSERVE、本地恢复 LOCAL_RECOVER、请求云端 REQUEST_CLOUD 和停止 STOP。它们由 PCSC/ETEAC 机制调度，不引入第三套设备执行器。运行中以校准失败风险估计任务损失，以设备实测估计推理、网络、重观测和切换成本；评价时计算实际任务完成、耗时、字节和请求。下式作为归一化多目标成本表达，在线使用候选动作的条件期望，离线报告实际指标：</w:t>
      </w:r>
    </w:p>
    <w:p>
      <w:pPr>
        <w:keepLines/>
        <w:spacing w:before="100" w:after="160" w:line="240" w:lineRule="auto"/>
        <w:ind w:firstLine="0"/>
        <w:jc w:val="center"/>
      </w:pPr>
      <w:r>
        <w:drawing>
          <wp:inline xmlns:a="http://schemas.openxmlformats.org/drawingml/2006/main" xmlns:pic="http://schemas.openxmlformats.org/drawingml/2006/picture">
            <wp:extent cx="5337965" cy="344328"/>
            <wp:docPr id="5" name="Picture 5" descr="公式 4: \min_{a\in\mathcal{A}_{\mathrm{feasible}}}J(a)=\lambda_1\bar T+\lambda_2\bar B+\lambda_3\bar N_{\mathrm{plan}}+\lambda_4\bar N_{\mathrm{switch}}+\lambda_5(1-p_{\mathrm{success}})" title="公式 4: \min_{a\in\mathcal{A}_{\mathrm{feasible}}}J(a)=\lambda_1\bar T+\lambda_2\bar B+\lambda_3\bar N_{\mathrm{plan}}+\lambda_4\bar N_{\mathrm{switch}}+\lambda_5(1-p_{\mathrm{success}})"/>
            <wp:cNvGraphicFramePr>
              <a:graphicFrameLocks noChangeAspect="1"/>
            </wp:cNvGraphicFramePr>
            <a:graphic>
              <a:graphicData uri="http://schemas.openxmlformats.org/drawingml/2006/picture">
                <pic:pic>
                  <pic:nvPicPr>
                    <pic:cNvPr id="0" name="equation-4.png"/>
                    <pic:cNvPicPr/>
                  </pic:nvPicPr>
                  <pic:blipFill>
                    <a:blip r:embed="rId15"/>
                    <a:stretch>
                      <a:fillRect/>
                    </a:stretch>
                  </pic:blipFill>
                  <pic:spPr>
                    <a:xfrm>
                      <a:off x="0" y="0"/>
                      <a:ext cx="5337965" cy="344328"/>
                    </a:xfrm>
                    <a:prstGeom prst="rect"/>
                  </pic:spPr>
                </pic:pic>
              </a:graphicData>
            </a:graphic>
          </wp:inline>
        </w:drawing>
      </w:r>
      <w:r>
        <w:rPr>
          <w:sz w:val="20"/>
        </w:rPr>
        <w:t xml:space="preserve">  （4）</w:t>
      </w:r>
    </w:p>
    <w:p>
      <w:r>
        <w:rPr>
          <w:b w:val="0"/>
        </w:rPr>
        <w:t>其中，各项归一化基准与成本权重来自策略选择验证集或预先固定参考，不使用测试结果重新缩放。首个实现采用有限候选期望成本比较或可解释启发式，并与 B2 人工加权规则对照，不声称全局最优。安全约束属于可行集合的门槛，碰撞或越界不能通过有限成本权重交换。综合得分不替代 G2 的成功与风险门槛，理论论证、接口不变式和有限仿真统计分别报告适用假设。</w:t>
      </w:r>
    </w:p>
    <w:p>
      <w:bookmarkStart w:id="7" w:name="sec_6"/>
      <w:pPr>
        <w:pStyle w:val="Heading1"/>
      </w:pPr>
      <w:r>
        <w:t>六、双系统协同方法研究方案</w:t>
      </w:r>
      <w:bookmarkEnd w:id="7"/>
    </w:p>
    <w:p>
      <w:pPr>
        <w:pStyle w:val="Heading2"/>
      </w:pPr>
      <w:r>
        <w:t>6.1 观测执行反馈闭环与云端参与机制</w:t>
      </w:r>
    </w:p>
    <w:p>
      <w:r>
        <w:rPr>
          <w:b w:val="0"/>
        </w:rPr>
        <w:t>拟建立“观测—状态更新—候选选择—提交复核—执行—新观测—效果验证”的持续闭环。相机与动作共享同一物理后端和 episode；动作后的反馈必须来自继续运行的场景，重新创建或重置场景的捕获不能充当反馈。步骤成功、失败、证据失效、异常及云端结果均重新进入路由，最终条件不满足时同样保留恢复入口。正常决策发生在原子动作的安全边界，硬停止独立触发。</w:t>
      </w:r>
    </w:p>
    <w:p>
      <w:r>
        <w:rPr>
          <w:b w:val="0"/>
        </w:rPr>
        <w:t>拟保留边缘执行循环、云端轻量监督循环和复杂重规划任务三种不同执行节奏。边缘循环承担读取状态、校验当前段、计算安全决策和下发模拟控制；轻量监督循环读取最新有效摘要，产生继续、暂停、请求观测或更新建议；复杂推理在计划失效、异常升级、语义变化或目标条件明显改变时启动。现有约一秒监督机会仅为历史默认配置</w:t>
      </w:r>
      <w:hyperlink w:anchor="ref_34">
        <w:r>
          <w:rPr>
            <w:color w:val="000000"/>
            <w:vertAlign w:val="superscript"/>
            <w:sz w:val="18"/>
          </w:rPr>
          <w:t>[34]</w:t>
        </w:r>
      </w:hyperlink>
      <w:r>
        <w:rPr>
          <w:b w:val="0"/>
        </w:rPr>
        <w:t>。研究中的 B0 扫描 0.5、1、2、5 秒候选周期，依据验证集成功和风险门槛筛选，在合格候选中选云调用最少者，平局选时延较低者，再冻结测试配置。保留完整周期曲线，禁止选择表现最差周期作为主对照；监督消息与真实模型请求分别计数。</w:t>
      </w:r>
    </w:p>
    <w:p>
      <w:r>
        <w:rPr>
          <w:b w:val="0"/>
        </w:rPr>
        <w:t>异步规划请求需包含 request_id、task_id、epoch、观测摘要与生成时刻，云端返回须携带对应标识。边缘只允许一个当前有效执行快照，候选更新存入独立槽位。请求超时不改变已有计划的有效性结论，重复响应也不应导致重复执行；同一更新的提交必须具有幂等语义。过期返回、来自旧任务的返回和代次落后的返回应分别记录原因，防止将所有拒绝归为“网络错误”。</w:t>
      </w:r>
    </w:p>
    <w:p>
      <w:r>
        <w:rPr>
          <w:b w:val="0"/>
        </w:rPr>
        <w:t>云端服务持续不可用时，边缘按已验证剩余计划、风险和恢复预算决定能否继续；不能继续时实施本地安全动作并保留待升级摘要。服务恢复后，上传的是当前失败摘要与任务进度，而不是盲目重发最初请求。该设计拟通过乱序、重复、迟到、超时和断网重连注入验证。主要证据为执行权唯一、旧代次不回退、控制循环不因模型等待而停滞，以及异常信息不丢失。</w:t>
      </w:r>
    </w:p>
    <w:p>
      <w:r>
        <w:rPr>
          <w:b w:val="0"/>
        </w:rPr>
        <w:t>每次决策使用不可变上下文，绑定任务与 episode、观测 ID、计划版本、命令序号、模式版本、上下文及候选集摘要、策略与提供者版本、生成时刻和有效期限。提交时重新检查当前身份、证据年龄、取消状态与硬约束，拒绝对旧状态作出的迟到选择。B0 仍保留独立周期监督时钟，不能因统一事件路由而退化成事件策略。</w:t>
      </w:r>
    </w:p>
    <w:p>
      <w:pPr>
        <w:pStyle w:val="Heading2"/>
      </w:pPr>
      <w:r>
        <w:t>6.2 计划封装体与分层契约有效性</w:t>
      </w:r>
    </w:p>
    <w:p>
      <w:r>
        <w:rPr>
          <w:b w:val="0"/>
        </w:rPr>
        <w:t>计划封装体拟由身份版本层、上下文层、任务内容层和交接层组成。身份版本层包含计划标识、任务标识、代次、序号与完整性校验；上下文层包含基准状态、环境摘要、约束版本和传感器需求；任务内容层引用现有 TaskContract 与技能参数；交接层包含适用窗口、候选段起始条件和回退条件。签名字段若纳入实现，应独立验证来源真实性，状态摘要或哈希本身不具有认证能力。</w:t>
      </w:r>
    </w:p>
    <w:p>
      <w:pPr>
        <w:pStyle w:val="Caption"/>
        <w:keepNext/>
      </w:pPr>
      <w:r>
        <w:t>表 3  计划封装体字段与验证目的</w:t>
      </w:r>
    </w:p>
    <w:tbl>
      <w:tblPr>
        <w:tblW w:type="auto" w:w="0"/>
        <w:jc w:val="center"/>
        <w:tblLayout w:type="fixed"/>
        <w:tblLook w:firstColumn="1" w:firstRow="1" w:lastColumn="0" w:lastRow="0" w:noHBand="0" w:noVBand="1" w:val="04A0"/>
      </w:tblPr>
      <w:tblGrid>
        <w:gridCol w:w="1505"/>
        <w:gridCol w:w="4139"/>
        <w:gridCol w:w="3762"/>
      </w:tblGrid>
      <w:tr>
        <w:trPr>
          <w:cantSplit/>
          <w:tblHeader/>
        </w:trPr>
        <w:tc>
          <w:tcPr>
            <w:tcW w:type="dxa" w:w="150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shd w:fill="EDEDED"/>
          </w:tcPr>
          <w:p>
            <w:pPr>
              <w:spacing w:after="0" w:line="320" w:lineRule="exact"/>
              <w:ind w:firstLine="0"/>
              <w:jc w:val="center"/>
            </w:pPr>
            <w:r>
              <w:rPr>
                <w:b/>
                <w:sz w:val="21"/>
              </w:rPr>
              <w:t>字段类别</w:t>
            </w:r>
          </w:p>
        </w:tc>
        <w:tc>
          <w:tcPr>
            <w:tcW w:type="dxa" w:w="413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shd w:fill="EDEDED"/>
          </w:tcPr>
          <w:p>
            <w:pPr>
              <w:spacing w:after="0" w:line="320" w:lineRule="exact"/>
              <w:ind w:firstLine="0"/>
              <w:jc w:val="center"/>
            </w:pPr>
            <w:r>
              <w:rPr>
                <w:b/>
                <w:sz w:val="21"/>
              </w:rPr>
              <w:t>拟研究内容</w:t>
            </w:r>
          </w:p>
        </w:tc>
        <w:tc>
          <w:tcPr>
            <w:tcW w:type="dxa" w:w="376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shd w:fill="EDEDED"/>
          </w:tcPr>
          <w:p>
            <w:pPr>
              <w:spacing w:after="0" w:line="320" w:lineRule="exact"/>
              <w:ind w:firstLine="0"/>
              <w:jc w:val="center"/>
            </w:pPr>
            <w:r>
              <w:rPr>
                <w:b/>
                <w:sz w:val="21"/>
              </w:rPr>
              <w:t>验证目的</w:t>
            </w:r>
          </w:p>
        </w:tc>
      </w:tr>
      <w:tr>
        <w:trPr>
          <w:cantSplit/>
        </w:trPr>
        <w:tc>
          <w:tcPr>
            <w:tcW w:type="dxa" w:w="150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任务与版本</w:t>
            </w:r>
          </w:p>
        </w:tc>
        <w:tc>
          <w:tcPr>
            <w:tcW w:type="dxa" w:w="413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task_id、plan_id、epoch、sequence</w:t>
            </w:r>
          </w:p>
        </w:tc>
        <w:tc>
          <w:tcPr>
            <w:tcW w:type="dxa" w:w="376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拒绝错任务、旧代次和乱序提交</w:t>
            </w:r>
          </w:p>
        </w:tc>
      </w:tr>
      <w:tr>
        <w:trPr>
          <w:cantSplit/>
        </w:trPr>
        <w:tc>
          <w:tcPr>
            <w:tcW w:type="dxa" w:w="150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时间</w:t>
            </w:r>
          </w:p>
        </w:tc>
        <w:tc>
          <w:tcPr>
            <w:tcW w:type="dxa" w:w="413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observed_at、generated_at、valid_until、max_age、预计动作持续时间</w:t>
            </w:r>
          </w:p>
        </w:tc>
        <w:tc>
          <w:tcPr>
            <w:tcW w:type="dxa" w:w="376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区分观测陈旧、通信延迟和执行期间证据变化</w:t>
            </w:r>
          </w:p>
        </w:tc>
      </w:tr>
      <w:tr>
        <w:trPr>
          <w:cantSplit/>
        </w:trPr>
        <w:tc>
          <w:tcPr>
            <w:tcW w:type="dxa" w:w="150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状态与环境</w:t>
            </w:r>
          </w:p>
        </w:tc>
        <w:tc>
          <w:tcPr>
            <w:tcW w:type="dxa" w:w="413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base_state、environment_digest、constraint_digest</w:t>
            </w:r>
          </w:p>
        </w:tc>
        <w:tc>
          <w:tcPr>
            <w:tcW w:type="dxa" w:w="376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检查方案依赖条件是否仍成立</w:t>
            </w:r>
          </w:p>
        </w:tc>
      </w:tr>
      <w:tr>
        <w:trPr>
          <w:cantSplit/>
        </w:trPr>
        <w:tc>
          <w:tcPr>
            <w:tcW w:type="dxa" w:w="150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视觉证据</w:t>
            </w:r>
          </w:p>
        </w:tc>
        <w:tc>
          <w:tcPr>
            <w:tcW w:type="dxa" w:w="413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observation_id、calibration_version、目标身份、位置误差界、运动上界</w:t>
            </w:r>
          </w:p>
        </w:tc>
        <w:tc>
          <w:tcPr>
            <w:tcW w:type="dxa" w:w="376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传感器需求和质量要求可追溯到真实观测</w:t>
            </w:r>
          </w:p>
        </w:tc>
      </w:tr>
      <w:tr>
        <w:trPr>
          <w:cantSplit/>
        </w:trPr>
        <w:tc>
          <w:tcPr>
            <w:tcW w:type="dxa" w:w="150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任务与技能</w:t>
            </w:r>
          </w:p>
        </w:tc>
        <w:tc>
          <w:tcPr>
            <w:tcW w:type="dxa" w:w="413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TaskContract、技能版本、参数范围</w:t>
            </w:r>
          </w:p>
        </w:tc>
        <w:tc>
          <w:tcPr>
            <w:tcW w:type="dxa" w:w="376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保持高层意图与执行语义一致</w:t>
            </w:r>
          </w:p>
        </w:tc>
      </w:tr>
      <w:tr>
        <w:trPr>
          <w:cantSplit/>
        </w:trPr>
        <w:tc>
          <w:tcPr>
            <w:tcW w:type="dxa" w:w="150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依赖与效果</w:t>
            </w:r>
          </w:p>
        </w:tc>
        <w:tc>
          <w:tcPr>
            <w:tcW w:type="dxa" w:w="413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步骤依赖、几何前置条件、物理后置条件、已完成效果标识</w:t>
            </w:r>
          </w:p>
        </w:tc>
        <w:tc>
          <w:tcPr>
            <w:tcW w:type="dxa" w:w="376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确定最早受影响步骤并防止已完成动作重放</w:t>
            </w:r>
          </w:p>
        </w:tc>
      </w:tr>
      <w:tr>
        <w:trPr>
          <w:cantSplit/>
        </w:trPr>
        <w:tc>
          <w:tcPr>
            <w:tcW w:type="dxa" w:w="150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交接与回退</w:t>
            </w:r>
          </w:p>
        </w:tc>
        <w:tc>
          <w:tcPr>
            <w:tcW w:type="dxa" w:w="413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窗口、起始条件、候选段、回退条件</w:t>
            </w:r>
          </w:p>
        </w:tc>
        <w:tc>
          <w:tcPr>
            <w:tcW w:type="dxa" w:w="376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限制准备、提交和继续旧段的权限</w:t>
            </w:r>
          </w:p>
        </w:tc>
      </w:tr>
    </w:tbl>
    <w:p>
      <w:pPr>
        <w:spacing w:after="0" w:line="80" w:lineRule="exact"/>
        <w:ind w:firstLine="0"/>
      </w:pPr>
      <w:r>
        <w:rPr>
          <w:sz w:val="8"/>
        </w:rPr>
      </w:r>
    </w:p>
    <w:p>
      <w:r>
        <w:rPr>
          <w:b w:val="0"/>
        </w:rPr>
        <w:t>摘要需区分身份一致性与连续状态距离。哈希可以判断配置或场景标识是否改变，却不能表达关节差了多少或目标移动了多少。连续状态验证拟对关节位置、末端位姿、速度和目标位置分别设定尺度，并针对旋转表示采用适当距离，避免直接对四元数分量作普通欧氏差。尺度来自可解释的允许误差或预实验标定，不能把不同单位的量未经处理相加。</w:t>
      </w:r>
    </w:p>
    <w:p>
      <w:pPr>
        <w:keepLines/>
        <w:spacing w:before="100" w:after="160" w:line="240" w:lineRule="auto"/>
        <w:ind w:firstLine="0"/>
        <w:jc w:val="center"/>
      </w:pPr>
      <w:r>
        <w:drawing>
          <wp:inline xmlns:a="http://schemas.openxmlformats.org/drawingml/2006/main" xmlns:pic="http://schemas.openxmlformats.org/drawingml/2006/picture">
            <wp:extent cx="4764983" cy="535133"/>
            <wp:docPr id="6" name="Picture 6" descr="公式 5: d_x^2=\sum_i w_i\left(\frac{e_i}{s_i}\right)^2,\qquad V_{\mathrm{state}}=[d_x\leq\varepsilon_x]\land\bigwedge_i[|e_i|\leq e_i^{\max}]" title="公式 5: d_x^2=\sum_i w_i\left(\frac{e_i}{s_i}\right)^2,\qquad V_{\mathrm{state}}=[d_x\leq\varepsilon_x]\land\bigwedge_i[|e_i|\leq e_i^{\max}]"/>
            <wp:cNvGraphicFramePr>
              <a:graphicFrameLocks noChangeAspect="1"/>
            </wp:cNvGraphicFramePr>
            <a:graphic>
              <a:graphicData uri="http://schemas.openxmlformats.org/drawingml/2006/picture">
                <pic:pic>
                  <pic:nvPicPr>
                    <pic:cNvPr id="0" name="equation-5.png"/>
                    <pic:cNvPicPr/>
                  </pic:nvPicPr>
                  <pic:blipFill>
                    <a:blip r:embed="rId16"/>
                    <a:stretch>
                      <a:fillRect/>
                    </a:stretch>
                  </pic:blipFill>
                  <pic:spPr>
                    <a:xfrm>
                      <a:off x="0" y="0"/>
                      <a:ext cx="4764983" cy="535133"/>
                    </a:xfrm>
                    <a:prstGeom prst="rect"/>
                  </pic:spPr>
                </pic:pic>
              </a:graphicData>
            </a:graphic>
          </wp:inline>
        </w:drawing>
      </w:r>
      <w:r>
        <w:rPr>
          <w:sz w:val="20"/>
        </w:rPr>
        <w:t xml:space="preserve">  （5）</w:t>
      </w:r>
    </w:p>
    <w:p>
      <w:r>
        <w:rPr>
          <w:b w:val="0"/>
        </w:rPr>
        <w:t>这里 e</w:t>
      </w:r>
      <w:r>
        <w:rPr>
          <w:b w:val="0"/>
          <w:vertAlign w:val="subscript"/>
        </w:rPr>
        <w:t>i</w:t>
      </w:r>
      <w:r>
        <w:rPr>
          <w:b w:val="0"/>
        </w:rPr>
        <w:t xml:space="preserve"> 表示经过定义的状态差异，s</w:t>
      </w:r>
      <w:r>
        <w:rPr>
          <w:b w:val="0"/>
          <w:vertAlign w:val="subscript"/>
        </w:rPr>
        <w:t>i</w:t>
      </w:r>
      <w:r>
        <w:rPr>
          <w:b w:val="0"/>
        </w:rPr>
        <w:t xml:space="preserve"> 是对应尺度，w</w:t>
      </w:r>
      <w:r>
        <w:rPr>
          <w:b w:val="0"/>
          <w:vertAlign w:val="subscript"/>
        </w:rPr>
        <w:t>i</w:t>
      </w:r>
      <w:r>
        <w:rPr>
          <w:b w:val="0"/>
        </w:rPr>
        <w:t xml:space="preserve"> 为非负权重。总体距离控制组合偏差，逐项上界防止某个关键约束被其他小误差抵消。姿态误差以旋转角距离单列，类别状态例如“已抓取”和“未抓取”采用逻辑判断。针对不同阶段建立不同验证配置：移动阶段关注轨迹起点，抓取阶段关注目标与接触条件，放置阶段关注持物状态和释放区域。</w:t>
      </w:r>
    </w:p>
    <w:p>
      <w:r>
        <w:rPr>
          <w:b w:val="0"/>
        </w:rPr>
        <w:t>有效性应分层检查。任务目标未变时，不必因局部运动误差否定整个任务；当前技能前置条件失效时，不能继续执行该技能；轨迹短段偏差可在允许范围内重新编译而不必触发高层重规划。拟比较全契约一次失效、分步骤失效和分段重验证三种粒度，并记录错误接收、重复规划、执行停顿和校验开销之间的关系。</w:t>
      </w:r>
    </w:p>
    <w:p>
      <w:r>
        <w:rPr>
          <w:b w:val="0"/>
        </w:rPr>
        <w:t>动作相关证据有效期采用可解释的候选充分条件：校准后的几何误差上界，加上目标运动上界乘以“当前观测年龄与预计动作持续时间之和”，应不超过该动作允许误差。简写为 ε̂geom＋v̂max·(A＋Tact)≤εallow。该条件依赖误差界和运动界的覆盖性，不是对任意动态物体的无条件保证；预计动作时长与允许误差在训练及验证阶段确定，正式测试固定。运动界不可估计、目标身份不确定、深度失效或标定版本不一致时判 UNKNOWN，转入新帧观测或停止。B3 保留共用 SafetyShield、版本、时间与基础几何检查，只去掉校准不确定性和动作相关有效期。</w:t>
      </w:r>
    </w:p>
    <w:p>
      <w:r>
        <w:rPr>
          <w:b w:val="0"/>
        </w:rPr>
        <w:t>在线前置与后置条件统一输出 PASS、FAIL、UNKNOWN，并附观测身份和原因。已实现谓词在可用证据下成立才可 PASS；条件被证据否定为 FAIL；谓词未知、时间戳缺失或证据不足为 UNKNOWN。技能返回成功只说明动作流程返回，任务推进还需在线效果复核。在线完成声明与独立物理成功分开保存；正式视觉闭环成功要求二者同时成立。独立评价器的目标真值、故障标签和判定结果均不得反向输入在线决策或恢复。</w:t>
      </w:r>
    </w:p>
    <w:p>
      <w:pPr>
        <w:pStyle w:val="Heading2"/>
      </w:pPr>
      <w:r>
        <w:t>6.3 PCSC 的监督频率与按需重规划</w:t>
      </w:r>
    </w:p>
    <w:p>
      <w:r>
        <w:rPr>
          <w:b w:val="0"/>
        </w:rPr>
        <w:t>PCSC 拟采用周期摘要上传与事件提前上报相结合的方式。周期消息用于更新进度、观测质量、当前代次和风险摘要；紧急事件直接进入边缘安全逻辑并生成记录，云端上报不在动作响应的关键路径中。云端轻量监督器根据摘要输出 KEEP、UPDATE、PAUSE、REQUEST_OBSERVATION 或 ABORT，具体命令进入现有验证和 ACK 链路后才可能改变执行。</w:t>
      </w:r>
    </w:p>
    <w:p>
      <w:r>
        <w:rPr>
          <w:b w:val="0"/>
        </w:rPr>
        <w:t>拟在独立预实验中扫描监督周期，分析信息年龄、上行通信、异常发现时间与任务进度的变化。选择周期时应考虑任务动态性和云端可用性，而不能将一秒默认值写成最优结论。监督消息与模型调用分别计数；继续执行的轻量建议不得等价记录为复杂重规划。REQUEST_OBSERVATION 同样有预算和时限，若传感器长期不可用，不能以持续请求观测维持无限等待。</w:t>
      </w:r>
    </w:p>
    <w:p>
      <w:r>
        <w:rPr>
          <w:b w:val="0"/>
        </w:rPr>
        <w:t>PCSC 的主要风险是高频监督造成消息与更新拥塞，或云端不断改写剩余计划使任务无法稳定推进。拟限制同时在途更新、合并过时摘要，并对计划替换设置最小收益或必要性条件。任何更新都必须说明目标变化、约束变化或异常原因，不能仅因为新一轮模型返回了不同文字而重置执行。通过固定周期与适应周期消融，区分收益来自反馈时效还是来自增加模型资源。</w:t>
      </w:r>
    </w:p>
    <w:p>
      <w:pPr>
        <w:pStyle w:val="Heading2"/>
      </w:pPr>
      <w:r>
        <w:t>6.4 ETEAC 的事件分级与有界本地恢复</w:t>
      </w:r>
    </w:p>
    <w:p>
      <w:r>
        <w:rPr>
          <w:b w:val="0"/>
        </w:rPr>
        <w:t>ETEAC 在初始完整契约通过验证后，由边缘推进任务。事件拟分为硬安全事件、契约失效事件和可恢复执行事件。硬事件包括停止请求、明显越界风险或传感器关键失效，直接触发本地安全处置；契约失效事件例如目标明显移动、路径被阻断或场景依赖改变，决定暂停受影响步骤并升级；可恢复事件例如受限的抓取重试或短时观测不足，进入已定义恢复技能。分级依据是动作权限和恢复条件，而不是事件名称的主观严重性。</w:t>
      </w:r>
    </w:p>
    <w:p>
      <w:r>
        <w:rPr>
          <w:b w:val="0"/>
        </w:rPr>
        <w:t>事件触发拟综合状态偏离、信息年龄、步骤停滞和预算耗尽：</w:t>
      </w:r>
    </w:p>
    <w:p>
      <w:pPr>
        <w:keepLines/>
        <w:spacing w:before="100" w:after="160" w:line="240" w:lineRule="auto"/>
        <w:ind w:firstLine="0"/>
        <w:jc w:val="center"/>
      </w:pPr>
      <w:r>
        <w:drawing>
          <wp:inline xmlns:a="http://schemas.openxmlformats.org/drawingml/2006/main" xmlns:pic="http://schemas.openxmlformats.org/drawingml/2006/picture">
            <wp:extent cx="5349240" cy="215121"/>
            <wp:docPr id="7" name="Picture 7" descr="公式 6: E_k=E_k^{\mathrm{hard}}\lor[d_x&gt;\eta_x]\lor[A_P&gt;A_{\max}]\lor[\Delta p_k&lt;\eta_p\;\text{for}\;T_p]\lor[B_k=0]" title="公式 6: E_k=E_k^{\mathrm{hard}}\lor[d_x&gt;\eta_x]\lor[A_P&gt;A_{\max}]\lor[\Delta p_k&lt;\eta_p\;\text{for}\;T_p]\lor[B_k=0]"/>
            <wp:cNvGraphicFramePr>
              <a:graphicFrameLocks noChangeAspect="1"/>
            </wp:cNvGraphicFramePr>
            <a:graphic>
              <a:graphicData uri="http://schemas.openxmlformats.org/drawingml/2006/picture">
                <pic:pic>
                  <pic:nvPicPr>
                    <pic:cNvPr id="0" name="equation-6.png"/>
                    <pic:cNvPicPr/>
                  </pic:nvPicPr>
                  <pic:blipFill>
                    <a:blip r:embed="rId17"/>
                    <a:stretch>
                      <a:fillRect/>
                    </a:stretch>
                  </pic:blipFill>
                  <pic:spPr>
                    <a:xfrm>
                      <a:off x="0" y="0"/>
                      <a:ext cx="5349240" cy="215121"/>
                    </a:xfrm>
                    <a:prstGeom prst="rect"/>
                  </pic:spPr>
                </pic:pic>
              </a:graphicData>
            </a:graphic>
          </wp:inline>
        </w:drawing>
      </w:r>
      <w:r>
        <w:rPr>
          <w:sz w:val="20"/>
        </w:rPr>
        <w:t xml:space="preserve">  （6）</w:t>
      </w:r>
    </w:p>
    <w:p>
      <w:r>
        <w:rPr>
          <w:b w:val="0"/>
        </w:rPr>
        <w:t>其中，进度条件仅用于任务推进，不替代安全检测；T</w:t>
      </w:r>
      <w:r>
        <w:rPr>
          <w:b w:val="0"/>
          <w:vertAlign w:val="subscript"/>
        </w:rPr>
        <w:t>p</w:t>
      </w:r>
      <w:r>
        <w:rPr>
          <w:b w:val="0"/>
        </w:rPr>
        <w:t xml:space="preserve"> 表示允许的停滞时间，B</w:t>
      </w:r>
      <w:r>
        <w:rPr>
          <w:b w:val="0"/>
          <w:vertAlign w:val="subscript"/>
        </w:rPr>
        <w:t>k</w:t>
      </w:r>
      <w:r>
        <w:rPr>
          <w:b w:val="0"/>
        </w:rPr>
        <w:t xml:space="preserve"> 表示剩余恢复预算。硬事件立即处理，软事件可使用短窗口一致性确认，避免单次噪声引起频繁重规划。即使没有业务事件，也保留低成本健康心跳和最大静默时间，保障状态源失联能够被检测。</w:t>
      </w:r>
    </w:p>
    <w:p>
      <w:r>
        <w:rPr>
          <w:b w:val="0"/>
        </w:rPr>
        <w:t>本地恢复技能需要明确入口条件、最大次数、累计持续时间、作用空间、允许参数调整范围和成功出口。以抓取失败为例，边缘只能在可达且安全的区域内执行限定次数的调整；不能任意探索目标周围空间。预算不仅包含重试次数，还包含耗时、风险和任务总期限。每次恢复均经过相同安全链，并以新观测确认效果后更新任务状态。事件依次记录发现、恢复获准、重试实际执行和验证解决；只有在线复核通过才进入已解决状态，预算耗尽与不可恢复分别终止。重试次数、累计重观测、无进展轮数和绝对截止时间随任务持久化，事件换 ID、图像裁剪、新帧到达或模型置信度上升均不自动清零。有效进展由已验证条件推进、任务残差改善或 UNKNOWN 转为可用证据确定，不能只看消息和时间戳变化。</w:t>
      </w:r>
    </w:p>
    <w:p>
      <w:r>
        <w:rPr>
          <w:b w:val="0"/>
        </w:rPr>
        <w:t>事件合并按 task_id、step_id、cause_code 和时间窗组织。由同一障碍变化产生的 PATH_BLOCKED、STEP_TIMEOUT 和恢复失败，应保留原始链并形成一次带证据的升级，而非简单删除重复名称。若出现新的硬安全事件，即使云端已有请求在途也必须单独处理。课题将对事件去抖窗口、合并规则和恢复预算进行消融，检验通信减少是否以延迟异常发现或扩大风险为代价。</w:t>
      </w:r>
    </w:p>
    <w:p>
      <w:pPr>
        <w:pStyle w:val="Heading2"/>
      </w:pPr>
      <w:r>
        <w:t>6.5 感知风险与时效约束的有限候选决策</w:t>
      </w:r>
    </w:p>
    <w:p>
      <w:r>
        <w:rPr>
          <w:b w:val="0"/>
        </w:rPr>
        <w:t>网络质量采用往返时延、抖动、丢包和连续不可用时长的滑动统计。为避免专利示例的范围歧义，拟定义无上界的相对负载指标，将每项指标除以对应参考尺度，非负权重之和为一，不对控制指标截断为零至一：</w:t>
      </w:r>
    </w:p>
    <w:p>
      <w:pPr>
        <w:keepLines/>
        <w:spacing w:before="100" w:after="160" w:line="240" w:lineRule="auto"/>
        <w:ind w:firstLine="0"/>
        <w:jc w:val="center"/>
      </w:pPr>
      <w:r>
        <w:drawing>
          <wp:inline xmlns:a="http://schemas.openxmlformats.org/drawingml/2006/main" xmlns:pic="http://schemas.openxmlformats.org/drawingml/2006/picture">
            <wp:extent cx="3416544" cy="561479"/>
            <wp:docPr id="8" name="Picture 8" descr="公式 7: N_k=\sum_{i=1}^{4}\alpha_i\frac{z_{i,k}}{z_i^{\mathrm{ref}}},\qquad \alpha_i\geq0,\quad\sum_i\alpha_i=1" title="公式 7: N_k=\sum_{i=1}^{4}\alpha_i\frac{z_{i,k}}{z_i^{\mathrm{ref}}},\qquad \alpha_i\geq0,\quad\sum_i\alpha_i=1"/>
            <wp:cNvGraphicFramePr>
              <a:graphicFrameLocks noChangeAspect="1"/>
            </wp:cNvGraphicFramePr>
            <a:graphic>
              <a:graphicData uri="http://schemas.openxmlformats.org/drawingml/2006/picture">
                <pic:pic>
                  <pic:nvPicPr>
                    <pic:cNvPr id="0" name="equation-7.png"/>
                    <pic:cNvPicPr/>
                  </pic:nvPicPr>
                  <pic:blipFill>
                    <a:blip r:embed="rId18"/>
                    <a:stretch>
                      <a:fillRect/>
                    </a:stretch>
                  </pic:blipFill>
                  <pic:spPr>
                    <a:xfrm>
                      <a:off x="0" y="0"/>
                      <a:ext cx="3416544" cy="561479"/>
                    </a:xfrm>
                    <a:prstGeom prst="rect"/>
                  </pic:spPr>
                </pic:pic>
              </a:graphicData>
            </a:graphic>
          </wp:inline>
        </w:drawing>
      </w:r>
      <w:r>
        <w:rPr>
          <w:sz w:val="20"/>
        </w:rPr>
        <w:t xml:space="preserve">  （7）</w:t>
      </w:r>
    </w:p>
    <w:p>
      <w:r>
        <w:rPr>
          <w:b w:val="0"/>
        </w:rPr>
        <w:t>N</w:t>
      </w:r>
      <w:r>
        <w:rPr>
          <w:b w:val="0"/>
          <w:vertAlign w:val="subscript"/>
        </w:rPr>
        <w:t>k</w:t>
      </w:r>
      <w:r>
        <w:rPr>
          <w:b w:val="0"/>
        </w:rPr>
        <w:t xml:space="preserve"> 大于一表示组合指标超过参考水平，不代表必然不安全。用于界面显示的截断值不能替代调度原始值。各尺度在验证集标定并冻结。除平均量外记录尾部延迟，防止平均网络良好而偶发长停顿被掩盖。对未观测到的指标标记缺失，不以零填充使网络质量看起来更好。</w:t>
      </w:r>
    </w:p>
    <w:p>
      <w:r>
        <w:rPr>
          <w:b w:val="0"/>
        </w:rPr>
        <w:t>任务风险由定位估计误差、局部深度离散度、无效深度比例、标定残差、视觉运动、观测年龄、接触阶段和剩余恢复能力共同描述。在线“误差”只能来自图像和深度可观测量、标定残差或训练后的校准器，真实定位误差和目标坐标只用于离线标签。每个特征记录来源字段，输入边界检查真值泄露。规则分数、候选分布、VLM 自报 confidence 与校准失败概率分别记录。现有规则中固定的 0.9 或 0.7 等数值只能作为规则常量，自报 confidence 可作辅助特征，均不直接当作校准概率。风险标签定义为规定短时窗口内的动作失败或几何前置条件失效，并记录任务和观测条件。</w:t>
      </w:r>
    </w:p>
    <w:p>
      <w:r>
        <w:rPr>
          <w:b w:val="0"/>
        </w:rPr>
        <w:t>轻量风险估计器只在训练组拟合，在互斥校准组检查可靠性曲线、误差界覆盖和拒绝覆盖关系，再以策略选择验证组确定阈值与成本权重。校准组不能同时用于调度阈值择优。报告整体及遮挡、运动、深度损坏分层校准结果，避免总体校准掩盖困难条件失真。基础 VLM 冻结；模型或图像分辨率改变时，原校准结论需要重新建立，不能沿用旧阈值。</w:t>
      </w:r>
    </w:p>
    <w:p>
      <w:r>
        <w:rPr>
          <w:b w:val="0"/>
        </w:rPr>
        <w:t>AUTO 先判断可行策略：当前安全状态禁止推进时，协同选择只决定反馈方式；云端不可用时 PCSC 的有效监督能力受限；本地技能覆盖不足时 ETEAC 不能继续未授权步骤。在可行策略之间，依据网络质量、动态性、恢复能力和预期成本选择。对高动态、网络可用场景倾向较密监督；对稳定任务、可靠本地技能且网络退化场景倾向事件自治。高风险弱网则采用受限或保持，不将风险“转交”给自治模式。</w:t>
      </w:r>
    </w:p>
    <w:p>
      <w:r>
        <w:rPr>
          <w:b w:val="0"/>
        </w:rPr>
        <w:t>新选择器必须在运行中于技能安全边界、证据失效、异常到达及云端返回后重新决策。原子抓取或释放动作期间禁止因普通调度收益强制切换，硬停止权限独立。B2 冻结现有风险加权和模式规则，但补齐相同运行中入口、时钟和安全边界；当前仅初始化一次选择的版本单列诊断，不能将其缺陷作为唯一基线。这样才能区分收益来自感知风险方法，还是仅来自增加决策次数。</w:t>
      </w:r>
    </w:p>
    <w:p>
      <w:r>
        <w:rPr>
          <w:b w:val="0"/>
        </w:rPr>
        <w:t>具体选择先由程序按技能能力、证据和硬约束生成有限候选，再比较校准失败损失、获取新证据的预期收益、调用耗时与通信成本。判断提供者只回答限定问题或对合法候选排序，不能自由新增技能或绕过门控。支持拒答 ABSTAIN；拒答、超时、格式错误和服务错误分别记账，并进入已定义的规则回退、重观测或安全停止。采用这一分工预期可减少把可本地消除的不确定性直接升级为云端重规划的次数，其收益由 G2 检验。</w:t>
      </w:r>
    </w:p>
    <w:p>
      <w:r>
        <w:rPr>
          <w:b w:val="0"/>
        </w:rPr>
        <w:t>Jev 或本地轻量判断模型仅作为可选提供者对照。先在影子模式记录建议，不影响执行；再在独立冻结的相同场景中进行实际闭环配对。影子模式的一致率不能证明任务提升，也不并入正式 G2。模型判断成本全部进入账本，不能以新增一个远程快速判断器的方式隐藏云请求。该扩展不阻塞规则及校准成本提供者的核心研究。</w:t>
      </w:r>
    </w:p>
    <w:p>
      <w:r>
        <w:rPr>
          <w:b w:val="0"/>
        </w:rPr>
        <w:t>拟设置不同进入与退出阈值，以及最小驻留时间、冷却时间和单位任务切换预算，避免边界附近来回切换：</w:t>
      </w:r>
    </w:p>
    <w:p>
      <w:pPr>
        <w:keepLines/>
        <w:spacing w:before="100" w:after="160" w:line="240" w:lineRule="auto"/>
        <w:ind w:firstLine="0"/>
        <w:jc w:val="center"/>
      </w:pPr>
      <w:r>
        <w:drawing>
          <wp:inline xmlns:a="http://schemas.openxmlformats.org/drawingml/2006/main" xmlns:pic="http://schemas.openxmlformats.org/drawingml/2006/picture">
            <wp:extent cx="3239421" cy="166034"/>
            <wp:docPr id="9" name="Picture 9" descr="公式 8: N_{\mathrm{enter}}&gt;N_{\mathrm{exit}},\qquad t-t_{\mathrm{last\ switch}}\geq T_{\mathrm{dwell}}" title="公式 8: N_{\mathrm{enter}}&gt;N_{\mathrm{exit}},\qquad t-t_{\mathrm{last\ switch}}\geq T_{\mathrm{dwell}}"/>
            <wp:cNvGraphicFramePr>
              <a:graphicFrameLocks noChangeAspect="1"/>
            </wp:cNvGraphicFramePr>
            <a:graphic>
              <a:graphicData uri="http://schemas.openxmlformats.org/drawingml/2006/picture">
                <pic:pic>
                  <pic:nvPicPr>
                    <pic:cNvPr id="0" name="equation-8.png"/>
                    <pic:cNvPicPr/>
                  </pic:nvPicPr>
                  <pic:blipFill>
                    <a:blip r:embed="rId19"/>
                    <a:stretch>
                      <a:fillRect/>
                    </a:stretch>
                  </pic:blipFill>
                  <pic:spPr>
                    <a:xfrm>
                      <a:off x="0" y="0"/>
                      <a:ext cx="3239421" cy="166034"/>
                    </a:xfrm>
                    <a:prstGeom prst="rect"/>
                  </pic:spPr>
                </pic:pic>
              </a:graphicData>
            </a:graphic>
          </wp:inline>
        </w:drawing>
      </w:r>
      <w:r>
        <w:rPr>
          <w:sz w:val="20"/>
        </w:rPr>
        <w:t xml:space="preserve">  （8）</w:t>
      </w:r>
    </w:p>
    <w:p>
      <w:r>
        <w:rPr>
          <w:b w:val="0"/>
        </w:rPr>
        <w:t>安全事件可立即覆盖驻留限制，但不会因此获得新的运动权限。一般切换需保存契约代次、步骤进度、在途请求和恢复预算，不能在策略变化时重新开始任务。课题记录切换次数、等待、重复动作和性能折中，必要时补充滞回及驻留诊断；核心消融优先检验不确定性、时效性和局部修复，避免在十二周内扩展为无约束组合扫描。</w:t>
      </w:r>
    </w:p>
    <w:p>
      <w:pPr>
        <w:pStyle w:val="Heading2"/>
      </w:pPr>
      <w:r>
        <w:t>6.6 分级安全筛选与处置语义</w:t>
      </w:r>
    </w:p>
    <w:p>
      <w:r>
        <w:rPr>
          <w:b w:val="0"/>
        </w:rPr>
        <w:t>SafetyShield 位于云端建议和设备动作之间，输出接受、修正、保持或停止，并附规则编号、状态证据、原因代码和响应时限。修正需要说明修改后动作仍满足哪些条件；仅降低速度不能保证原本与障碍相交的路径变安全。保持应检查重力、持物和接触状态是否允许，停止也应通过模拟控制器的明确语义实现，不能用“目标速度为零”掩盖残余运动。所有动作最终通过相同设备适配路径执行。</w:t>
      </w:r>
    </w:p>
    <w:p>
      <w:r>
        <w:rPr>
          <w:b w:val="0"/>
        </w:rPr>
        <w:t>针对简化的关节或末端约束，拟在条件允许时比较规则裁剪与局部约束优化。控制屏障函数方法提供了在明确模型下表达安全集合的方式</w:t>
      </w:r>
      <w:hyperlink w:anchor="ref_18">
        <w:r>
          <w:rPr>
            <w:color w:val="000000"/>
            <w:vertAlign w:val="superscript"/>
            <w:sz w:val="18"/>
          </w:rPr>
          <w:t>[18]</w:t>
        </w:r>
      </w:hyperlink>
      <w:r>
        <w:rPr>
          <w:b w:val="0"/>
        </w:rPr>
        <w:t>，但本课题先把安全检测、控制计算和执行反馈分开记录。若局部优化不可行、超时或状态缺测，采用事先定义的受约束处置；不允许求解失败后直接放行原始动作。接触丰富的抓取阶段应优先验证技能边界与保守约束，避免在模型假设不足时宣称全局安全。</w:t>
      </w:r>
    </w:p>
    <w:p>
      <w:r>
        <w:rPr>
          <w:b w:val="0"/>
        </w:rPr>
        <w:t>研究需区分候选动作违反约束、屏障正确拒绝以及实际执行违反约束三种情况。拒绝次数上升可能表示测试更困难或筛选更严格，不能单独解释为系统更差；安全停止也不能简单从成功率分母中删除。评价将同时报告候选危险率、正确拒绝率、错误拒绝率、实际约束违反与任务完成能力，以观察性能和保障之间的关系。</w:t>
      </w:r>
    </w:p>
    <w:p>
      <w:pPr>
        <w:pStyle w:val="Heading2"/>
      </w:pPr>
      <w:r>
        <w:t>6.7 验证驱动的最小局部修复与计划交接</w:t>
      </w:r>
    </w:p>
    <w:p>
      <w:r>
        <w:rPr>
          <w:b w:val="0"/>
        </w:rPr>
        <w:t>视觉证据失效时，首先定位依赖图中最早受影响的步骤，冻结其尚未执行的依赖后缀。对已经完成的抓取、搬运或释放，用新观测和执行记录确认物理效果，不能仅根据旧软件状态推断仍然成立；对与失效证据无关且前置条件仍成立的部分予以保留。局部补丁携带被替换步骤、观测身份、契约代次、前后置条件及依赖约束，不能越过 SafetyShield。若局部可行性无法建立，升级到完整重规划或停止。B4 在同样失败条件下重新规划整个未完成任务，使用相同模型、技能、观测和安全条件，比较修复范围、恢复成功和惩罚恢复耗时。</w:t>
      </w:r>
    </w:p>
    <w:p>
      <w:r>
        <w:rPr>
          <w:b w:val="0"/>
        </w:rPr>
        <w:t>修复候选在准备态 PREPARED 中完成证据与依赖校验，不取得运动权限。边缘返回真实接受回执后进入 EDGE_ACCEPTED，再以版本条件原子激活为 ACTIVATED；暂停任务需要显式恢复，实际执行器启动后才记 EXECUTION_STARTED。接受回执、激活和启动记录分离，避免“已接受”被误报为“已执行”。提交窗口内仍需获取最新上下文，复核起始条件、连接段及有效期；没有可行窗口则明确拒绝。</w:t>
      </w:r>
    </w:p>
    <w:p>
      <w:pPr>
        <w:keepNext/>
        <w:spacing w:after="80" w:line="240" w:lineRule="auto"/>
        <w:ind w:firstLine="0"/>
        <w:jc w:val="center"/>
      </w:pPr>
      <w:r>
        <w:drawing>
          <wp:inline xmlns:a="http://schemas.openxmlformats.org/drawingml/2006/main" xmlns:pic="http://schemas.openxmlformats.org/drawingml/2006/picture">
            <wp:extent cx="5852160" cy="3706368"/>
            <wp:docPr id="10" name="Picture 10" descr="图 2  局部修复的接受 激活 启动与效果验证" title="图 2  局部修复的接受 激活 启动与效果验证"/>
            <wp:cNvGraphicFramePr>
              <a:graphicFrameLocks noChangeAspect="1"/>
            </wp:cNvGraphicFramePr>
            <a:graphic>
              <a:graphicData uri="http://schemas.openxmlformats.org/drawingml/2006/picture">
                <pic:pic>
                  <pic:nvPicPr>
                    <pic:cNvPr id="0" name="handover.png"/>
                    <pic:cNvPicPr/>
                  </pic:nvPicPr>
                  <pic:blipFill>
                    <a:blip r:embed="rId20"/>
                    <a:stretch>
                      <a:fillRect/>
                    </a:stretch>
                  </pic:blipFill>
                  <pic:spPr>
                    <a:xfrm>
                      <a:off x="0" y="0"/>
                      <a:ext cx="5852160" cy="3706368"/>
                    </a:xfrm>
                    <a:prstGeom prst="rect"/>
                  </pic:spPr>
                </pic:pic>
              </a:graphicData>
            </a:graphic>
          </wp:inline>
        </w:drawing>
      </w:r>
    </w:p>
    <w:p>
      <w:pPr>
        <w:pStyle w:val="Caption"/>
        <w:jc w:val="center"/>
      </w:pPr>
      <w:r>
        <w:t>图 2  局部修复的接受 激活 启动与效果验证</w:t>
      </w:r>
    </w:p>
    <w:p>
      <w:r>
        <w:rPr>
          <w:b w:val="0"/>
        </w:rPr>
        <w:t>运动连续性以交接时的位置、速度和必要的加速度差为约束，不能仅要求计划标识一致。连接段需要经过几何与时序验证；如果任务涉及抓取或释放，还需验证物体状态和技能副作用，防止重复夹取或重复释放。拟定义位置与速度差的门槛，并检验控制器能力下的可实现过渡。评价中禁止用关节瞬移将差异人为置零，否则会使交接指标失去意义。</w:t>
      </w:r>
    </w:p>
    <w:p>
      <w:r>
        <w:rPr>
          <w:b w:val="0"/>
        </w:rPr>
        <w:t>提交时需要校验候选任务、代次和当前有效计划是否仍为准备阶段观察到的对象，避免另一条更新已提交后再次覆盖。若复核失败，记录失效条件并取消候选；旧计划剩余段重新验证，通过才可继续，不通过则采用可行的保持、局部安全动作或停止。连接段本身失效时，不把新计划已经准备成功作为放行理由。这一机制拟针对窗口内目标移动、传感器失联、网络重复响应和多更新竞争进行失效注入。重试或进程恢复时依据持久化回执对账，干运行不产生真实接受回执，也不修改活动计划。已完成不可重复动作不重放；确需补偿时创建具有独立身份、前置条件和安全校验的新动作。</w:t>
      </w:r>
    </w:p>
    <w:p>
      <w:r>
        <w:rPr>
          <w:b w:val="0"/>
        </w:rPr>
        <w:t>最终任务验证为 UNKNOWN 时，在预算内重新观测；可恢复 FAIL 进入局部修复或云端求助；硬安全故障直接停止。预算耗尽、持续无进展或不可恢复时形成明确失败终态。新的修复补丁仍须经过同一验证链，只有动作后在线证据确认原条件恢复才关闭事件。独立物理评价可事后判定恢复是否真正成功，但不参与在线恢复分支选择。</w:t>
      </w:r>
    </w:p>
    <w:p>
      <w:r>
        <w:rPr>
          <w:b w:val="0"/>
        </w:rPr>
        <w:t>交接的研究重点是检查与使用间的上下文变化，而不是模仿数据库事务的名称。准备完成不能对物理状态作永久承诺，模拟环境仍可能持续变化。协议保证的是提交依据的时效与执行权唯一，具体轨迹安全仍依赖边缘监督。拟分析二次验证的计算成本与风险降低之间的关系，并设置超时上限，使验证机制不会占用整个边缘周期。</w:t>
      </w:r>
    </w:p>
    <w:p>
      <w:pPr>
        <w:pStyle w:val="Heading2"/>
      </w:pPr>
      <w:r>
        <w:t>6.8 不变式、反例与方法验证</w:t>
      </w:r>
    </w:p>
    <w:p>
      <w:r>
        <w:rPr>
          <w:b w:val="0"/>
        </w:rPr>
        <w:t>拟优先验证以下不变式：未通过结构与语义校验的契约不进入执行器；未通过当前安全筛选的动作不下发；旧代次不能覆盖已提交的新代次；同一时刻只有一个有效任务执行快照；恢复不能突破预算与任务期限；停止状态不能被普通云端更新解除；新计划提交必须有提交前的有效性证据；未知条件不放行；恢复获准不等于问题解决；接受回执不等于执行启动；独立评价结果不能进入在线状态。每项不变式对应事件日志、协议断言和可重复的故障场景，避免仅写成原则。</w:t>
      </w:r>
    </w:p>
    <w:p>
      <w:r>
        <w:rPr>
          <w:b w:val="0"/>
        </w:rPr>
        <w:t>形式化分析拟在抽象状态机中枚举超时、乱序、重复和并发更新，检查非法状态可达性，再将反例转化为实现级测试或仿真注入。混合系统理论提供表示离散状态与连续过程的基础</w:t>
      </w:r>
      <w:hyperlink w:anchor="ref_20">
        <w:r>
          <w:rPr>
            <w:color w:val="000000"/>
            <w:vertAlign w:val="superscript"/>
            <w:sz w:val="18"/>
          </w:rPr>
          <w:t>[20]</w:t>
        </w:r>
      </w:hyperlink>
      <w:r>
        <w:rPr>
          <w:b w:val="0"/>
        </w:rPr>
        <w:t>，但完整机械臂动力学、接触和语言规划不宜在开题阶段声称已得到全面模型检查。研究将明确抽象遗漏，分别报告协议层已验证性质、简化控制条件下的推导以及仿真观察，形成范围清晰的证据。</w:t>
      </w:r>
    </w:p>
    <w:p>
      <w:pPr>
        <w:pStyle w:val="Heading2"/>
      </w:pPr>
      <w:r>
        <w:t>6.9 RGB-D 几何落地与物理技能门槛</w:t>
      </w:r>
    </w:p>
    <w:p>
      <w:r>
        <w:rPr>
          <w:b w:val="0"/>
        </w:rPr>
        <w:t>几何链依据目标像素、局部有效深度、相机内参和外参解算世界坐标，再检验像素是否越界、目标是否可识别、深度是否有效、标定是否匹配及位置是否可达。对于边缘混合深度、局部遮挡和相机参数错误，应拒绝或重新观测，不能把无效值截断为一个看似可执行的目标。初期采用已有 4B 级本地 VLM 候选配置，第 2 周以实际设备冻结模型标识、权重摘要、量化、输入分辨率及生成参数；选型名称不能替代图像请求真实发生的证据。</w:t>
      </w:r>
    </w:p>
    <w:p>
      <w:r>
        <w:rPr>
          <w:b w:val="0"/>
        </w:rPr>
        <w:t>G1 的定位评价以首批平顶刚性块顶部几何中心为独立抓取参考点，计算解算定位点与该参考点的三维欧氏距离，清晰目标 P90 目标为 10 mm。不能拿模型自己选中像素处的渲染真值反投影作自比较，从而产生恒接近零的虚假误差。参考点真值只供离线评价，在线风险使用可观测估计。该门槛只适用于规定标称对象，并同时报告识别覆盖率、目标区域有效深度率及整体物理成功率。</w:t>
      </w:r>
    </w:p>
    <w:p>
      <w:r>
        <w:rPr>
          <w:b w:val="0"/>
        </w:rPr>
        <w:t>动作必须经 IK、关节目标、执行器和仿真步进改变机械臂及物体状态。重置可以设置初始位置，执行阶段不得瞬移物体、直接写目标 TCP 或仅更新软件状态后返回成功。独立评价器检查抓取后至少提升 50 mm 并保持 0.5 秒，放置后释放且在目标区稳定 1 秒，并保存物理状态和接触记录。离线教师可读取真值生成轨迹，在线策略无此权限；只有物理教师实际执行且通过评价的轨迹才标为成功示范。技能模板、IK 求解成功或程序 SUCCESS 都不能单独证明物理任务完成。</w:t>
      </w:r>
    </w:p>
    <w:p>
      <w:bookmarkStart w:id="8" w:name="sec_7"/>
      <w:pPr>
        <w:pStyle w:val="Heading1"/>
      </w:pPr>
      <w:r>
        <w:t>七、数据生产与基于模拟设备的 Sim2Real 路线</w:t>
      </w:r>
      <w:bookmarkEnd w:id="8"/>
    </w:p>
    <w:p>
      <w:pPr>
        <w:pStyle w:val="Heading2"/>
      </w:pPr>
      <w:r>
        <w:t>7.1 统一设备语义与实验层次</w:t>
      </w:r>
    </w:p>
    <w:p>
      <w:r>
        <w:rPr>
          <w:b w:val="0"/>
        </w:rPr>
        <w:t>研究首先统一设备的关节顺序、坐标系、单位、动作类型、控制频率、重置条件和传感器时间语义。统一接口不要求两仿真器内部数值完全相同，而要求相同实验声明在两个后端具有可核对的物理含义。相同关节目标若在一个后端采用位置控制、另一个采用直接状态写入，则不能作为动力学控制配对；相同随机种子也不保证不同随机生成器产生相同物理参数。因此配对依据是具体场景与参数清单，而非种子编号本身。</w:t>
      </w:r>
    </w:p>
    <w:p>
      <w:r>
        <w:rPr>
          <w:b w:val="0"/>
        </w:rPr>
        <w:t>拟划分三个实验层次。协议层使用受控桩与回放轨迹验证版本、事件与交接规则，只能证明协议行为；核心物理层在 MuJoCo 中使用真实 RGB-D 和真实模型执行闭环技能，评价协同与恢复；资源允许时，将冻结的代表任务与参数映射至 Isaac Sim，评价模拟器间一致性和后端依赖。三层数据分别标识，MOCK 与 planner dry-run 不计入物理任务成功率，跨引擎结果不阻塞 MuJoCo 核心结论。G3 的固定机会回放是证据门控评价，也不等同于物理任务成功。</w:t>
      </w:r>
    </w:p>
    <w:p>
      <w:pPr>
        <w:pStyle w:val="Heading2"/>
      </w:pPr>
      <w:r>
        <w:t>7.2 域随机化的实施与生效验证</w:t>
      </w:r>
    </w:p>
    <w:p>
      <w:r>
        <w:rPr>
          <w:b w:val="0"/>
        </w:rPr>
        <w:t>物理随机化拟包括物体质量、摩擦、关节阻尼、执行器增益、控制延迟及观测噪声；视觉随机化拟包括光照、材质、遮挡和相机扰动。各分布围绕名义值设置有物理解释的范围，并约束参数组合的可行性，避免生成本身无法定义任务的场景。当前 MuJoCo 已有实际随机参数应用证据，可作为主环境基础；Isaac 中尚未完成的场景应用须通过读回和响应检查验收后再进入确认实验</w:t>
      </w:r>
      <w:hyperlink w:anchor="ref_34">
        <w:r>
          <w:rPr>
            <w:color w:val="000000"/>
            <w:vertAlign w:val="superscript"/>
            <w:sz w:val="18"/>
          </w:rPr>
          <w:t>[34]</w:t>
        </w:r>
      </w:hyperlink>
      <w:r>
        <w:rPr>
          <w:b w:val="0"/>
        </w:rPr>
        <w:t>。</w:t>
      </w:r>
    </w:p>
    <w:p>
      <w:r>
        <w:rPr>
          <w:b w:val="0"/>
        </w:rPr>
        <w:t>每次实验保存抽样参数清单、后端实际读回值、设备模型与场景文件校验摘要。对质量、摩擦等参数不仅检查配置值，还使用简单受控动作验证响应是否变化。例如同一推动动作在摩擦变化后应产生可解释的响应差异，但不能以这种差异要求两个接触求解器完全一致。随机化级别 NONE、MILD、MODERATE 和 SEVERE 沿用项目命名，实际范围需在预实验中冻结并附单位，不把级别名称当成完整参数定义。</w:t>
      </w:r>
    </w:p>
    <w:p>
      <w:r>
        <w:rPr>
          <w:b w:val="0"/>
        </w:rPr>
        <w:t>域随机化与网络扰动分别控制，避免把物理失配误归为通信问题。研究设置仅物理、仅网络及二者组合条件，观察计划验证、恢复预算和 AUTO 选择的交互。训练或标定时使用的参数范围与测试时的保留范围分别记录，不能把参与阈值调优的场景再次称为未见条件。若策略对某个随机范围过度敏感，应报告鲁棒性边界并调整方法解释。</w:t>
      </w:r>
    </w:p>
    <w:p>
      <w:pPr>
        <w:pStyle w:val="Heading2"/>
      </w:pPr>
      <w:r>
        <w:t>7.3 匹配初始状态、控制与时间轴</w:t>
      </w:r>
    </w:p>
    <w:p>
      <w:r>
        <w:rPr>
          <w:b w:val="0"/>
        </w:rPr>
        <w:t>跨仿真器实验使用共同的初始关节与末端状态、物体位姿、目标约束、碰撞几何及动作语义。每次重置后先运行规定的稳定阶段，再记录实际状态；若偏差超出门槛，实验标记为配对失败并说明原因。不能只比较场景配置的初值而忽略重置后物体因接触或重力产生的变化。动作由同一高层契约与冻结技能参数生成，后端控制映射及饱和限制需明确保存。</w:t>
      </w:r>
    </w:p>
    <w:p>
      <w:r>
        <w:rPr>
          <w:b w:val="0"/>
        </w:rPr>
        <w:t>仿真时间步、控制周期和观察周期可在不同后端采用必要的内部子步，但对外控制与采样时间应映射到共同时间轴。轨迹比较在共同有效时段进行，不能对缺失段无限外推；涉及接触的事件应按时间戳和事件定义匹配，不能以终点接触计数替代接触发生过程。实际墙钟时延独立记录，生产者生成的传感器字段不能自行证明端到端传输时延。</w:t>
      </w:r>
    </w:p>
    <w:p>
      <w:pPr>
        <w:pStyle w:val="Heading2"/>
      </w:pPr>
      <w:r>
        <w:t>7.4 跨仿真器差距与迁移条件</w:t>
      </w:r>
    </w:p>
    <w:p>
      <w:r>
        <w:rPr>
          <w:b w:val="0"/>
        </w:rPr>
        <w:t>拟评价七类差距：关节跟踪误差、末端位置误差、姿态误差、任务完成时间差、接触事件差异、传感器时效差异及协同决策差异。其中每项先定义单位、采样条件和缺失处理，再决定是否可以汇总。不同来源的误差不能直接相加形成含义不清的“总差距”。以末端位置均方根误差为例，仅对具有相同任务、初值和时间匹配条件的序列计算：</w:t>
      </w:r>
    </w:p>
    <w:p>
      <w:pPr>
        <w:keepLines/>
        <w:spacing w:before="100" w:after="160" w:line="240" w:lineRule="auto"/>
        <w:ind w:firstLine="0"/>
        <w:jc w:val="center"/>
      </w:pPr>
      <w:r>
        <w:drawing>
          <wp:inline xmlns:a="http://schemas.openxmlformats.org/drawingml/2006/main" xmlns:pic="http://schemas.openxmlformats.org/drawingml/2006/picture">
            <wp:extent cx="2742075" cy="690374"/>
            <wp:docPr id="11" name="Picture 11" descr="公式 9: \mathrm{RMSE}_p=\sqrt{\frac{1}{n}\sum_{i=1}^{n}\|p_i^{(A)}-p_i^{(B)}\|_2^2}" title="公式 9: \mathrm{RMSE}_p=\sqrt{\frac{1}{n}\sum_{i=1}^{n}\|p_i^{(A)}-p_i^{(B)}\|_2^2}"/>
            <wp:cNvGraphicFramePr>
              <a:graphicFrameLocks noChangeAspect="1"/>
            </wp:cNvGraphicFramePr>
            <a:graphic>
              <a:graphicData uri="http://schemas.openxmlformats.org/drawingml/2006/picture">
                <pic:pic>
                  <pic:nvPicPr>
                    <pic:cNvPr id="0" name="equation-9.png"/>
                    <pic:cNvPicPr/>
                  </pic:nvPicPr>
                  <pic:blipFill>
                    <a:blip r:embed="rId21"/>
                    <a:stretch>
                      <a:fillRect/>
                    </a:stretch>
                  </pic:blipFill>
                  <pic:spPr>
                    <a:xfrm>
                      <a:off x="0" y="0"/>
                      <a:ext cx="2742075" cy="690374"/>
                    </a:xfrm>
                    <a:prstGeom prst="rect"/>
                  </pic:spPr>
                </pic:pic>
              </a:graphicData>
            </a:graphic>
          </wp:inline>
        </w:drawing>
      </w:r>
      <w:r>
        <w:rPr>
          <w:sz w:val="20"/>
        </w:rPr>
        <w:t xml:space="preserve">  （9）</w:t>
      </w:r>
    </w:p>
    <w:p>
      <w:r>
        <w:rPr>
          <w:b w:val="0"/>
        </w:rPr>
        <w:t>姿态采用旋转距离，接触事件采用规定事件类别、允许时间容差和配对规则。任一条件不满足时输出不可比较及原因，而不是返回一个看似精确的数值。两仿真器的差异可用于检查策略是否依赖单一动力学近似，但由于没有真实设备样本，不能据此估计真实机器人误差。迁移准备结论主要包括接口是否统一、物理随机化是否实际生效、策略效果是否跨后端稳健以及尚需真实测量的参数。</w:t>
      </w:r>
    </w:p>
    <w:p>
      <w:pPr>
        <w:pStyle w:val="Heading2"/>
      </w:pPr>
      <w:r>
        <w:t>7.5 模型提供者与模拟设备的独立性</w:t>
      </w:r>
    </w:p>
    <w:p>
      <w:r>
        <w:rPr>
          <w:b w:val="0"/>
        </w:rPr>
        <w:t>现有真实模型服务尚未满足完整基线验收，不能用桩提供者的返回冒充模型结果</w:t>
      </w:r>
      <w:hyperlink w:anchor="ref_34">
        <w:r>
          <w:rPr>
            <w:color w:val="000000"/>
            <w:vertAlign w:val="superscript"/>
            <w:sz w:val="18"/>
          </w:rPr>
          <w:t>[34]</w:t>
        </w:r>
      </w:hyperlink>
      <w:r>
        <w:rPr>
          <w:b w:val="0"/>
        </w:rPr>
        <w:t>。冻结契约或确定性提供者仅用于协议回归和排错；真实模型图像调用是正式研究运行的必要条件，不能把它降为最后选择少量成功场景的补充验证。模型不可用就明确记录 BLOCKED，安排基础能力修复并削减扩展范围，不用 MOCK 补齐正式成功率。模拟设备的真实性指实际物理引擎执行，模型真实性指实际模型服务处理规定输入，两者均须独立追溯。</w:t>
      </w:r>
    </w:p>
    <w:p>
      <w:r>
        <w:rPr>
          <w:b w:val="0"/>
        </w:rPr>
        <w:t>真实模型调用需要保存提供者类型、模型标识、版本或权重摘要、采样参数、提示模板、结构校验与重试记录，不在结果文件中保存密钥。服务不可用时记录阻塞，不擅自改变模型或降低验证条件以补齐样本。模拟设备路线并不排斥真实模型推理，但规划服务真实性与物理设备真实性是两个不同维度，实验名称和统计分组必须体现这一点。</w:t>
      </w:r>
    </w:p>
    <w:p>
      <w:pPr>
        <w:pStyle w:val="Heading2"/>
      </w:pPr>
      <w:r>
        <w:t>7.6 感知数据规模、标签及落盘规范</w:t>
      </w:r>
    </w:p>
    <w:p>
      <w:r>
        <w:rPr>
          <w:b w:val="0"/>
        </w:rPr>
        <w:t>感知数据按 smoke 100 个、validation 1000 个、full 10000 个基础场景组递进生产。一个组包含同一基础场景、同一 episode 的全部帧及扰动版本，组数不等于图像数、轨迹数或正式测试次数。先离线生成 RGB、原始米制深度、实例掩码、相机标定、可见性与几何标签，不要求 VLM 服务同时在线。每个样本保存生成参数、实际物理参数、资产来源、随机种子和校验和，通过临时文件及原子提交避免半成品被当作完整数据；断点恢复以 manifest 状态和校验结果为依据，不能只检查文件名存在。</w:t>
      </w:r>
    </w:p>
    <w:p>
      <w:r>
        <w:rPr>
          <w:b w:val="0"/>
        </w:rPr>
        <w:t>标准感知正样本要求目标可见像素至少 100，目标区域有效深度至少 95%。遮挡、深度缺失、标定偏差和目标身份混淆等研究负例保留并标注缺陷，不能以清洗为由删掉困难条件。感知标注可由仿真真值生成，但存储与在线输入边界分离；动作示范必须由物理教师执行并经独立结果判定，技能模板、目标坐标文件或计划文本不具有动作成功标签。数据报告同时统计组数、帧数、负例比例、有效示范数及失败原因，避免用更多重复帧夸大数据量。</w:t>
      </w:r>
    </w:p>
    <w:p>
      <w:pPr>
        <w:pStyle w:val="Heading2"/>
      </w:pPr>
      <w:r>
        <w:t>7.7 分组隔离、独立测试与定向采样</w:t>
      </w:r>
    </w:p>
    <w:p>
      <w:r>
        <w:rPr>
          <w:b w:val="0"/>
        </w:rPr>
        <w:t>基础感知组按固定 80/10/10 划分训练、验证和感知测试；验证部分再等分为校准与策略选择两部分。所有衍生帧、增强、失败与修复轨迹必须随基础组进入同一集合。通过基础场景参数及资产族来源哈希、帧近重复检测双重检查泄露；发现重复时按组处理并记录，不能只删除一张重复图片而留下同 episode 的近邻帧。感知测试用于定位和质量评价，不能用于选择风险权重或发现采样薄弱点。</w:t>
      </w:r>
    </w:p>
    <w:p>
      <w:r>
        <w:rPr>
          <w:b w:val="0"/>
        </w:rPr>
        <w:t>另建互不重叠的 2400 个正式物理候选场景、200 个恢复故障场景和 300 个域外场景，与训练、校准、策略选择及两轮开发先导组均做来源和哈希检查。10000 组感知数据不是正式物理样本量上限。第 4 周冻结候选池和分层顺序，第 9 周按预定功效规则取分层前 N 个，未使用候选不能转作调参数据。禁止一边测试一边扩充有利场景。域外组采用未见资产或未见参数组合，不能只换随机种子就称为域外。</w:t>
      </w:r>
    </w:p>
    <w:p>
      <w:r>
        <w:rPr>
          <w:b w:val="0"/>
        </w:rPr>
        <w:t>G5 的定向采样器只访问训练池与训练反馈，围绕证据失效和恢复薄弱条件分配采样预算。与 B5 均匀域随机化及普通失败采样保持相同有效训练组数、轻量模型、优化步数和训练种子，在 500、1000、2000 组分别训练并绘制学习曲线。基础 VLM 不微调，300 个域外组冻结至最终评价，三个训练种子作为层次重复处理。若扩展资源不足，保留数据生产和隔离审计，明确标注 G5 尚未验证，不以生成了大量图片替代域外收益证据。</w:t>
      </w:r>
    </w:p>
    <w:p>
      <w:bookmarkStart w:id="9" w:name="sec_8"/>
      <w:pPr>
        <w:pStyle w:val="Heading1"/>
      </w:pPr>
      <w:r>
        <w:t>八、实验设计、指标与统计分析</w:t>
      </w:r>
      <w:bookmarkEnd w:id="9"/>
    </w:p>
    <w:p>
      <w:pPr>
        <w:pStyle w:val="Heading2"/>
      </w:pPr>
      <w:r>
        <w:t>8.1 实验任务及对照组</w:t>
      </w:r>
    </w:p>
    <w:p>
      <w:r>
        <w:rPr>
          <w:b w:val="0"/>
        </w:rPr>
        <w:t>正式主比较采用三类任务条件：标称静态抓放，局部遮挡或深度扰动，目标移动或可恢复执行扰动。三类任务与四类通信条件交叉为十二个单元，各单元采用预先冻结的均衡组合，物理任务结果由独立评价器确认。首批标称对象为平顶刚性块，G1 三维误差是定位点相对顶部几何中心独立参考点的距离；仅对识别正确且深度有效的目标计算 P90，同时报告识别覆盖率、无效深度拒绝率和全任务成功率。不能用选中像素处真值自比较代替定位误差，也不能以程序返回 SUCCESS 代替抓取提升、稳定保持及放置结果。</w:t>
      </w:r>
    </w:p>
    <w:p>
      <w:pPr>
        <w:pStyle w:val="Caption"/>
        <w:keepNext/>
      </w:pPr>
      <w:r>
        <w:t>表 4  可执行对照方法与固定条件</w:t>
      </w:r>
    </w:p>
    <w:tbl>
      <w:tblPr>
        <w:tblW w:type="auto" w:w="0"/>
        <w:jc w:val="center"/>
        <w:tblLayout w:type="fixed"/>
        <w:tblLook w:firstColumn="1" w:firstRow="1" w:lastColumn="0" w:lastRow="0" w:noHBand="0" w:noVBand="1" w:val="04A0"/>
      </w:tblPr>
      <w:tblGrid>
        <w:gridCol w:w="941"/>
        <w:gridCol w:w="2822"/>
        <w:gridCol w:w="5644"/>
      </w:tblGrid>
      <w:tr>
        <w:trPr>
          <w:cantSplit/>
          <w:tblHeader/>
        </w:trPr>
        <w:tc>
          <w:tcPr>
            <w:tcW w:type="dxa" w:w="941"/>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shd w:fill="EDEDED"/>
          </w:tcPr>
          <w:p>
            <w:pPr>
              <w:spacing w:after="0" w:line="320" w:lineRule="exact"/>
              <w:ind w:firstLine="0"/>
              <w:jc w:val="center"/>
            </w:pPr>
            <w:r>
              <w:rPr>
                <w:b/>
                <w:sz w:val="21"/>
              </w:rPr>
              <w:t>编号</w:t>
            </w:r>
          </w:p>
        </w:tc>
        <w:tc>
          <w:tcPr>
            <w:tcW w:type="dxa" w:w="282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shd w:fill="EDEDED"/>
          </w:tcPr>
          <w:p>
            <w:pPr>
              <w:spacing w:after="0" w:line="320" w:lineRule="exact"/>
              <w:ind w:firstLine="0"/>
              <w:jc w:val="center"/>
            </w:pPr>
            <w:r>
              <w:rPr>
                <w:b/>
                <w:sz w:val="21"/>
              </w:rPr>
              <w:t>可执行对照</w:t>
            </w:r>
          </w:p>
        </w:tc>
        <w:tc>
          <w:tcPr>
            <w:tcW w:type="dxa" w:w="564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shd w:fill="EDEDED"/>
          </w:tcPr>
          <w:p>
            <w:pPr>
              <w:spacing w:after="0" w:line="320" w:lineRule="exact"/>
              <w:ind w:firstLine="0"/>
              <w:jc w:val="center"/>
            </w:pPr>
            <w:r>
              <w:rPr>
                <w:b/>
                <w:sz w:val="21"/>
              </w:rPr>
              <w:t>公平约束与对应目标</w:t>
            </w:r>
          </w:p>
        </w:tc>
      </w:tr>
      <w:tr>
        <w:trPr>
          <w:cantSplit/>
        </w:trPr>
        <w:tc>
          <w:tcPr>
            <w:tcW w:type="dxa" w:w="941"/>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center"/>
            </w:pPr>
            <w:r>
              <w:rPr>
                <w:b w:val="0"/>
                <w:sz w:val="21"/>
              </w:rPr>
              <w:t>B0</w:t>
            </w:r>
          </w:p>
        </w:tc>
        <w:tc>
          <w:tcPr>
            <w:tcW w:type="dxa" w:w="282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周期云端监督 PCSC，周期候选 0.5、1、2、5 秒</w:t>
            </w:r>
          </w:p>
        </w:tc>
        <w:tc>
          <w:tcPr>
            <w:tcW w:type="dxa" w:w="564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验证集筛合格周期后，选云请求最少者，平局选时延低者；保留周期曲线；对应 G2/G2a</w:t>
            </w:r>
          </w:p>
        </w:tc>
      </w:tr>
      <w:tr>
        <w:trPr>
          <w:cantSplit/>
        </w:trPr>
        <w:tc>
          <w:tcPr>
            <w:tcW w:type="dxa" w:w="941"/>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center"/>
            </w:pPr>
            <w:r>
              <w:rPr>
                <w:b w:val="0"/>
                <w:sz w:val="21"/>
              </w:rPr>
              <w:t>B1</w:t>
            </w:r>
          </w:p>
        </w:tc>
        <w:tc>
          <w:tcPr>
            <w:tcW w:type="dxa" w:w="282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固定阈值 ETEAC</w:t>
            </w:r>
          </w:p>
        </w:tc>
        <w:tc>
          <w:tcPr>
            <w:tcW w:type="dxa" w:w="564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相同视觉证据、技能和动作能力；阈值在策略选择集调节后冻结；评价 C1 是否超出现有事件触发</w:t>
            </w:r>
          </w:p>
        </w:tc>
      </w:tr>
      <w:tr>
        <w:trPr>
          <w:cantSplit/>
        </w:trPr>
        <w:tc>
          <w:tcPr>
            <w:tcW w:type="dxa" w:w="941"/>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center"/>
            </w:pPr>
            <w:r>
              <w:rPr>
                <w:b w:val="0"/>
                <w:sz w:val="21"/>
              </w:rPr>
              <w:t>B2</w:t>
            </w:r>
          </w:p>
        </w:tc>
        <w:tc>
          <w:tcPr>
            <w:tcW w:type="dxa" w:w="282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现有规则 AUTO</w:t>
            </w:r>
          </w:p>
        </w:tc>
        <w:tc>
          <w:tcPr>
            <w:tcW w:type="dxa" w:w="564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冻结风险加权和模式规则，补齐相同运行中入口、时钟、安全边界；初始化单次选择版本仅作诊断</w:t>
            </w:r>
          </w:p>
        </w:tc>
      </w:tr>
      <w:tr>
        <w:trPr>
          <w:cantSplit/>
        </w:trPr>
        <w:tc>
          <w:tcPr>
            <w:tcW w:type="dxa" w:w="941"/>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center"/>
            </w:pPr>
            <w:r>
              <w:rPr>
                <w:b w:val="0"/>
                <w:sz w:val="21"/>
              </w:rPr>
              <w:t>B3</w:t>
            </w:r>
          </w:p>
        </w:tc>
        <w:tc>
          <w:tcPr>
            <w:tcW w:type="dxa" w:w="282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时间有效期和确定性状态检查</w:t>
            </w:r>
          </w:p>
        </w:tc>
        <w:tc>
          <w:tcPr>
            <w:tcW w:type="dxa" w:w="564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共用 SafetyShield、版本和基础几何检查，只去掉校准不确定性与动作相关有效期；对应 G3</w:t>
            </w:r>
          </w:p>
        </w:tc>
      </w:tr>
      <w:tr>
        <w:trPr>
          <w:cantSplit/>
        </w:trPr>
        <w:tc>
          <w:tcPr>
            <w:tcW w:type="dxa" w:w="941"/>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center"/>
            </w:pPr>
            <w:r>
              <w:rPr>
                <w:b w:val="0"/>
                <w:sz w:val="21"/>
              </w:rPr>
              <w:t>B4</w:t>
            </w:r>
          </w:p>
        </w:tc>
        <w:tc>
          <w:tcPr>
            <w:tcW w:type="dxa" w:w="282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失败后重规划全部未完成任务</w:t>
            </w:r>
          </w:p>
        </w:tc>
        <w:tc>
          <w:tcPr>
            <w:tcW w:type="dxa" w:w="564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同一 VLM、技能、观测、安全条件和故障注入；共同保护已完成效果；对应 G4</w:t>
            </w:r>
          </w:p>
        </w:tc>
      </w:tr>
      <w:tr>
        <w:trPr>
          <w:cantSplit/>
        </w:trPr>
        <w:tc>
          <w:tcPr>
            <w:tcW w:type="dxa" w:w="941"/>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center"/>
            </w:pPr>
            <w:r>
              <w:rPr>
                <w:b w:val="0"/>
                <w:sz w:val="21"/>
              </w:rPr>
              <w:t>B5</w:t>
            </w:r>
          </w:p>
        </w:tc>
        <w:tc>
          <w:tcPr>
            <w:tcW w:type="dxa" w:w="282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均匀域随机化数据</w:t>
            </w:r>
          </w:p>
        </w:tc>
        <w:tc>
          <w:tcPr>
            <w:tcW w:type="dxa" w:w="564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同有效训练组数、模型、优化步数与训练种子；另加普通失败采样；对应扩展 G5</w:t>
            </w:r>
          </w:p>
        </w:tc>
      </w:tr>
    </w:tbl>
    <w:p>
      <w:pPr>
        <w:spacing w:after="0" w:line="80" w:lineRule="exact"/>
        <w:ind w:firstLine="0"/>
      </w:pPr>
      <w:r>
        <w:rPr>
          <w:sz w:val="8"/>
        </w:rPr>
      </w:r>
    </w:p>
    <w:p>
      <w:r>
        <w:rPr>
          <w:b w:val="0"/>
        </w:rPr>
        <w:t>策略选择集上的可行性门槛为标称静态成功率点估计至少 90%、跨条件总体成功率至少 80%、物理安全违规率不超过 1%。这些值只用于筛选配置，不替代 G2 正式成功与风险非劣检验。无合格配置时返回 NO_FEASIBLE_BASELINE，不故意选弱基线宣称节省。所有方法使用相同真实模型、图像输入质量、技能与安全配置，provider 在途请求上限均为 1，均采用保留最新待发观测的合并策略；未实际发出的事件不计云请求，B0 必须真实按周期触发监督，不能实现成只发送普通心跳却宣称周期模型监督。</w:t>
      </w:r>
    </w:p>
    <w:p>
      <w:r>
        <w:rPr>
          <w:b w:val="0"/>
        </w:rPr>
        <w:t>共享闭环正确性修复同步用于新方法及基线，包括成功后再观测、UNKNOWN 拒绝放行、验证失败可恢复、预算持久化和真实启动回执。两项主创新的增量只来自感知风险、动作时效与修复范围选择，不把修复旧代码缺陷计作相对方法收益。</w:t>
      </w:r>
    </w:p>
    <w:p>
      <w:pPr>
        <w:pStyle w:val="Heading2"/>
      </w:pPr>
      <w:r>
        <w:t>8.2 网络与扰动条件</w:t>
      </w:r>
    </w:p>
    <w:p>
      <w:r>
        <w:rPr>
          <w:b w:val="0"/>
        </w:rPr>
        <w:t>通信档采用往返延迟 0、100、300、600 ms，对应随机丢包率 0、0、1、5%；非零延迟档在所定 RTT 上下 20% 均匀抖动，0 ms 档无抖动，带宽固定 10 Mbit/s。另单列 3 秒和 10 秒中断压力场景，不混入十二个主比较单元。请求方向和响应方向的延迟之和应等于声明 RTT，不能两边各加一次完整 RTT。注入配置、实际发送、丢弃、重试和返回时间均保存，以检查声明网络条件是否实际生效。</w:t>
      </w:r>
    </w:p>
    <w:p>
      <w:r>
        <w:rPr>
          <w:b w:val="0"/>
        </w:rPr>
        <w:t>目标移动速度为 0、20、40 mm/s，额外深度噪声标准差为 0、2、5 mm，无效深度比例为 0、10、30%，遮挡面积为 0、20、40%。各层内部使用预先冻结的均衡组合抽样，不对全部参数作笛卡尔积。原始渲染与注入后观测分别存档，在线模型只接收后者，评价器保存精确扰动时刻。训练和测试参数组隔离，域外组合单列，噪声单位和深度坐标约定随数据发布。</w:t>
      </w:r>
    </w:p>
    <w:p>
      <w:r>
        <w:rPr>
          <w:b w:val="0"/>
        </w:rPr>
        <w:t>配对方法共享场景、物理 seed 和网络故障日程，发生在特定任务阶段的扰动使用相同阶段触发规则，并记录实际触发时刻。未到达指定阶段的任务保留原失败，不能为补齐结果反复重跑。计时采用统一、可解释的墙钟与仿真时间映射；真实模型耗时和网络等待期间，物理演化是否继续必须由同一运行器语义固定，避免某方法等待云端时冻结世界而获得不公平优势。同机独立进程加网络注入的结果称模拟云边部署，并报告设备负载。</w:t>
      </w:r>
    </w:p>
    <w:p>
      <w:pPr>
        <w:pStyle w:val="Heading2"/>
      </w:pPr>
      <w:r>
        <w:t>8.3 消融与故障注入</w:t>
      </w:r>
    </w:p>
    <w:p>
      <w:r>
        <w:rPr>
          <w:b w:val="0"/>
        </w:rPr>
        <w:t>核心消融使用与主比较相同的正式 N 个独立场景比较去不确定性、去时效性、去局部修复三个版本，其余模型、技能和安全能力一致。必要的协议诊断包括接收时一次校验与提交前复核、去滞回及驻留约束；它们作为机制解释，不扩展为全部条件的组合搜索。开发先导仅用于排错和预定样本估计，不能用先导中的最好结果代替正式消融。</w:t>
      </w:r>
    </w:p>
    <w:p>
      <w:r>
        <w:rPr>
          <w:b w:val="0"/>
        </w:rPr>
        <w:t>故障注入覆盖旧任务响应、代次倒退、重复提交、窗口内目标移动、约束版本变化、关键传感器陈旧、局部优化超时、恢复预算耗尽及停止状态下普通更新。另注入最终验证失败、重观测无新信息、同因事件重复生成、接受后尚未启动、旧判断迟到和拒答回退，检查终态及预算是否正确。协议故障可以在受控桩层穷举，物理层则关注与动作语义相关的反例。不得在物理实验中取消最终安全链以验证危险动作；需要评估候选危险率时记录被拒绝的候选和仿真评价依据即可。</w:t>
      </w:r>
    </w:p>
    <w:p>
      <w:pPr>
        <w:pStyle w:val="Heading2"/>
      </w:pPr>
      <w:r>
        <w:t>8.4 指标定义与记录口径</w:t>
      </w:r>
    </w:p>
    <w:p>
      <w:pPr>
        <w:pStyle w:val="Caption"/>
        <w:keepNext/>
      </w:pPr>
      <w:r>
        <w:t>表 5  实验指标与统计口径</w:t>
      </w:r>
    </w:p>
    <w:tbl>
      <w:tblPr>
        <w:tblW w:type="auto" w:w="0"/>
        <w:jc w:val="center"/>
        <w:tblLayout w:type="fixed"/>
        <w:tblLook w:firstColumn="1" w:firstRow="1" w:lastColumn="0" w:lastRow="0" w:noHBand="0" w:noVBand="1" w:val="04A0"/>
      </w:tblPr>
      <w:tblGrid>
        <w:gridCol w:w="1693"/>
        <w:gridCol w:w="3668"/>
        <w:gridCol w:w="4045"/>
      </w:tblGrid>
      <w:tr>
        <w:trPr>
          <w:cantSplit/>
          <w:tblHeader/>
        </w:trPr>
        <w:tc>
          <w:tcPr>
            <w:tcW w:type="dxa" w:w="1693"/>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shd w:fill="EDEDED"/>
          </w:tcPr>
          <w:p>
            <w:pPr>
              <w:spacing w:after="0" w:line="320" w:lineRule="exact"/>
              <w:ind w:firstLine="0"/>
              <w:jc w:val="center"/>
            </w:pPr>
            <w:r>
              <w:rPr>
                <w:b/>
                <w:sz w:val="21"/>
              </w:rPr>
              <w:t>指标类别</w:t>
            </w:r>
          </w:p>
        </w:tc>
        <w:tc>
          <w:tcPr>
            <w:tcW w:type="dxa" w:w="3668"/>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shd w:fill="EDEDED"/>
          </w:tcPr>
          <w:p>
            <w:pPr>
              <w:spacing w:after="0" w:line="320" w:lineRule="exact"/>
              <w:ind w:firstLine="0"/>
              <w:jc w:val="center"/>
            </w:pPr>
            <w:r>
              <w:rPr>
                <w:b/>
                <w:sz w:val="21"/>
              </w:rPr>
              <w:t>主要指标</w:t>
            </w:r>
          </w:p>
        </w:tc>
        <w:tc>
          <w:tcPr>
            <w:tcW w:type="dxa" w:w="404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shd w:fill="EDEDED"/>
          </w:tcPr>
          <w:p>
            <w:pPr>
              <w:spacing w:after="0" w:line="320" w:lineRule="exact"/>
              <w:ind w:firstLine="0"/>
              <w:jc w:val="center"/>
            </w:pPr>
            <w:r>
              <w:rPr>
                <w:b/>
                <w:sz w:val="21"/>
              </w:rPr>
              <w:t>统计口径</w:t>
            </w:r>
          </w:p>
        </w:tc>
      </w:tr>
      <w:tr>
        <w:trPr>
          <w:cantSplit/>
        </w:trPr>
        <w:tc>
          <w:tcPr>
            <w:tcW w:type="dxa" w:w="1693"/>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任务效果</w:t>
            </w:r>
          </w:p>
        </w:tc>
        <w:tc>
          <w:tcPr>
            <w:tcW w:type="dxa" w:w="3668"/>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成功率、失败率、安全停止率、阻塞率</w:t>
            </w:r>
          </w:p>
        </w:tc>
        <w:tc>
          <w:tcPr>
            <w:tcW w:type="dxa" w:w="404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成功须在线完成声明与独立物理判定同时通过；终态互斥</w:t>
            </w:r>
          </w:p>
        </w:tc>
      </w:tr>
      <w:tr>
        <w:trPr>
          <w:cantSplit/>
        </w:trPr>
        <w:tc>
          <w:tcPr>
            <w:tcW w:type="dxa" w:w="1693"/>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执行效率</w:t>
            </w:r>
          </w:p>
        </w:tc>
        <w:tc>
          <w:tcPr>
            <w:tcW w:type="dxa" w:w="3668"/>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完成时间、有效推进时间、等待时间</w:t>
            </w:r>
          </w:p>
        </w:tc>
        <w:tc>
          <w:tcPr>
            <w:tcW w:type="dxa" w:w="404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模拟时间与墙钟时间分别记录</w:t>
            </w:r>
          </w:p>
        </w:tc>
      </w:tr>
      <w:tr>
        <w:trPr>
          <w:cantSplit/>
        </w:trPr>
        <w:tc>
          <w:tcPr>
            <w:tcW w:type="dxa" w:w="1693"/>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云边成本</w:t>
            </w:r>
          </w:p>
        </w:tc>
        <w:tc>
          <w:tcPr>
            <w:tcW w:type="dxa" w:w="3668"/>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消息数、实际传输字节、全部云侧模型请求</w:t>
            </w:r>
          </w:p>
        </w:tc>
        <w:tc>
          <w:tcPr>
            <w:tcW w:type="dxa" w:w="404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规划、监督及判断分用途记账；逻辑部署与实际主机分开</w:t>
            </w:r>
          </w:p>
        </w:tc>
      </w:tr>
      <w:tr>
        <w:trPr>
          <w:cantSplit/>
        </w:trPr>
        <w:tc>
          <w:tcPr>
            <w:tcW w:type="dxa" w:w="1693"/>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信息时效</w:t>
            </w:r>
          </w:p>
        </w:tc>
        <w:tc>
          <w:tcPr>
            <w:tcW w:type="dxa" w:w="3668"/>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上下文信息年龄、异常至响应时延</w:t>
            </w:r>
          </w:p>
        </w:tc>
        <w:tc>
          <w:tcPr>
            <w:tcW w:type="dxa" w:w="404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统一时间语义，报告尾部值</w:t>
            </w:r>
          </w:p>
        </w:tc>
      </w:tr>
      <w:tr>
        <w:trPr>
          <w:cantSplit/>
        </w:trPr>
        <w:tc>
          <w:tcPr>
            <w:tcW w:type="dxa" w:w="1693"/>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自治恢复</w:t>
            </w:r>
          </w:p>
        </w:tc>
        <w:tc>
          <w:tcPr>
            <w:tcW w:type="dxa" w:w="3668"/>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恢复成功率、次数、惩罚恢复耗时、预算耗尽率</w:t>
            </w:r>
          </w:p>
        </w:tc>
        <w:tc>
          <w:tcPr>
            <w:tcW w:type="dxa" w:w="404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固定 200 个可恢复故障 episode，资格事先锁定</w:t>
            </w:r>
          </w:p>
        </w:tc>
      </w:tr>
      <w:tr>
        <w:trPr>
          <w:cantSplit/>
        </w:trPr>
        <w:tc>
          <w:tcPr>
            <w:tcW w:type="dxa" w:w="1693"/>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策略切换</w:t>
            </w:r>
          </w:p>
        </w:tc>
        <w:tc>
          <w:tcPr>
            <w:tcW w:type="dxa" w:w="3668"/>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次数、驻留时间、切换成本、重复动作</w:t>
            </w:r>
          </w:p>
        </w:tc>
        <w:tc>
          <w:tcPr>
            <w:tcW w:type="dxa" w:w="404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保留每次切换的输入与原因</w:t>
            </w:r>
          </w:p>
        </w:tc>
      </w:tr>
      <w:tr>
        <w:trPr>
          <w:cantSplit/>
        </w:trPr>
        <w:tc>
          <w:tcPr>
            <w:tcW w:type="dxa" w:w="1693"/>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安全与交接</w:t>
            </w:r>
          </w:p>
        </w:tc>
        <w:tc>
          <w:tcPr>
            <w:tcW w:type="dxa" w:w="3668"/>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错误接收、错误拒绝、无效提交、约束违反</w:t>
            </w:r>
          </w:p>
        </w:tc>
        <w:tc>
          <w:tcPr>
            <w:tcW w:type="dxa" w:w="404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候选、拒绝和实际执行分开</w:t>
            </w:r>
          </w:p>
        </w:tc>
      </w:tr>
      <w:tr>
        <w:trPr>
          <w:cantSplit/>
        </w:trPr>
        <w:tc>
          <w:tcPr>
            <w:tcW w:type="dxa" w:w="1693"/>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闭环质量</w:t>
            </w:r>
          </w:p>
        </w:tc>
        <w:tc>
          <w:tcPr>
            <w:tcW w:type="dxa" w:w="3668"/>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误报完成、UNKNOWN、拒答、回退、无进展终止</w:t>
            </w:r>
          </w:p>
        </w:tc>
        <w:tc>
          <w:tcPr>
            <w:tcW w:type="dxa" w:w="404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按完成声明、条件判定、判断请求、决策轮次及任务分别取分母</w:t>
            </w:r>
          </w:p>
        </w:tc>
      </w:tr>
      <w:tr>
        <w:trPr>
          <w:cantSplit/>
        </w:trPr>
        <w:tc>
          <w:tcPr>
            <w:tcW w:type="dxa" w:w="1693"/>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跨后端一致性</w:t>
            </w:r>
          </w:p>
        </w:tc>
        <w:tc>
          <w:tcPr>
            <w:tcW w:type="dxa" w:w="3668"/>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七类差距、机制效果方向及区间</w:t>
            </w:r>
          </w:p>
        </w:tc>
        <w:tc>
          <w:tcPr>
            <w:tcW w:type="dxa" w:w="404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只使用条件匹配的物理配对</w:t>
            </w:r>
          </w:p>
        </w:tc>
      </w:tr>
    </w:tbl>
    <w:p>
      <w:pPr>
        <w:spacing w:after="0" w:line="80" w:lineRule="exact"/>
        <w:ind w:firstLine="0"/>
      </w:pPr>
      <w:r>
        <w:rPr>
          <w:sz w:val="8"/>
        </w:rPr>
      </w:r>
    </w:p>
    <w:p>
      <w:r>
        <w:rPr>
          <w:b w:val="0"/>
        </w:rPr>
        <w:t>成功率的主分母是全部预分配 episode，包括超时、模型错误、运行中安全停止和基础设施 BLOCKED；同时单列阻塞原因，并补报可运行子集，不能只展示后者。只有经记录确认的运行器基础设施损坏可以成对重跑，原记录保留，不能因任务失败重跑至成功。G0 的 100% 指已发生阶段全部使用真实路径并可审计，提前阻塞或安全拒绝后未发生的阶段标 NOT_EXECUTED，不能伪造模型回复或物理步数；阶段覆盖率另报，未完成任务仍在成功率分母。</w:t>
      </w:r>
    </w:p>
    <w:p>
      <w:r>
        <w:rPr>
          <w:b w:val="0"/>
        </w:rPr>
        <w:t>物理安全违规指非许可的机器人与障碍碰撞、自碰撞、超出预注册工作空间或硬关节与速度限制等物理事件，正常夹持接触不计碰撞。每 episode 是否违规为主安全指标，事件数为次指标。无效候选被正确拒绝、任务被安全停止与发生物理违规分别报告。零事件只能说明有限样本内未观察到违规，应补报精确或 Wilson 单侧比例上界，不能用退化的零宽 bootstrap 区间证明安全。</w:t>
      </w:r>
    </w:p>
    <w:p>
      <w:r>
        <w:rPr>
          <w:b w:val="0"/>
        </w:rPr>
        <w:t>G3 使用固定机会回放集，新门控与 B3 判断完全相同的候选动作及 RGB-D 快照。机会标签由固定场景、观测缺陷日程和独立评价规则在方法比较前确定：误放行率分母是几何或时效条件无效的机会，错误拒绝率分母是有效且安全的机会，推断按 episode 聚类。有效且安全要求传感器需求满足、目标身份可判定、几何可行且在有效期内；物理上碰巧安全但传感信息不足的 UNKNOWN 机会独立成层，不算错误拒绝。在线轨迹分叉后的额外机会另报，不与固定机会混算。该回放测量门控质量；G2、G4 仍用真实物理闭环，离线回放不计作物理任务成功。</w:t>
      </w:r>
    </w:p>
    <w:p>
      <w:r>
        <w:rPr>
          <w:b w:val="0"/>
        </w:rPr>
        <w:t>云请求按逻辑部署位置计数，包含云侧规划、监督和判断器实际发出的全部模型请求，以及超时、重试和失败请求。模拟云进程即使在本机调用 VLM，也计入 CLOUD；实际主机 LOCAL_HOST 或 REMOTE_SERVICE 另列。远程判断不得藏入边缘成本，只有确属 EDGE 的本地判断不计云请求，其资源与耗时仍须记录。G2 按全部分配任务计算请求均值。应用层字节累计图片、回复、重试与心跳的实际序列化收发载荷，不以 token 代替字节。</w:t>
      </w:r>
    </w:p>
    <w:p>
      <w:r>
        <w:rPr>
          <w:b w:val="0"/>
        </w:rPr>
        <w:t>闭环质量另设五项诊断：误报完成率为在线宣告完成但独立物理判定失败数除以全部在线完成声明数；UNKNOWN 比例为未知条件数除以全部条件判定数；拒答率为 ABSTAIN 判断响应数除以实际发出的判断请求数，超时和 ERROR 单列；回退率为使用回退的轮数除以全部决策轮数；无进展终止率以全部分配 episode 为分母。分母为零记 N/A。上述指标用于解释改善机制，不增加或替代 G0—G5 的原验收目标。</w:t>
      </w:r>
    </w:p>
    <w:p>
      <w:r>
        <w:rPr>
          <w:b w:val="0"/>
        </w:rPr>
        <w:t>决策响应从触发事件计至提交或明确拒绝，纳入排队、序列化、推理、网络和提交等待，报告中位数与 P95。故障响应从注入计至首个通过权限检查且实际生效的恢复、重观测或安全停止；云端返回与接受 ACK 不能代替响应。截止仍未响应的记录报告删失时长和数量，不能只统计已响应样本。</w:t>
      </w:r>
    </w:p>
    <w:p>
      <w:r>
        <w:rPr>
          <w:b w:val="0"/>
        </w:rPr>
        <w:t>任务耗时从 episode 开始至成功结果确认。第 4 周以基础先导 B0 成功耗时 P99 的两倍向上取整至 10 秒，设统一截止 Tcap，最少 120 秒、最多 600 秒；失败和超时赋 Tcap，用于 G2a 的惩罚耗时 P95，成功子集原始耗时另报。若先导无足够成功样本确定该量，应继续补基础能力而非随意选择有利时限。恢复从故障注入计至独立验证恢复成功，Rcap 固定 60 秒，失败赋 Rcap 后计算 G4 中位数。G4 的 200 个故障资格在运行任何方法前锁定，不能事后只把成功恢复的故障称为可恢复。</w:t>
      </w:r>
    </w:p>
    <w:p>
      <w:pPr>
        <w:pStyle w:val="Heading2"/>
      </w:pPr>
      <w:r>
        <w:t>8.5 配对重复与样本规划</w:t>
      </w:r>
    </w:p>
    <w:p>
      <w:r>
        <w:rPr>
          <w:b w:val="0"/>
        </w:rPr>
        <w:t>确认实验以基础场景为独立统计单位，配对标识覆盖任务、网络脚本、物理参数、初始状态及提供者配置。主方法与 B0/B1/B2 共享场景、物理 seed 和故障日程，运行顺序随机化，记录重置与资源负载，避免固定顺序使某方法总在缓存预热后运行。同一轨迹的多帧或同场景重复种子不计作独立场景，故障评价和数据扩展使用各自已冻结集合。</w:t>
      </w:r>
    </w:p>
    <w:p>
      <w:r>
        <w:rPr>
          <w:b w:val="0"/>
        </w:rPr>
        <w:t>第 4 周基础先导来自开发池，十二个单元各 10 个独立场景，共 120 个配对场景，用于核验真实闭环、G0 与标称 G1 初检，并固定场景规则、Tcap、统计方法和计算预算。此时完整新方法尚未完成，不能声称已测得其对 B0 的配对不一致率。第 9 周完整方法和参数冻结后，使用另一批与第一轮、训练和正式测试均互斥的 120 个开发场景作配对先导，只按第 4 周锁定规则估计功效和选择正式 N，不再根据该批结果调参。两轮先导均不进入正式结果。</w:t>
      </w:r>
    </w:p>
    <w:p>
      <w:r>
        <w:rPr>
          <w:b w:val="0"/>
        </w:rPr>
        <w:t>正式主比较最低为十二层各 50 个场景，即每方法 600 个独立场景。结合第 9 周先导配对不一致率，按一侧家族 α=0.05、目标功效 0.8 并考虑多重校正所需的更严格检验水平估计成功与安全非劣样本量，从 600、1200、1800、2400 中选满足要求的最小 N，保持十二层平衡。从已冻结 2400 候选池按分层固定顺序取前 N 个，最终协议及 hash 固定后才可进入第 10 周盲测。若估计需超过 2400 或正式区间仍不足，结论为证据不足；不得根据测试 p 值追加样本。</w:t>
      </w:r>
    </w:p>
    <w:p>
      <w:r>
        <w:rPr>
          <w:b w:val="0"/>
        </w:rPr>
        <w:t>G3/B3 使用同一正式场景中的预注册固定机会回放；G4/B4 另用 200 个独立可恢复故障 episode；G5 使用 300 个域外组和 3 个训练种子。核心消融使用与主比较相同的正式 N 个场景，保持任务、种子和网络日程一致。实际机器时长和磁盘需求由基础先导测量并在方法冻结时更新；资源不足优先削减 G5、Isaac 和缓存扩展，不能用确定性提供者替换真实模型完成正式矩阵。</w:t>
      </w:r>
    </w:p>
    <w:p>
      <w:pPr>
        <w:pStyle w:val="Heading2"/>
      </w:pPr>
      <w:r>
        <w:t>8.6 统计方法与假设检验</w:t>
      </w:r>
    </w:p>
    <w:p>
      <w:r>
        <w:rPr>
          <w:b w:val="0"/>
        </w:rPr>
        <w:t>成功与安全以 episode 为统计单位，同场景方法差采用匹配二项比例区间或检验；连续指标按基础场景为簇、条件分层的配对 bootstrap，至少重采样 10000 次并报告 95% 区间</w:t>
      </w:r>
      <w:hyperlink w:anchor="ref_32">
        <w:r>
          <w:rPr>
            <w:color w:val="000000"/>
            <w:vertAlign w:val="superscript"/>
            <w:sz w:val="18"/>
          </w:rPr>
          <w:t>[32]</w:t>
        </w:r>
      </w:hyperlink>
      <w:r>
        <w:rPr>
          <w:b w:val="0"/>
        </w:rPr>
        <w:t>。均值、分位数与中位数对应具体目标分别给出，不能用中位数字节替代 G2a 的均值。G3 保持机会所属 episode 的聚类结构，G5 按场景与训练种子作层次重复，不把多帧和训练重复当作完全独立样本。零事件比例使用精确或 Wilson 单侧上界补充评价。</w:t>
      </w:r>
    </w:p>
    <w:p>
      <w:r>
        <w:rPr>
          <w:b w:val="0"/>
        </w:rPr>
        <w:t>G2 先要求成功率差一侧 95% 下界严格大于 −3 个百分点，物理安全违规率差一侧 95% 上界不超过 +1 个百分点，再判定请求均值减少是否至少 30%；多主假设按预先定义家族实施 Holm 校正，功效估计考虑其检验水平。报告名义区间、校正后检验及效应量，不能只凭无显著差异认定非劣。G3、G4 和次级 G2a 分别逐项验收，改善点估计达到目标且对应 95% 区间排除零时才称可靠改善。基线值为零时相对比例记 N/A 并给绝对值，不宣布该相对目标通过。</w:t>
      </w:r>
    </w:p>
    <w:p>
      <w:r>
        <w:rPr>
          <w:b w:val="0"/>
        </w:rPr>
        <w:t>统计输出区分达标、未达标和证据不足。达到某一绝对门槛并不代表相对优势成立，未达统计显著也不等于方法没有作用。W9 样本先导之后不得继续调参或按盲测结果扩大 N。跨模拟器扩展分别报告各后端效应，不合并两后端帧扩大样本数；若方向相反，先核查控制映射、接触模型和观测时序，再讨论后端依赖。</w:t>
      </w:r>
    </w:p>
    <w:p>
      <w:pPr>
        <w:pStyle w:val="Heading2"/>
      </w:pPr>
      <w:r>
        <w:t>8.7 数据溯源与接受门槛</w:t>
      </w:r>
    </w:p>
    <w:p>
      <w:r>
        <w:rPr>
          <w:b w:val="0"/>
        </w:rPr>
        <w:t>每条记录需含 source_sha、环境与设备摘要、后端类别、实际物理参数、任务与配对标识、提供者类型、模拟与墙钟时间、终态、失败原因和原始轨迹位置。分析输出保存输入清单及校验摘要，结果修正生成新版本，不覆盖历史原始证据。可视化、Dashboard 和原生轨迹文件用于辅助检查，结论仍需可回到原始事件与状态记录。</w:t>
      </w:r>
    </w:p>
    <w:p>
      <w:pPr>
        <w:keepNext/>
        <w:spacing w:after="80" w:line="240" w:lineRule="auto"/>
        <w:ind w:firstLine="0"/>
        <w:jc w:val="center"/>
      </w:pPr>
      <w:r>
        <w:drawing>
          <wp:inline xmlns:a="http://schemas.openxmlformats.org/drawingml/2006/main" xmlns:pic="http://schemas.openxmlformats.org/drawingml/2006/picture">
            <wp:extent cx="5852160" cy="3681984"/>
            <wp:docPr id="12" name="Picture 12" descr="图 3  当前基础与十二周研究验证路线" title="图 3  当前基础与十二周研究验证路线"/>
            <wp:cNvGraphicFramePr>
              <a:graphicFrameLocks noChangeAspect="1"/>
            </wp:cNvGraphicFramePr>
            <a:graphic>
              <a:graphicData uri="http://schemas.openxmlformats.org/drawingml/2006/picture">
                <pic:pic>
                  <pic:nvPicPr>
                    <pic:cNvPr id="0" name="experiment.png"/>
                    <pic:cNvPicPr/>
                  </pic:nvPicPr>
                  <pic:blipFill>
                    <a:blip r:embed="rId22"/>
                    <a:stretch>
                      <a:fillRect/>
                    </a:stretch>
                  </pic:blipFill>
                  <pic:spPr>
                    <a:xfrm>
                      <a:off x="0" y="0"/>
                      <a:ext cx="5852160" cy="3681984"/>
                    </a:xfrm>
                    <a:prstGeom prst="rect"/>
                  </pic:spPr>
                </pic:pic>
              </a:graphicData>
            </a:graphic>
          </wp:inline>
        </w:drawing>
      </w:r>
    </w:p>
    <w:p>
      <w:pPr>
        <w:pStyle w:val="Caption"/>
        <w:jc w:val="center"/>
      </w:pPr>
      <w:r>
        <w:t>图 3  当前基础与十二周研究验证路线</w:t>
      </w:r>
    </w:p>
    <w:p>
      <w:r>
        <w:rPr>
          <w:b w:val="0"/>
        </w:rPr>
        <w:t>进入确认分析的前提包括：后端类别真实、物理参数实际生效、初始条件在门槛内、动作语义一致、时间可匹配、任务终态可独立核验，以及失败记录完整。阻塞、配对失败或协议数据可以保留在总体清单中，但必须明确其不进入哪一项物理差距指标及原因。验证器接受门槛与实验脚本一同冻结，避免为了获得正向结果改变资格条件。</w:t>
      </w:r>
    </w:p>
    <w:p>
      <w:bookmarkStart w:id="10" w:name="sec_9"/>
      <w:pPr>
        <w:pStyle w:val="Heading1"/>
      </w:pPr>
      <w:r>
        <w:t>九、拟创新点与成果评价</w:t>
      </w:r>
      <w:bookmarkEnd w:id="10"/>
    </w:p>
    <w:p>
      <w:pPr>
        <w:pStyle w:val="Heading2"/>
      </w:pPr>
      <w:r>
        <w:t>9.1 创新内容与预期提升的对应</w:t>
      </w:r>
    </w:p>
    <w:p>
      <w:r>
        <w:rPr>
          <w:b w:val="0"/>
        </w:rPr>
        <w:t>本课题拟提出两项相互衔接的方法：C1 决定当前需要哪一种行动或信息，C2 约束行动依据并验证修复结果。创新评价聚焦感知证据如何改变决策、恢复范围及物理任务表现。研究保留原有双系统架构，把运行中反馈和最终验证纳入方法定义，使每项提升都能够定位到具体机制及对照实验。</w:t>
      </w:r>
    </w:p>
    <w:p>
      <w:pPr>
        <w:pStyle w:val="Caption"/>
        <w:keepNext/>
      </w:pPr>
      <w:r>
        <w:t>表 6  拟创新机制与预期提升的对应</w:t>
      </w:r>
    </w:p>
    <w:tbl>
      <w:tblPr>
        <w:tblW w:type="auto" w:w="0"/>
        <w:jc w:val="center"/>
        <w:tblLayout w:type="fixed"/>
        <w:tblLook w:firstColumn="1" w:firstRow="1" w:lastColumn="0" w:lastRow="0" w:noHBand="0" w:noVBand="1" w:val="04A0"/>
      </w:tblPr>
      <w:tblGrid>
        <w:gridCol w:w="1505"/>
        <w:gridCol w:w="2163"/>
        <w:gridCol w:w="2634"/>
        <w:gridCol w:w="3104"/>
      </w:tblGrid>
      <w:tr>
        <w:trPr>
          <w:cantSplit/>
          <w:tblHeader/>
        </w:trPr>
        <w:tc>
          <w:tcPr>
            <w:tcW w:type="dxa" w:w="150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shd w:fill="EDEDED"/>
          </w:tcPr>
          <w:p>
            <w:pPr>
              <w:spacing w:after="0" w:line="320" w:lineRule="exact"/>
              <w:ind w:firstLine="0"/>
              <w:jc w:val="center"/>
            </w:pPr>
            <w:r>
              <w:rPr>
                <w:b/>
                <w:sz w:val="21"/>
              </w:rPr>
              <w:t>研究内容</w:t>
            </w:r>
          </w:p>
        </w:tc>
        <w:tc>
          <w:tcPr>
            <w:tcW w:type="dxa" w:w="2163"/>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shd w:fill="EDEDED"/>
          </w:tcPr>
          <w:p>
            <w:pPr>
              <w:spacing w:after="0" w:line="320" w:lineRule="exact"/>
              <w:ind w:firstLine="0"/>
              <w:jc w:val="center"/>
            </w:pPr>
            <w:r>
              <w:rPr>
                <w:b/>
                <w:sz w:val="21"/>
              </w:rPr>
              <w:t>现有方法的比较点</w:t>
            </w:r>
          </w:p>
        </w:tc>
        <w:tc>
          <w:tcPr>
            <w:tcW w:type="dxa" w:w="263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shd w:fill="EDEDED"/>
          </w:tcPr>
          <w:p>
            <w:pPr>
              <w:spacing w:after="0" w:line="320" w:lineRule="exact"/>
              <w:ind w:firstLine="0"/>
              <w:jc w:val="center"/>
            </w:pPr>
            <w:r>
              <w:rPr>
                <w:b/>
                <w:sz w:val="21"/>
              </w:rPr>
              <w:t>拟新增机制</w:t>
            </w:r>
          </w:p>
        </w:tc>
        <w:tc>
          <w:tcPr>
            <w:tcW w:type="dxa" w:w="310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shd w:fill="EDEDED"/>
          </w:tcPr>
          <w:p>
            <w:pPr>
              <w:spacing w:after="0" w:line="320" w:lineRule="exact"/>
              <w:ind w:firstLine="0"/>
              <w:jc w:val="center"/>
            </w:pPr>
            <w:r>
              <w:rPr>
                <w:b/>
                <w:sz w:val="21"/>
              </w:rPr>
              <w:t>预期提升及判据</w:t>
            </w:r>
          </w:p>
        </w:tc>
      </w:tr>
      <w:tr>
        <w:trPr>
          <w:cantSplit/>
        </w:trPr>
        <w:tc>
          <w:tcPr>
            <w:tcW w:type="dxa" w:w="150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C1 云边协同决策</w:t>
            </w:r>
          </w:p>
        </w:tc>
        <w:tc>
          <w:tcPr>
            <w:tcW w:type="dxa" w:w="2163"/>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B0 周期监督、B1 固定阈值、B2 规则 AUTO</w:t>
            </w:r>
          </w:p>
        </w:tc>
        <w:tc>
          <w:tcPr>
            <w:tcW w:type="dxa" w:w="263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校准感知风险、动作时效与实测成本联合选择有限动作</w:t>
            </w:r>
          </w:p>
        </w:tc>
        <w:tc>
          <w:tcPr>
            <w:tcW w:type="dxa" w:w="310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G2 云请求均值降低 ≥30%，成功与风险非劣同时通过</w:t>
            </w:r>
          </w:p>
        </w:tc>
      </w:tr>
      <w:tr>
        <w:trPr>
          <w:cantSplit/>
        </w:trPr>
        <w:tc>
          <w:tcPr>
            <w:tcW w:type="dxa" w:w="150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C2 视觉证据门控</w:t>
            </w:r>
          </w:p>
        </w:tc>
        <w:tc>
          <w:tcPr>
            <w:tcW w:type="dxa" w:w="2163"/>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B3 时间阈值和确定性检查</w:t>
            </w:r>
          </w:p>
        </w:tc>
        <w:tc>
          <w:tcPr>
            <w:tcW w:type="dxa" w:w="263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观测身份、误差界、运动界与动作时长共同限定权限</w:t>
            </w:r>
          </w:p>
        </w:tc>
        <w:tc>
          <w:tcPr>
            <w:tcW w:type="dxa" w:w="310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G3 误放行相对降低 ≥50%，绝对 ≤2%，错误拒绝 ≤5%</w:t>
            </w:r>
          </w:p>
        </w:tc>
      </w:tr>
      <w:tr>
        <w:trPr>
          <w:cantSplit/>
        </w:trPr>
        <w:tc>
          <w:tcPr>
            <w:tcW w:type="dxa" w:w="150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C2 验证驱动修复</w:t>
            </w:r>
          </w:p>
        </w:tc>
        <w:tc>
          <w:tcPr>
            <w:tcW w:type="dxa" w:w="2163"/>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B4 重规划全部未完成任务</w:t>
            </w:r>
          </w:p>
        </w:tc>
        <w:tc>
          <w:tcPr>
            <w:tcW w:type="dxa" w:w="263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定位失效依赖，修复最小未完成部分，以新观测复核效果</w:t>
            </w:r>
          </w:p>
        </w:tc>
        <w:tc>
          <w:tcPr>
            <w:tcW w:type="dxa" w:w="310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G4 恢复成功 ≥80%，惩罚恢复耗时中位数降低 ≥30%，不可重复动作重放为 0</w:t>
            </w:r>
          </w:p>
        </w:tc>
      </w:tr>
      <w:tr>
        <w:trPr>
          <w:cantSplit/>
        </w:trPr>
        <w:tc>
          <w:tcPr>
            <w:tcW w:type="dxa" w:w="150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支撑与扩展</w:t>
            </w:r>
          </w:p>
        </w:tc>
        <w:tc>
          <w:tcPr>
            <w:tcW w:type="dxa" w:w="2163"/>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共享工程基础及 B5 均匀采样</w:t>
            </w:r>
          </w:p>
        </w:tc>
        <w:tc>
          <w:tcPr>
            <w:tcW w:type="dxa" w:w="263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数据分组、来源追踪、真实执行、可选定向采样</w:t>
            </w:r>
          </w:p>
        </w:tc>
        <w:tc>
          <w:tcPr>
            <w:tcW w:type="dxa" w:w="310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支撑 G0/G1；G5 域外提升 ≥5 个百分点为可选目标</w:t>
            </w:r>
          </w:p>
        </w:tc>
      </w:tr>
    </w:tbl>
    <w:p>
      <w:pPr>
        <w:spacing w:after="0" w:line="80" w:lineRule="exact"/>
        <w:ind w:firstLine="0"/>
      </w:pPr>
      <w:r>
        <w:rPr>
          <w:sz w:val="8"/>
        </w:rPr>
      </w:r>
    </w:p>
    <w:p>
      <w:pPr>
        <w:pStyle w:val="Heading2"/>
      </w:pPr>
      <w:r>
        <w:t>9.2 创新一 感知不确定性与动作时效约束的云边决策</w:t>
      </w:r>
    </w:p>
    <w:p>
      <w:r>
        <w:rPr>
          <w:b w:val="0"/>
        </w:rPr>
        <w:t>C1 的研究对象是执行中的信息需求与行动选择。固定周期难以区分平稳场景和突发证据失效；固定阈值也不能充分表达不同动作对误差和延迟的容忍度。本方法拟把 RGB-D 可观测特征校准为失败风险，用动作允许误差和持续时间确定证据是否仍可用，再比较继续执行、重观测、本地恢复、云端求助与停止的条件成本。决策输出在提交时重新核验，并由下一次实际反馈更新，避免把一次模式选择当作持续适应。</w:t>
      </w:r>
    </w:p>
    <w:p>
      <w:r>
        <w:rPr>
          <w:b w:val="0"/>
        </w:rPr>
        <w:t>例如，目标仍可见但深度暂缺时，重新采集可能比完整云端重规划更直接地补足证据；目标及依赖均稳定时，有效技能可继续执行，减少冗余请求；现场证据已经充分而现有技能无法完成新意图时，再请求云端。该方法预期通过区分不确定性的来源减少无效求助，而不是以放宽几何或安全约束换取少调用。具体选择仍需由校准数据和真实成本确定。</w:t>
      </w:r>
    </w:p>
    <w:p>
      <w:r>
        <w:rPr>
          <w:b w:val="0"/>
        </w:rPr>
        <w:t>相对合理调参 B0，G2 要求每分配任务云请求均值降低至少 30%，同时成功率差的一侧 95% 下界大于 −3 个百分点、物理违规率差的一侧 95% 上界不超过 +1 个百分点。B1、B2 比较及去不确定性、去时效性消融用于判断收益来源。字节均值降低至少 25% 和惩罚任务耗时 P95 降低至少 15% 为 G2a 次级目标，分别报告，不从调用次数推导时延或能耗结论。</w:t>
      </w:r>
    </w:p>
    <w:p>
      <w:r>
        <w:rPr>
          <w:b w:val="0"/>
        </w:rPr>
        <w:t>不确定性卸载和延迟云边协同已有相关研究</w:t>
      </w:r>
      <w:hyperlink w:anchor="ref_35">
        <w:r>
          <w:rPr>
            <w:color w:val="000000"/>
            <w:vertAlign w:val="superscript"/>
            <w:sz w:val="18"/>
          </w:rPr>
          <w:t>[35]</w:t>
        </w:r>
      </w:hyperlink>
      <w:hyperlink w:anchor="ref_38">
        <w:r>
          <w:rPr>
            <w:color w:val="000000"/>
            <w:vertAlign w:val="superscript"/>
            <w:sz w:val="18"/>
          </w:rPr>
          <w:t>[38]</w:t>
        </w:r>
      </w:hyperlink>
      <w:r>
        <w:rPr>
          <w:b w:val="0"/>
        </w:rPr>
        <w:t>。本课题的潜在增量在于将动作几何证据的有效性、重观测和局部恢复纳入同一运行中决策，并在成功与风险非劣约束下验证其收益。类型化问题与程序编排借鉴 Jev 的工程思路</w:t>
      </w:r>
      <w:hyperlink w:anchor="ref_41">
        <w:r>
          <w:rPr>
            <w:color w:val="000000"/>
            <w:vertAlign w:val="superscript"/>
            <w:sz w:val="18"/>
          </w:rPr>
          <w:t>[41]</w:t>
        </w:r>
      </w:hyperlink>
      <w:r>
        <w:rPr>
          <w:b w:val="0"/>
        </w:rPr>
        <w:t>；接入某个模型、增加输出类别或缩短单次推理本身不作为 C1 成立依据。</w:t>
      </w:r>
    </w:p>
    <w:p>
      <w:pPr>
        <w:pStyle w:val="Heading2"/>
      </w:pPr>
      <w:r>
        <w:t>9.3 创新二 视觉证据契约与验证驱动的最小局部修复</w:t>
      </w:r>
    </w:p>
    <w:p>
      <w:r>
        <w:rPr>
          <w:b w:val="0"/>
        </w:rPr>
        <w:t>C2 的研究对象是证据失效如何传播，以及恢复到何种范围才足够。契约把观测身份、标定版本、几何误差界、目标运动与预计动作时长关联到步骤前置条件和效果依赖。新证据失效后，方法拟识别受影响的未完成部分，保留经复核仍成立的已完成效果，生成局部补丁，并在真实提交前再次核验。这里的“最小”指依据当前依赖关系选择必要修复范围，不预先宣称得到全局最短恢复轨迹。</w:t>
      </w:r>
    </w:p>
    <w:p>
      <w:r>
        <w:rPr>
          <w:b w:val="0"/>
        </w:rPr>
        <w:t>例如，物体抓取已由新观测确认，而放置区域发生变化时，只重算受影响的运输及放置部分，保留已确认抓取效果；若放置动作返回成功但最终观测证据不足，则有限重观测；若证据显示放置失败且满足恢复条件，则重新进入修复。事件只有在执行后的在线复核通过才关闭。无进展和绝对预算保证重复重观测或同因事件不会延长任务至无限等待。独立评价器只用于事后检验，避免把仿真真值作为恢复捷径。</w:t>
      </w:r>
    </w:p>
    <w:p>
      <w:r>
        <w:rPr>
          <w:b w:val="0"/>
        </w:rPr>
        <w:t>G3 在固定机会回放中检验门控，相对 B3 误放行降低至少 50%，且绝对误放行不超过 2%、有效安全机会错误拒绝不超过 5%。G4 用独立冻结的 200 个可恢复故障 episode 检验真实闭环，相对同样保护已完成效果的 B4，恢复成功率至少 80%，惩罚恢复耗时中位数降低至少 30%，已完成不可重复动作重放为零。修复步骤数、重复提交、误报完成和无进展终止用于解释结果；快照回放不替代物理恢复证据。</w:t>
      </w:r>
    </w:p>
    <w:p>
      <w:r>
        <w:rPr>
          <w:b w:val="0"/>
        </w:rPr>
        <w:t>安全契约和执行前检查已有研究</w:t>
      </w:r>
      <w:hyperlink w:anchor="ref_39">
        <w:r>
          <w:rPr>
            <w:color w:val="000000"/>
            <w:vertAlign w:val="superscript"/>
            <w:sz w:val="18"/>
          </w:rPr>
          <w:t>[39]</w:t>
        </w:r>
      </w:hyperlink>
      <w:r>
        <w:rPr>
          <w:b w:val="0"/>
        </w:rPr>
        <w:t>。C2 的潜在增量在于让感知不确定性和动作时效共同决定证据依赖是否成立，并以此选择修复范围、验证恢复效果。接受回执、版本检查与幂等性是保证比较有效的公共实现条件，须同步用于基线，不能以基线的错误执行抬高方法优势。</w:t>
      </w:r>
    </w:p>
    <w:p>
      <w:pPr>
        <w:pStyle w:val="Heading2"/>
      </w:pPr>
      <w:r>
        <w:t>9.4 工程支撑与创新成立条件</w:t>
      </w:r>
    </w:p>
    <w:p>
      <w:r>
        <w:rPr>
          <w:b w:val="0"/>
        </w:rPr>
        <w:t>专利文稿提供整体方法结构；已有 PCSC、ETEAC、AUTO、SafetyShield 和设备适配提供工程基础；论文贡献由算法、条件、公平对照及消融建立。MuJoCo 数据工厂、物理教师与证据追踪支撑 C1/C2，不单列第三项必达创新。资源允许时检验 G5，在同等训练组数、步数和固定 VLM 下，与均匀随机化及普通失败采样比较</w:t>
      </w:r>
      <w:hyperlink w:anchor="ref_37">
        <w:r>
          <w:rPr>
            <w:color w:val="000000"/>
            <w:vertAlign w:val="superscript"/>
            <w:sz w:val="18"/>
          </w:rPr>
          <w:t>[37]</w:t>
        </w:r>
      </w:hyperlink>
      <w:hyperlink w:anchor="ref_40">
        <w:r>
          <w:rPr>
            <w:color w:val="000000"/>
            <w:vertAlign w:val="superscript"/>
            <w:sz w:val="18"/>
          </w:rPr>
          <w:t>[40]</w:t>
        </w:r>
      </w:hyperlink>
      <w:r>
        <w:rPr>
          <w:b w:val="0"/>
        </w:rPr>
        <w:t>。Jev、本地判断模型、Isaac 与技能缓存均为独立扩展。</w:t>
      </w:r>
    </w:p>
    <w:p>
      <w:r>
        <w:rPr>
          <w:b w:val="0"/>
        </w:rPr>
        <w:t>所有提升数值目前均为待检验目标。C1 需 G2 同时通过，C2 需 G3 与 G4 同时通过；达到点估计门槛且改善区间排除零，才报告可靠改善。若一项成立而另一项未达标，则分别报告；功效不足记证据不足，效应相反则保留负结果及适用边界。当前 RGB-D 采集验收支持开展研究，但不为后续方法收益背书。</w:t>
      </w:r>
    </w:p>
    <w:p>
      <w:bookmarkStart w:id="11" w:name="sec_10"/>
      <w:pPr>
        <w:pStyle w:val="Heading1"/>
      </w:pPr>
      <w:r>
        <w:t>十、可行性、风险与研究保障</w:t>
      </w:r>
      <w:bookmarkEnd w:id="11"/>
    </w:p>
    <w:p>
      <w:pPr>
        <w:pStyle w:val="Heading2"/>
      </w:pPr>
      <w:r>
        <w:t>10.1 技术与工程可行性</w:t>
      </w:r>
    </w:p>
    <w:p>
      <w:r>
        <w:rPr>
          <w:b w:val="0"/>
        </w:rPr>
        <w:t>现有统一契约、两类协同模式、安全监督、事件仓库和运行队列可以复用，MuJoCo 已有物理后端及通过阶段验收的同步 RGB-D 采集，ROS 2、MoveIt 及 Isaac 已有各自范围的模拟运行证据</w:t>
      </w:r>
      <w:hyperlink w:anchor="ref_34">
        <w:r>
          <w:rPr>
            <w:color w:val="000000"/>
            <w:vertAlign w:val="superscript"/>
            <w:sz w:val="18"/>
          </w:rPr>
          <w:t>[34]</w:t>
        </w:r>
      </w:hyperlink>
      <w:r>
        <w:rPr>
          <w:b w:val="0"/>
        </w:rPr>
        <w:t>。后续工作采用现有 Python、MuJoCo 和前端技术栈，不从零替换系统。下一步推进静态数据工厂、真实 VLM 与物理技能，再贯通同 episode 的基本闭环。在线三值验证及事件路由先于高级决策实现，使后续校准、证据契约和修复共用一致接口。</w:t>
      </w:r>
    </w:p>
    <w:p>
      <w:r>
        <w:rPr>
          <w:b w:val="0"/>
        </w:rPr>
        <w:t>资源假设为现有本地设备、单人每周 25—30 小时、十二周合计 300—360 人时。基础 VLM 固定，仅拟合轻量风险与恢复模块，避免将通用视觉语言动作模型从头训练加入核心工作。第 2 周以真实双图调用测量模型延迟、显存和响应有效性后冻结配置；第 4 周根据实测每组数据大小、渲染速度和各候选样本量的运行成本估算机器时长与磁盘需求。人时与机器运行时分别记录，不将“后台可运行”视为无限算力。</w:t>
      </w:r>
    </w:p>
    <w:p>
      <w:r>
        <w:rPr>
          <w:b w:val="0"/>
        </w:rPr>
        <w:t>历史完整实验未通过验收提示了清楚的工作边界：部署通过不等于真实模型可用，MuJoCo 中有物理步进不等于高层技能已经驱动了物理抓放，模拟设备接口兼容也不等于跨引擎公平对照。新研究分开验收输入真实性、模型真实性、动作真实性和统计结论，历史记录仅用于定位缺口，不并入新的正式实验分母。</w:t>
      </w:r>
    </w:p>
    <w:p>
      <w:pPr>
        <w:pStyle w:val="Heading2"/>
      </w:pPr>
      <w:r>
        <w:t>10.2 主要风险与对应措施</w:t>
      </w:r>
    </w:p>
    <w:p>
      <w:r>
        <w:rPr>
          <w:b w:val="0"/>
        </w:rPr>
        <w:t>真实本地模型不可用或推理过慢时，继续可独立开展的无模型数据生产和物理教师开发，保留 BLOCKED；不能将文字模型或 MOCK 升格为正式视觉基线。第 2 周若候选配置不满足运行条件，只能在开发与验证阶段调整模型、量化和图像规模并重新冻结；正式测试后禁止通过临时换模型保留有利结果。推理等待期间的场景演化应采用已定义的墙钟与仿真时间映射，不能暂停物体运动以消除延迟效应。</w:t>
      </w:r>
    </w:p>
    <w:p>
      <w:r>
        <w:rPr>
          <w:b w:val="0"/>
        </w:rPr>
        <w:t>物理抓取与接触质量不足时，先完成平顶刚性块、固定顶视和顶抓技能的受控集合，再扩展物体与扰动。初始状态设置和动作执行严格区分，抓取成功必须由接触、提升和稳定放置验证。第 4 周尚未达到真实闭环时，削减 G5、Isaac 和缓存扩展，将资源转向 G0、G1；不得用状态直接赋值替代物理技能。第 8 周局部恢复仍无法闭环时，保留 C1 研究并标明 C2 未完成。</w:t>
      </w:r>
    </w:p>
    <w:p>
      <w:r>
        <w:rPr>
          <w:b w:val="0"/>
        </w:rPr>
        <w:t>判断提供者超时或拒答时按确定性路径回退，记录成本、原因及任务影响；新增远程判断不作为降低云请求的隐性手段。恢复缺少可观测进展时按持久预算终止，防止“持续运行”被误报为完成能力。不确定性估计可能在未见条件下失准，因此使用独立校准集，报告可靠性与覆盖曲线，对无效深度、标定不匹配或无法估计的运动界输出 UNKNOWN。证据门控过度保守时，同时检查错误拒绝、等待时长和任务成功率；通过观测更新或局部修复改善推进能力，不能降低硬安全约束来换取成功。AUTO 的切换抖动由验证集冻结的驻留、滞回与切换成本约束，硬停止保持独立优先级。</w:t>
      </w:r>
    </w:p>
    <w:p>
      <w:r>
        <w:rPr>
          <w:b w:val="0"/>
        </w:rPr>
        <w:t>数据泄露和统计重复通过基础场景、episode、变体来源及近重复检查共同控制。在线特征只能使用实际观测和校准估计，目标真值、真实定位误差与故障标签只供离线训练或独立评价。测试数据不得用于发现训练薄弱点；同场景多帧与多训练种子不得冒充独立样本。全部阻塞、超时和安全停止保留，只有记录确认的基础设施损坏允许按预定规则成对重跑，不能重试任务直到成功再记账。</w:t>
      </w:r>
    </w:p>
    <w:p>
      <w:r>
        <w:rPr>
          <w:b w:val="0"/>
        </w:rPr>
        <w:t>正式统计可能无法达到非劣功效或成本改善目标。措施是在完整方法冻结后，用第 9 周独立先导按既定规则锁定样本量；超过 2400 的估计需求、宽置信区间或零基线均据实处理，不以追加有利样本或放宽阈值解决。跨引擎控制语义无法匹配时输出不可比较，Isaac 扩展不阻塞 MuJoCo 主结果；其差异也不得被解释为真实设备迁移误差。</w:t>
      </w:r>
    </w:p>
    <w:p>
      <w:pPr>
        <w:pStyle w:val="Heading2"/>
      </w:pPr>
      <w:r>
        <w:t>10.3 研究边界与成果真实性</w:t>
      </w:r>
    </w:p>
    <w:p>
      <w:r>
        <w:rPr>
          <w:b w:val="0"/>
        </w:rPr>
        <w:t>本阶段所有物理执行均在模拟设备中完成，真实硬件执行权限保持关闭。同一主机进程隔离加网络注入称为模拟云边部署；报告中的安全指已定义约束和观测条件下的经验结果，不构成真实设备安全认证。G0 的 100% 指已发生阶段的真实路径与来源可审计，提前阻塞的未执行阶段应标 NOT_EXECUTED；通过来源审计不等于全部任务都已完成。</w:t>
      </w:r>
    </w:p>
    <w:p>
      <w:r>
        <w:rPr>
          <w:b w:val="0"/>
        </w:rPr>
        <w:t>引用文献以原论文、出版社或作者发布记录为依据，预印本明确著录为预印本。用户专利文稿单列为内部资料，不推断申请人、公开号或授权状态。保留原课题题目和专利研究基础，若学校提供格式模板，可调整版式而不改变目标、引用和证据口径；本报告不编造作者、导师、学校或专业信息。</w:t>
      </w:r>
    </w:p>
    <w:p>
      <w:bookmarkStart w:id="12" w:name="sec_11"/>
      <w:pPr>
        <w:pStyle w:val="Heading1"/>
      </w:pPr>
      <w:r>
        <w:t>十一、研究计划与预期成果</w:t>
      </w:r>
      <w:bookmarkEnd w:id="12"/>
    </w:p>
    <w:p>
      <w:pPr>
        <w:pStyle w:val="Heading2"/>
      </w:pPr>
      <w:r>
        <w:t>11.1 阶段安排</w:t>
      </w:r>
    </w:p>
    <w:p>
      <w:r>
        <w:rPr>
          <w:b w:val="0"/>
        </w:rPr>
        <w:t>用户确认完整周期为十二周。排期假设从 2026 年 10 月 5 日开始，到 2026 年 12 月 27 日结束；实际启动日变化时整体平移，依赖关系和验收门槛保持不变。P1 来源审计与同步 RGB-D 已于排期开始前完成，W1 接续验收后的任务，不重复开发或计为新创新。第 4 周先冻结场景、超时、目标与样本规则；第 9 周在完整方法可运行后，以新的独立先导按既定规则填入正式 N，生成最终协议 hash，然后进入盲测。</w:t>
      </w:r>
    </w:p>
    <w:p>
      <w:pPr>
        <w:pStyle w:val="Caption"/>
        <w:keepNext/>
      </w:pPr>
      <w:r>
        <w:t>表 7  十二周研究进度与放行条件</w:t>
      </w:r>
    </w:p>
    <w:tbl>
      <w:tblPr>
        <w:tblW w:type="auto" w:w="0"/>
        <w:jc w:val="center"/>
        <w:tblLayout w:type="fixed"/>
        <w:tblLook w:firstColumn="1" w:firstRow="1" w:lastColumn="0" w:lastRow="0" w:noHBand="0" w:noVBand="1" w:val="04A0"/>
      </w:tblPr>
      <w:tblGrid>
        <w:gridCol w:w="2069"/>
        <w:gridCol w:w="3198"/>
        <w:gridCol w:w="4139"/>
      </w:tblGrid>
      <w:tr>
        <w:trPr>
          <w:cantSplit/>
          <w:tblHeader/>
        </w:trPr>
        <w:tc>
          <w:tcPr>
            <w:tcW w:type="dxa" w:w="206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shd w:fill="EDEDED"/>
          </w:tcPr>
          <w:p>
            <w:pPr>
              <w:spacing w:after="0" w:line="320" w:lineRule="exact"/>
              <w:ind w:firstLine="0"/>
              <w:jc w:val="center"/>
            </w:pPr>
            <w:r>
              <w:rPr>
                <w:b/>
                <w:sz w:val="21"/>
              </w:rPr>
              <w:t>周次与日期</w:t>
            </w:r>
          </w:p>
        </w:tc>
        <w:tc>
          <w:tcPr>
            <w:tcW w:type="dxa" w:w="3198"/>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shd w:fill="EDEDED"/>
          </w:tcPr>
          <w:p>
            <w:pPr>
              <w:spacing w:after="0" w:line="320" w:lineRule="exact"/>
              <w:ind w:firstLine="0"/>
              <w:jc w:val="center"/>
            </w:pPr>
            <w:r>
              <w:rPr>
                <w:b/>
                <w:sz w:val="21"/>
              </w:rPr>
              <w:t>主要任务</w:t>
            </w:r>
          </w:p>
        </w:tc>
        <w:tc>
          <w:tcPr>
            <w:tcW w:type="dxa" w:w="413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shd w:fill="EDEDED"/>
          </w:tcPr>
          <w:p>
            <w:pPr>
              <w:spacing w:after="0" w:line="320" w:lineRule="exact"/>
              <w:ind w:firstLine="0"/>
              <w:jc w:val="center"/>
            </w:pPr>
            <w:r>
              <w:rPr>
                <w:b/>
                <w:sz w:val="21"/>
              </w:rPr>
              <w:t>阶段成果与通过条件</w:t>
            </w:r>
          </w:p>
        </w:tc>
      </w:tr>
      <w:tr>
        <w:trPr>
          <w:cantSplit/>
        </w:trPr>
        <w:tc>
          <w:tcPr>
            <w:tcW w:type="dxa" w:w="206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W1 10月5—11日</w:t>
            </w:r>
          </w:p>
        </w:tc>
        <w:tc>
          <w:tcPr>
            <w:tcW w:type="dxa" w:w="3198"/>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接续已验收 P1，启动静态数据工厂及 VLM、技能分支</w:t>
            </w:r>
          </w:p>
        </w:tc>
        <w:tc>
          <w:tcPr>
            <w:tcW w:type="dxa" w:w="413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SceneSpec 与组划分、100组数据验收；模型与技能各保留真实证据</w:t>
            </w:r>
          </w:p>
        </w:tc>
      </w:tr>
      <w:tr>
        <w:trPr>
          <w:cantSplit/>
        </w:trPr>
        <w:tc>
          <w:tcPr>
            <w:tcW w:type="dxa" w:w="206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W2 10月12—18日</w:t>
            </w:r>
          </w:p>
        </w:tc>
        <w:tc>
          <w:tcPr>
            <w:tcW w:type="dxa" w:w="3198"/>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本地真实 VLM、像素定位及深度落地</w:t>
            </w:r>
          </w:p>
        </w:tc>
        <w:tc>
          <w:tcPr>
            <w:tcW w:type="dxa" w:w="413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双图实际调用，越界与无效深度拒绝，模型配置冻结</w:t>
            </w:r>
          </w:p>
        </w:tc>
      </w:tr>
      <w:tr>
        <w:trPr>
          <w:cantSplit/>
        </w:trPr>
        <w:tc>
          <w:tcPr>
            <w:tcW w:type="dxa" w:w="206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W3 10月19—25日</w:t>
            </w:r>
          </w:p>
        </w:tc>
        <w:tc>
          <w:tcPr>
            <w:tcW w:type="dxa" w:w="3198"/>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物理技能、教师与同 episode 基础闭环</w:t>
            </w:r>
          </w:p>
        </w:tc>
        <w:tc>
          <w:tcPr>
            <w:tcW w:type="dxa" w:w="413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动作后新观测、在线三值验证和基础事件路由；20个episode冒烟</w:t>
            </w:r>
          </w:p>
        </w:tc>
      </w:tr>
      <w:tr>
        <w:trPr>
          <w:cantSplit/>
        </w:trPr>
        <w:tc>
          <w:tcPr>
            <w:tcW w:type="dxa" w:w="206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W4 10月26日—11月1日</w:t>
            </w:r>
          </w:p>
        </w:tc>
        <w:tc>
          <w:tcPr>
            <w:tcW w:type="dxa" w:w="3198"/>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数据扩展、成本账本、120场景基础先导</w:t>
            </w:r>
          </w:p>
        </w:tc>
        <w:tc>
          <w:tcPr>
            <w:tcW w:type="dxa" w:w="413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G0、G1初检；锁场景、超时、样本规则与实际机器预算</w:t>
            </w:r>
          </w:p>
        </w:tc>
      </w:tr>
      <w:tr>
        <w:trPr>
          <w:cantSplit/>
        </w:trPr>
        <w:tc>
          <w:tcPr>
            <w:tcW w:type="dxa" w:w="206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W5 11月2—8日</w:t>
            </w:r>
          </w:p>
        </w:tc>
        <w:tc>
          <w:tcPr>
            <w:tcW w:type="dxa" w:w="3198"/>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风险估计和独立校准</w:t>
            </w:r>
          </w:p>
        </w:tc>
        <w:tc>
          <w:tcPr>
            <w:tcW w:type="dxa" w:w="413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输入不含真值，概率可靠性和误差界覆盖可复现</w:t>
            </w:r>
          </w:p>
        </w:tc>
      </w:tr>
      <w:tr>
        <w:trPr>
          <w:cantSplit/>
        </w:trPr>
        <w:tc>
          <w:tcPr>
            <w:tcW w:type="dxa" w:w="206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W6 11月9—15日</w:t>
            </w:r>
          </w:p>
        </w:tc>
        <w:tc>
          <w:tcPr>
            <w:tcW w:type="dxa" w:w="3198"/>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视觉证据契约、有效期与 B3</w:t>
            </w:r>
          </w:p>
        </w:tc>
        <w:tc>
          <w:tcPr>
            <w:tcW w:type="dxa" w:w="413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UNKNOWN、过期、乱序、标定和版本冲突均有回归证据</w:t>
            </w:r>
          </w:p>
        </w:tc>
      </w:tr>
      <w:tr>
        <w:trPr>
          <w:cantSplit/>
        </w:trPr>
        <w:tc>
          <w:tcPr>
            <w:tcW w:type="dxa" w:w="206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W7 11月16—22日</w:t>
            </w:r>
          </w:p>
        </w:tc>
        <w:tc>
          <w:tcPr>
            <w:tcW w:type="dxa" w:w="3198"/>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有限候选决策及公平 B0/B1/B2</w:t>
            </w:r>
          </w:p>
        </w:tc>
        <w:tc>
          <w:tcPr>
            <w:tcW w:type="dxa" w:w="413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规则及校准成本提供者、拒答回退、提交复核、独立周期与防抖</w:t>
            </w:r>
          </w:p>
        </w:tc>
      </w:tr>
      <w:tr>
        <w:trPr>
          <w:cantSplit/>
        </w:trPr>
        <w:tc>
          <w:tcPr>
            <w:tcW w:type="dxa" w:w="206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W8 11月23—29日</w:t>
            </w:r>
          </w:p>
        </w:tc>
        <w:tc>
          <w:tcPr>
            <w:tcW w:type="dxa" w:w="3198"/>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验证驱动的局部修复与 B4</w:t>
            </w:r>
          </w:p>
        </w:tc>
        <w:tc>
          <w:tcPr>
            <w:tcW w:type="dxa" w:w="413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最终验证接回恢复，预算跨事件保留，区分接受、激活与实际启动</w:t>
            </w:r>
          </w:p>
        </w:tc>
      </w:tr>
      <w:tr>
        <w:trPr>
          <w:cantSplit/>
        </w:trPr>
        <w:tc>
          <w:tcPr>
            <w:tcW w:type="dxa" w:w="206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W9 11月30日—12月6日</w:t>
            </w:r>
          </w:p>
        </w:tc>
        <w:tc>
          <w:tcPr>
            <w:tcW w:type="dxa" w:w="3198"/>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运行及统计工具就绪、方法冻结、另120场景先导</w:t>
            </w:r>
          </w:p>
        </w:tc>
        <w:tc>
          <w:tcPr>
            <w:tcW w:type="dxa" w:w="413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按既定规则锁 N 与最终协议，先导不调参且不入测试</w:t>
            </w:r>
          </w:p>
        </w:tc>
      </w:tr>
      <w:tr>
        <w:trPr>
          <w:cantSplit/>
        </w:trPr>
        <w:tc>
          <w:tcPr>
            <w:tcW w:type="dxa" w:w="206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W10 12月7—13日</w:t>
            </w:r>
          </w:p>
        </w:tc>
        <w:tc>
          <w:tcPr>
            <w:tcW w:type="dxa" w:w="3198"/>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正式主比较、门控回放及恢复实验</w:t>
            </w:r>
          </w:p>
        </w:tc>
        <w:tc>
          <w:tcPr>
            <w:tcW w:type="dxa" w:w="413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按 G2/G3/G4 分别判定，保留失败及完整配对记录</w:t>
            </w:r>
          </w:p>
        </w:tc>
      </w:tr>
      <w:tr>
        <w:trPr>
          <w:cantSplit/>
        </w:trPr>
        <w:tc>
          <w:tcPr>
            <w:tcW w:type="dxa" w:w="206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W11 12月14—20日</w:t>
            </w:r>
          </w:p>
        </w:tc>
        <w:tc>
          <w:tcPr>
            <w:tcW w:type="dxa" w:w="3198"/>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核心复现、失败分析与可选扩展</w:t>
            </w:r>
          </w:p>
        </w:tc>
        <w:tc>
          <w:tcPr>
            <w:tcW w:type="dxa" w:w="413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主证据优先；资源允许再做 G5、Isaac 或缓存</w:t>
            </w:r>
          </w:p>
        </w:tc>
      </w:tr>
      <w:tr>
        <w:trPr>
          <w:cantSplit/>
        </w:trPr>
        <w:tc>
          <w:tcPr>
            <w:tcW w:type="dxa" w:w="206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W12 12月21—27日</w:t>
            </w:r>
          </w:p>
        </w:tc>
        <w:tc>
          <w:tcPr>
            <w:tcW w:type="dxa" w:w="3198"/>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论文、演示、数据和复现交付</w:t>
            </w:r>
          </w:p>
        </w:tc>
        <w:tc>
          <w:tcPr>
            <w:tcW w:type="dxa" w:w="413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原始记录重建图表，逐项目标核验，说明适用边界</w:t>
            </w:r>
          </w:p>
        </w:tc>
      </w:tr>
    </w:tbl>
    <w:p>
      <w:pPr>
        <w:spacing w:after="0" w:line="80" w:lineRule="exact"/>
        <w:ind w:firstLine="0"/>
      </w:pPr>
      <w:r>
        <w:rPr>
          <w:sz w:val="8"/>
        </w:rPr>
      </w:r>
    </w:p>
    <w:p>
      <w:r>
        <w:rPr>
          <w:b w:val="0"/>
        </w:rPr>
        <w:t>详细开发任务、代码接口、测试断言和依赖见仓库中的开发执行计划，其统一目标依据为本报告对应的研究设计文件</w:t>
      </w:r>
      <w:hyperlink w:anchor="ref_34">
        <w:r>
          <w:rPr>
            <w:color w:val="000000"/>
            <w:vertAlign w:val="superscript"/>
            <w:sz w:val="18"/>
          </w:rPr>
          <w:t>[34]</w:t>
        </w:r>
      </w:hyperlink>
      <w:r>
        <w:rPr>
          <w:b w:val="0"/>
        </w:rPr>
        <w:t>。周次用于安排研究资源，实际开发按任务依赖与验收推进，不等待日历。静态数据工厂、模型和技能可在互不覆盖文件的条件下并行；基本闭环和事件路由先行，完整修复随后接入，运行及统计工具在正式实验之前就绪。执行顺序优先保障真实闭环、C1 与 C2，再开展扩展。工作量超出预算时缩减扩展范围或报告未完成部分，不把无法实施的全因子实验写成已完成承诺，也不改低验收门槛。</w:t>
      </w:r>
    </w:p>
    <w:p>
      <w:pPr>
        <w:pStyle w:val="Heading2"/>
      </w:pPr>
      <w:r>
        <w:t>11.2 预期研究成果</w:t>
      </w:r>
    </w:p>
    <w:p>
      <w:r>
        <w:rPr>
          <w:b w:val="0"/>
        </w:rPr>
        <w:t>方法成果为两个与现有架构兼容的算法模块及其条件说明：感知不确定性与时效约束的运行中决策，以及视觉证据契约和最小局部修复。实现成果包括真实 RGB-D 输入、本地 VLM 接口、物理技能与教师、校准模块、统一运行器和研究看板。报告应区分新增机制与复用代码，不以重写系统或模块数量作为创新性依据。</w:t>
      </w:r>
    </w:p>
    <w:p>
      <w:r>
        <w:rPr>
          <w:b w:val="0"/>
        </w:rPr>
        <w:t>数据成果包括 100、1000、10000 组分阶段验收的感知数据，具有物理执行证据的教师轨迹，以及互斥的训练、校准、策略选择和测试清单。另行锁定的正式物理候选池、恢复故障集和域外集保留参数与来源；发布包包括实际采用的 N、原始记录、失败原因、模型和资产版本、网络日程、分析脚本及图表来源。训练/测试真值权限分离，模拟器生成能力不等于数据质量已经合格。</w:t>
      </w:r>
    </w:p>
    <w:p>
      <w:r>
        <w:rPr>
          <w:b w:val="0"/>
        </w:rPr>
        <w:t>论文成果围绕 B0—B5、G0—G5 建立“现有方法—具体改进—目标程度—实验判据—实际结果”的对应关系，呈现主要比较、必要消融和统计区间。所有收益在实验后填写；若某项未达标，保留目标、观测值及差距分析，不能仅删除该目标或改写为泛泛的“系统具有可行性”。</w:t>
      </w:r>
    </w:p>
    <w:p>
      <w:pPr>
        <w:pStyle w:val="Heading2"/>
      </w:pPr>
      <w:r>
        <w:t>11.3 最终验收标准</w:t>
      </w:r>
    </w:p>
    <w:p>
      <w:r>
        <w:rPr>
          <w:b w:val="0"/>
        </w:rPr>
        <w:t>工程验收先检查 G0 和 G1：真实输入与执行、来源完整、无真值泄露和集合重复，并达到限定标称任务的定位与成功率要求。C1 只有在 G2 的请求改善、成功非劣及风险非劣同时通过时成立；C2 只有在 G3 的门控和 G4 的恢复目标同时通过时成立。G2a 和 G5 分别标记结果，不能以其中一项成功替代另一项。</w:t>
      </w:r>
    </w:p>
    <w:p>
      <w:r>
        <w:rPr>
          <w:b w:val="0"/>
        </w:rPr>
        <w:t>每个目标保留三种结论：达标、未达标、证据不足。点估计目标与区间证据分别报告；相对分母为零时记 N/A，零违规报告单侧上界，不能以零宽区间或未显著差异宣称安全与非劣。多主假设按预定规则校正。原始失败记录、预分配分母和协议版本必须可由第三方重新计算，确认结论不依赖删除失败或更换比较条件。</w:t>
      </w:r>
    </w:p>
    <w:p>
      <w:r>
        <w:rPr>
          <w:b w:val="0"/>
        </w:rPr>
        <w:t>文稿验收检查每个性能结论是否有数据和条件支持、每条引用是否可追溯、图表是否对应当前方法与协议，以及专利和工程状态是否被准确表述。原始记录到分析和图表的重建成功、核心结论逐项闭合后，才称研究交付完成。本报告修订完成不意味着后续开发、训练或正式实验已经执行。</w:t>
      </w:r>
    </w:p>
    <w:p>
      <w:r>
        <w:br w:type="page"/>
      </w:r>
    </w:p>
    <w:p>
      <w:bookmarkStart w:id="13" w:name="sec_12"/>
      <w:pPr>
        <w:pStyle w:val="Heading1"/>
      </w:pPr>
      <w:r>
        <w:t>附录 A：工程事实与研究任务映射</w:t>
      </w:r>
      <w:bookmarkEnd w:id="13"/>
    </w:p>
    <w:p>
      <w:r>
        <w:rPr>
          <w:b w:val="0"/>
        </w:rPr>
        <w:t>历史部署事实以 2026 年 10 月 2 日验收记录为准，当前 RGB-D 阶段状态采用 2026 年 10 月 3 日 P1 及 T2 增补验收；原 88 项回归快照与后续 123 项合并回归为不同批次，不相加。PASS 仅表示对应范围的软件或部署检查通过，不等于研究目标通过。历史 full 仍为 PHASE12_REJECTED，权威论文运行数仍为零</w:t>
      </w:r>
      <w:hyperlink w:anchor="ref_34">
        <w:r>
          <w:rPr>
            <w:color w:val="000000"/>
            <w:vertAlign w:val="superscript"/>
            <w:sz w:val="18"/>
          </w:rPr>
          <w:t>[34]</w:t>
        </w:r>
      </w:hyperlink>
      <w:r>
        <w:rPr>
          <w:b w:val="0"/>
        </w:rPr>
        <w:t>。</w:t>
      </w:r>
    </w:p>
    <w:p>
      <w:pPr>
        <w:pStyle w:val="Caption"/>
        <w:keepNext/>
      </w:pPr>
      <w:r>
        <w:t>表 8  当前工程事实与研究任务映射</w:t>
      </w:r>
    </w:p>
    <w:tbl>
      <w:tblPr>
        <w:tblW w:type="auto" w:w="0"/>
        <w:jc w:val="center"/>
        <w:tblLayout w:type="fixed"/>
        <w:tblLook w:firstColumn="1" w:firstRow="1" w:lastColumn="0" w:lastRow="0" w:noHBand="0" w:noVBand="1" w:val="04A0"/>
      </w:tblPr>
      <w:tblGrid>
        <w:gridCol w:w="1975"/>
        <w:gridCol w:w="3386"/>
        <w:gridCol w:w="4045"/>
      </w:tblGrid>
      <w:tr>
        <w:trPr>
          <w:cantSplit/>
          <w:tblHeader/>
        </w:trPr>
        <w:tc>
          <w:tcPr>
            <w:tcW w:type="dxa" w:w="197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shd w:fill="EDEDED"/>
          </w:tcPr>
          <w:p>
            <w:pPr>
              <w:spacing w:after="0" w:line="320" w:lineRule="exact"/>
              <w:ind w:firstLine="0"/>
              <w:jc w:val="center"/>
            </w:pPr>
            <w:r>
              <w:rPr>
                <w:b/>
                <w:sz w:val="21"/>
              </w:rPr>
              <w:t>对象</w:t>
            </w:r>
          </w:p>
        </w:tc>
        <w:tc>
          <w:tcPr>
            <w:tcW w:type="dxa" w:w="3386"/>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shd w:fill="EDEDED"/>
          </w:tcPr>
          <w:p>
            <w:pPr>
              <w:spacing w:after="0" w:line="320" w:lineRule="exact"/>
              <w:ind w:firstLine="0"/>
              <w:jc w:val="center"/>
            </w:pPr>
            <w:r>
              <w:rPr>
                <w:b/>
                <w:sz w:val="21"/>
              </w:rPr>
              <w:t>当前证据与边界</w:t>
            </w:r>
          </w:p>
        </w:tc>
        <w:tc>
          <w:tcPr>
            <w:tcW w:type="dxa" w:w="404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shd w:fill="EDEDED"/>
          </w:tcPr>
          <w:p>
            <w:pPr>
              <w:spacing w:after="0" w:line="320" w:lineRule="exact"/>
              <w:ind w:firstLine="0"/>
              <w:jc w:val="center"/>
            </w:pPr>
            <w:r>
              <w:rPr>
                <w:b/>
                <w:sz w:val="21"/>
              </w:rPr>
              <w:t>本轮任务及目标</w:t>
            </w:r>
          </w:p>
        </w:tc>
      </w:tr>
      <w:tr>
        <w:trPr>
          <w:cantSplit/>
        </w:trPr>
        <w:tc>
          <w:tcPr>
            <w:tcW w:type="dxa" w:w="197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center"/>
            </w:pPr>
            <w:r>
              <w:rPr>
                <w:b w:val="0"/>
                <w:sz w:val="21"/>
              </w:rPr>
              <w:t>核心契约与安全链</w:t>
            </w:r>
          </w:p>
        </w:tc>
        <w:tc>
          <w:tcPr>
            <w:tcW w:type="dxa" w:w="3386"/>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软件及部署检查已有通过记录</w:t>
            </w:r>
          </w:p>
        </w:tc>
        <w:tc>
          <w:tcPr>
            <w:tcW w:type="dxa" w:w="404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复用执行权限，补视觉证据与提交前复核，服务 C2</w:t>
            </w:r>
          </w:p>
        </w:tc>
      </w:tr>
      <w:tr>
        <w:trPr>
          <w:cantSplit/>
        </w:trPr>
        <w:tc>
          <w:tcPr>
            <w:tcW w:type="dxa" w:w="197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center"/>
            </w:pPr>
            <w:r>
              <w:rPr>
                <w:b w:val="0"/>
                <w:sz w:val="21"/>
              </w:rPr>
              <w:t>PCSC ETEAC AUTO</w:t>
            </w:r>
          </w:p>
        </w:tc>
        <w:tc>
          <w:tcPr>
            <w:tcW w:type="dxa" w:w="3386"/>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已有框架，规则与初始化实验不足以证明持续自适应</w:t>
            </w:r>
          </w:p>
        </w:tc>
        <w:tc>
          <w:tcPr>
            <w:tcW w:type="dxa" w:w="404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统一运行中入口和周期机制，建立公平 B0/B1/B2，验证 G2</w:t>
            </w:r>
          </w:p>
        </w:tc>
      </w:tr>
      <w:tr>
        <w:trPr>
          <w:cantSplit/>
        </w:trPr>
        <w:tc>
          <w:tcPr>
            <w:tcW w:type="dxa" w:w="197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center"/>
            </w:pPr>
            <w:r>
              <w:rPr>
                <w:b w:val="0"/>
                <w:sz w:val="21"/>
              </w:rPr>
              <w:t>RGB-D 与本地模型</w:t>
            </w:r>
          </w:p>
        </w:tc>
        <w:tc>
          <w:tcPr>
            <w:tcW w:type="dxa" w:w="3386"/>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T1/T2 已验收；123项合并回归通过，100点静态平面最大误差2.728 mm；真实 VLM 待验收</w:t>
            </w:r>
          </w:p>
        </w:tc>
        <w:tc>
          <w:tcPr>
            <w:tcW w:type="dxa" w:w="404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T3/T6a 接续；静态平面自检不能替代 G1 定位或物理成功</w:t>
            </w:r>
          </w:p>
        </w:tc>
      </w:tr>
      <w:tr>
        <w:trPr>
          <w:cantSplit/>
        </w:trPr>
        <w:tc>
          <w:tcPr>
            <w:tcW w:type="dxa" w:w="197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center"/>
            </w:pPr>
            <w:r>
              <w:rPr>
                <w:b w:val="0"/>
                <w:sz w:val="21"/>
              </w:rPr>
              <w:t>MuJoCo 高层技能</w:t>
            </w:r>
          </w:p>
        </w:tc>
        <w:tc>
          <w:tcPr>
            <w:tcW w:type="dxa" w:w="3386"/>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后端已有物理能力，部分高层动作仍是软件状态更新</w:t>
            </w:r>
          </w:p>
        </w:tc>
        <w:tc>
          <w:tcPr>
            <w:tcW w:type="dxa" w:w="404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IK与执行器驱动、教师及独立结果判定，不用瞬移替代动作</w:t>
            </w:r>
          </w:p>
        </w:tc>
      </w:tr>
      <w:tr>
        <w:trPr>
          <w:cantSplit/>
        </w:trPr>
        <w:tc>
          <w:tcPr>
            <w:tcW w:type="dxa" w:w="197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center"/>
            </w:pPr>
            <w:r>
              <w:rPr>
                <w:b w:val="0"/>
                <w:sz w:val="21"/>
              </w:rPr>
              <w:t>数据及实验</w:t>
            </w:r>
          </w:p>
        </w:tc>
        <w:tc>
          <w:tcPr>
            <w:tcW w:type="dxa" w:w="3386"/>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历史5580条混合类别记录不能当新物理成功分母</w:t>
            </w:r>
          </w:p>
        </w:tc>
        <w:tc>
          <w:tcPr>
            <w:tcW w:type="dxa" w:w="404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分组数据、互斥先导与盲测、实际成本和失败账本</w:t>
            </w:r>
          </w:p>
        </w:tc>
      </w:tr>
      <w:tr>
        <w:trPr>
          <w:cantSplit/>
        </w:trPr>
        <w:tc>
          <w:tcPr>
            <w:tcW w:type="dxa" w:w="197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center"/>
            </w:pPr>
            <w:r>
              <w:rPr>
                <w:b w:val="0"/>
                <w:sz w:val="21"/>
              </w:rPr>
              <w:t>ROS 2 MoveIt</w:t>
            </w:r>
          </w:p>
        </w:tc>
        <w:tc>
          <w:tcPr>
            <w:tcW w:type="dxa" w:w="3386"/>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独立模拟验证存在，批量适配不等于全通过</w:t>
            </w:r>
          </w:p>
        </w:tc>
        <w:tc>
          <w:tcPr>
            <w:tcW w:type="dxa" w:w="404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按需复用接口，不扩大为核心必达贡献</w:t>
            </w:r>
          </w:p>
        </w:tc>
      </w:tr>
      <w:tr>
        <w:trPr>
          <w:cantSplit/>
        </w:trPr>
        <w:tc>
          <w:tcPr>
            <w:tcW w:type="dxa" w:w="197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center"/>
            </w:pPr>
            <w:r>
              <w:rPr>
                <w:b w:val="0"/>
                <w:sz w:val="21"/>
              </w:rPr>
              <w:t>Isaac 与技能缓存</w:t>
            </w:r>
          </w:p>
        </w:tc>
        <w:tc>
          <w:tcPr>
            <w:tcW w:type="dxa" w:w="3386"/>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存在基础能力，迁移和公平配对证据不足</w:t>
            </w:r>
          </w:p>
        </w:tc>
        <w:tc>
          <w:tcPr>
            <w:tcW w:type="dxa" w:w="404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资源允许的扩展，独立验收，不阻塞 MuJoCo 主结论</w:t>
            </w:r>
          </w:p>
        </w:tc>
      </w:tr>
      <w:tr>
        <w:trPr>
          <w:cantSplit/>
        </w:trPr>
        <w:tc>
          <w:tcPr>
            <w:tcW w:type="dxa" w:w="197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center"/>
            </w:pPr>
            <w:r>
              <w:rPr>
                <w:b w:val="0"/>
                <w:sz w:val="21"/>
              </w:rPr>
              <w:t>真实机械臂</w:t>
            </w:r>
          </w:p>
        </w:tc>
        <w:tc>
          <w:tcPr>
            <w:tcW w:type="dxa" w:w="3386"/>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NOT_STARTED，硬件运动关闭</w:t>
            </w:r>
          </w:p>
        </w:tc>
        <w:tc>
          <w:tcPr>
            <w:tcW w:type="dxa" w:w="404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本周期不实施，不声称真实迁移或硬件安全验证</w:t>
            </w:r>
          </w:p>
        </w:tc>
      </w:tr>
    </w:tbl>
    <w:p>
      <w:pPr>
        <w:spacing w:after="0" w:line="80" w:lineRule="exact"/>
        <w:ind w:firstLine="0"/>
      </w:pPr>
      <w:r>
        <w:rPr>
          <w:sz w:val="8"/>
        </w:rPr>
      </w:r>
    </w:p>
    <w:p>
      <w:bookmarkStart w:id="14" w:name="sec_13"/>
      <w:pPr>
        <w:pStyle w:val="Heading1"/>
      </w:pPr>
      <w:r>
        <w:t>附录 B：资料来源与引用说明</w:t>
      </w:r>
      <w:bookmarkEnd w:id="14"/>
    </w:p>
    <w:p>
      <w:pPr>
        <w:jc w:val="left"/>
      </w:pPr>
      <w:r>
        <w:rPr>
          <w:b w:val="0"/>
        </w:rPr>
        <w:t>工程事实主要依据 docs/current_authoritative_status.md、docs/architecture.md 和历史 artifacts/deployment/final_acceptance.json。当前阶段增补来源为 artifacts/research/process/20261003-phase1/t2-resume/acceptance.json 及 final-source-hashes.json。历史部署快照、原 P1 验收与后续增补分别记录，不将旧快照描述为当前全部实现。研究目标的统一文件为 docs/superpowers/specs/2026-10-03-rgbd-evidence-research-design.md，开发任务文件为 docs/superpowers/plans/2026-10-03-rgbd-evidence-research-roadmap.md。本轮修订开题报告及配套图表，未实施新算法或改写历史实验数据。</w:t>
      </w:r>
    </w:p>
    <w:p>
      <w:pPr>
        <w:jc w:val="left"/>
      </w:pPr>
      <w:r>
        <w:rPr>
          <w:b w:val="0"/>
        </w:rPr>
        <w:t>专利资料为用户提供的 1555_PN363626_定稿.docx，引用其方法内容，不推断公开和授权状态。原有外部文献沿用 2026 年 10 月 2 日核验记录，文献</w:t>
      </w:r>
      <w:hyperlink w:anchor="ref_35">
        <w:r>
          <w:rPr>
            <w:color w:val="000000"/>
            <w:vertAlign w:val="superscript"/>
            <w:sz w:val="18"/>
          </w:rPr>
          <w:t>[35]</w:t>
        </w:r>
      </w:hyperlink>
      <w:r>
        <w:rPr>
          <w:b w:val="0"/>
        </w:rPr>
        <w:t>—</w:t>
      </w:r>
      <w:hyperlink w:anchor="ref_40">
        <w:r>
          <w:rPr>
            <w:color w:val="000000"/>
            <w:vertAlign w:val="superscript"/>
            <w:sz w:val="18"/>
          </w:rPr>
          <w:t>[40]</w:t>
        </w:r>
      </w:hyperlink>
      <w:r>
        <w:rPr>
          <w:b w:val="0"/>
        </w:rPr>
        <w:t>按 2026 年 10 月 3 日原始发布记录核验；新增</w:t>
      </w:r>
      <w:hyperlink w:anchor="ref_41">
        <w:r>
          <w:rPr>
            <w:color w:val="000000"/>
            <w:vertAlign w:val="superscript"/>
            <w:sz w:val="18"/>
          </w:rPr>
          <w:t>[41]</w:t>
        </w:r>
      </w:hyperlink>
      <w:r>
        <w:rPr>
          <w:b w:val="0"/>
        </w:rPr>
        <w:t>—</w:t>
      </w:r>
      <w:hyperlink w:anchor="ref_42">
        <w:r>
          <w:rPr>
            <w:color w:val="000000"/>
            <w:vertAlign w:val="superscript"/>
            <w:sz w:val="18"/>
          </w:rPr>
          <w:t>[42]</w:t>
        </w:r>
      </w:hyperlink>
      <w:r>
        <w:rPr>
          <w:b w:val="0"/>
        </w:rPr>
        <w:t>为同日查阅的 Jev 官方产品文档，只支持工程思路和置信度语义，不作为机器人性能证据。正式会议论文使用对应出版记录，CloudEdgeVLA、SafeGate 与 RESample 按预印本著录；RESample 的投稿状态不等于正式发表。</w:t>
      </w:r>
    </w:p>
    <w:p>
      <w:pPr>
        <w:jc w:val="left"/>
      </w:pPr>
      <w:r>
        <w:rPr>
          <w:b w:val="0"/>
        </w:rPr>
        <w:t>正文采用编号引用，文后 DOI 或原始链接用于复核。文献提供背景和方法比较，不为本项目尚未运行的结果背书。全部目标收益、样本量和周次均为研究计划；模型、数据、协议和分析版本冻结后才能产生可用于结论的实验记录。</w:t>
      </w:r>
    </w:p>
    <w:p>
      <w:r>
        <w:br w:type="page"/>
      </w:r>
    </w:p>
    <w:p>
      <w:bookmarkStart w:id="15" w:name="sec_14"/>
      <w:pPr>
        <w:pStyle w:val="Heading1"/>
      </w:pPr>
      <w:r>
        <w:t>参考文献</w:t>
      </w:r>
      <w:bookmarkEnd w:id="15"/>
    </w:p>
    <w:p>
      <w:bookmarkStart w:id="16" w:name="ref_1"/>
      <w:pPr>
        <w:keepLines/>
        <w:spacing w:line="320" w:lineRule="exact" w:after="120"/>
        <w:ind w:hanging="454" w:left="454"/>
        <w:jc w:val="left"/>
      </w:pPr>
      <w:r>
        <w:rPr>
          <w:sz w:val="21"/>
        </w:rPr>
        <w:t xml:space="preserve">[1] KEHOE B, PATIL S, ABBEEL P, et al. A Survey of Research on Cloud Robotics and Automation[J]. IEEE Transactions on Automation Science and Engineering, 2015, 12(2): 398–409. DOI: 10.1109/TASE.2014.2376492. </w:t>
      </w:r>
      <w:bookmarkEnd w:id="16"/>
      <w:hyperlink r:id="rId23">
        <w:r>
          <w:rPr>
            <w:color w:val="000000"/>
            <w:u w:val="single"/>
            <w:sz w:val="21"/>
          </w:rPr>
          <w:t>原始来源</w:t>
        </w:r>
      </w:hyperlink>
    </w:p>
    <w:p>
      <w:bookmarkStart w:id="17" w:name="ref_2"/>
      <w:pPr>
        <w:keepLines/>
        <w:spacing w:line="320" w:lineRule="exact" w:after="120"/>
        <w:ind w:hanging="454" w:left="454"/>
        <w:jc w:val="left"/>
      </w:pPr>
      <w:r>
        <w:rPr>
          <w:sz w:val="21"/>
        </w:rPr>
        <w:t xml:space="preserve">[2] SHI W, CAO J, ZHANG Q, et al. Edge Computing: Vision and Challenges[J]. IEEE Internet of Things Journal, 2016, 3(5): 637–646. DOI: 10.1109/JIOT.2016.2579198. </w:t>
      </w:r>
      <w:bookmarkEnd w:id="17"/>
      <w:hyperlink r:id="rId24">
        <w:r>
          <w:rPr>
            <w:color w:val="000000"/>
            <w:u w:val="single"/>
            <w:sz w:val="21"/>
          </w:rPr>
          <w:t>原始来源</w:t>
        </w:r>
      </w:hyperlink>
    </w:p>
    <w:p>
      <w:bookmarkStart w:id="18" w:name="ref_3"/>
      <w:pPr>
        <w:keepLines/>
        <w:spacing w:line="320" w:lineRule="exact" w:after="120"/>
        <w:ind w:hanging="454" w:left="454"/>
        <w:jc w:val="left"/>
      </w:pPr>
      <w:r>
        <w:rPr>
          <w:sz w:val="21"/>
        </w:rPr>
        <w:t xml:space="preserve">[3] ZHOU Z, CHEN X, LI E, et al. Edge Intelligence: Paving the Last Mile of Artificial Intelligence With Edge Computing[J]. Proceedings of the IEEE, 2019, 107(8): 1738–1762. DOI: 10.1109/JPROC.2019.2918951. </w:t>
      </w:r>
      <w:bookmarkEnd w:id="18"/>
      <w:hyperlink r:id="rId25">
        <w:r>
          <w:rPr>
            <w:color w:val="000000"/>
            <w:u w:val="single"/>
            <w:sz w:val="21"/>
          </w:rPr>
          <w:t>原始来源</w:t>
        </w:r>
      </w:hyperlink>
    </w:p>
    <w:p>
      <w:bookmarkStart w:id="19" w:name="ref_4"/>
      <w:pPr>
        <w:keepLines/>
        <w:spacing w:line="320" w:lineRule="exact" w:after="120"/>
        <w:ind w:hanging="454" w:left="454"/>
        <w:jc w:val="left"/>
      </w:pPr>
      <w:r>
        <w:rPr>
          <w:sz w:val="21"/>
        </w:rPr>
        <w:t xml:space="preserve">[4] HESPANHA JP, NAGHSHTABRIZI P, XU Y. A Survey of Recent Results in Networked Control Systems[J]. Proceedings of the IEEE, 2007, 95(1): 138–162. DOI: 10.1109/JPROC.2006.887288. </w:t>
      </w:r>
      <w:bookmarkEnd w:id="19"/>
      <w:hyperlink r:id="rId26">
        <w:r>
          <w:rPr>
            <w:color w:val="000000"/>
            <w:u w:val="single"/>
            <w:sz w:val="21"/>
          </w:rPr>
          <w:t>原始来源</w:t>
        </w:r>
      </w:hyperlink>
    </w:p>
    <w:p>
      <w:bookmarkStart w:id="20" w:name="ref_5"/>
      <w:pPr>
        <w:keepLines/>
        <w:spacing w:line="320" w:lineRule="exact" w:after="120"/>
        <w:ind w:hanging="454" w:left="454"/>
        <w:jc w:val="left"/>
      </w:pPr>
      <w:r>
        <w:rPr>
          <w:sz w:val="21"/>
        </w:rPr>
        <w:t xml:space="preserve">[5] TABUADA P. Event-Triggered Real-Time Scheduling of Stabilizing Control Tasks[J]. IEEE Transactions on Automatic Control, 2007, 52(9): 1680–1685. DOI: 10.1109/TAC.2007.904277. </w:t>
      </w:r>
      <w:bookmarkEnd w:id="20"/>
      <w:hyperlink r:id="rId27">
        <w:r>
          <w:rPr>
            <w:color w:val="000000"/>
            <w:u w:val="single"/>
            <w:sz w:val="21"/>
          </w:rPr>
          <w:t>原始来源</w:t>
        </w:r>
      </w:hyperlink>
    </w:p>
    <w:p>
      <w:bookmarkStart w:id="21" w:name="ref_6"/>
      <w:pPr>
        <w:keepLines/>
        <w:spacing w:line="320" w:lineRule="exact" w:after="120"/>
        <w:ind w:hanging="454" w:left="454"/>
        <w:jc w:val="left"/>
      </w:pPr>
      <w:r>
        <w:rPr>
          <w:sz w:val="21"/>
        </w:rPr>
        <w:t xml:space="preserve">[6] HEEMELS WPMH, JOHANSSON KH, TABUADA P. An introduction to event-triggered and self-triggered control[C]. Proceedings of the 51st IEEE Conference on Decision and Control (CDC), 2012: 3270–3285. DOI: 10.1109/CDC.2012.6425820. </w:t>
      </w:r>
      <w:bookmarkEnd w:id="21"/>
      <w:hyperlink r:id="rId28">
        <w:r>
          <w:rPr>
            <w:color w:val="000000"/>
            <w:u w:val="single"/>
            <w:sz w:val="21"/>
          </w:rPr>
          <w:t>原始来源</w:t>
        </w:r>
      </w:hyperlink>
    </w:p>
    <w:p>
      <w:bookmarkStart w:id="22" w:name="ref_7"/>
      <w:pPr>
        <w:keepLines/>
        <w:spacing w:line="320" w:lineRule="exact" w:after="120"/>
        <w:ind w:hanging="454" w:left="454"/>
        <w:jc w:val="left"/>
      </w:pPr>
      <w:r>
        <w:rPr>
          <w:sz w:val="21"/>
        </w:rPr>
        <w:t xml:space="preserve">[7] YATES R D, SUN Y, BROWN III D R, et al. Age of Information: An Introduction and Survey[J]. IEEE Journal on Selected Areas in Communications, 2021, 39(5): 1183–1210. DOI: 10.1109/JSAC.2021.3065072. </w:t>
      </w:r>
      <w:bookmarkEnd w:id="22"/>
      <w:hyperlink r:id="rId29">
        <w:r>
          <w:rPr>
            <w:color w:val="000000"/>
            <w:u w:val="single"/>
            <w:sz w:val="21"/>
          </w:rPr>
          <w:t>原始来源</w:t>
        </w:r>
      </w:hyperlink>
    </w:p>
    <w:p>
      <w:bookmarkStart w:id="23" w:name="ref_8"/>
      <w:pPr>
        <w:keepLines/>
        <w:spacing w:line="320" w:lineRule="exact" w:after="120"/>
        <w:ind w:hanging="454" w:left="454"/>
        <w:jc w:val="left"/>
      </w:pPr>
      <w:r>
        <w:rPr>
          <w:sz w:val="21"/>
        </w:rPr>
        <w:t xml:space="preserve">[8] KAELBLING LP, LOZANO-PEREZ T. Hierarchical task and motion planning in the now[C]. 2011 IEEE International Conference on Robotics and Automation, 2011: 1470–1477. DOI: 10.1109/ICRA.2011.5980391. </w:t>
      </w:r>
      <w:bookmarkEnd w:id="23"/>
      <w:hyperlink r:id="rId30">
        <w:r>
          <w:rPr>
            <w:color w:val="000000"/>
            <w:u w:val="single"/>
            <w:sz w:val="21"/>
          </w:rPr>
          <w:t>原始来源</w:t>
        </w:r>
      </w:hyperlink>
    </w:p>
    <w:p>
      <w:bookmarkStart w:id="24" w:name="ref_9"/>
      <w:pPr>
        <w:keepLines/>
        <w:spacing w:line="320" w:lineRule="exact" w:after="120"/>
        <w:ind w:hanging="454" w:left="454"/>
        <w:jc w:val="left"/>
      </w:pPr>
      <w:r>
        <w:rPr>
          <w:sz w:val="21"/>
        </w:rPr>
        <w:t xml:space="preserve">[9] COLLEDANCHISE M, ÖGREN P. Behavior Trees in Robotics and AI: An Introduction[EB/OL]. arXiv:1709.00084, 2017 [2026-10-02]. </w:t>
      </w:r>
      <w:bookmarkEnd w:id="24"/>
      <w:hyperlink r:id="rId31">
        <w:r>
          <w:rPr>
            <w:color w:val="000000"/>
            <w:u w:val="single"/>
            <w:sz w:val="21"/>
          </w:rPr>
          <w:t>原始来源</w:t>
        </w:r>
      </w:hyperlink>
    </w:p>
    <w:p>
      <w:bookmarkStart w:id="25" w:name="ref_10"/>
      <w:pPr>
        <w:keepLines/>
        <w:spacing w:line="320" w:lineRule="exact" w:after="120"/>
        <w:ind w:hanging="454" w:left="454"/>
        <w:jc w:val="left"/>
      </w:pPr>
      <w:r>
        <w:rPr>
          <w:sz w:val="21"/>
        </w:rPr>
        <w:t xml:space="preserve">[10] AHN M, BROHAN A, BROWN N, et al. Do As I Can, Not As I Say: Grounding Language in Robotic Affordances[EB/OL]. arXiv:2204.01691, 2022 [2026-10-02]. </w:t>
      </w:r>
      <w:bookmarkEnd w:id="25"/>
      <w:hyperlink r:id="rId32">
        <w:r>
          <w:rPr>
            <w:color w:val="000000"/>
            <w:u w:val="single"/>
            <w:sz w:val="21"/>
          </w:rPr>
          <w:t>原始来源</w:t>
        </w:r>
      </w:hyperlink>
    </w:p>
    <w:p>
      <w:bookmarkStart w:id="26" w:name="ref_11"/>
      <w:pPr>
        <w:keepLines/>
        <w:spacing w:line="320" w:lineRule="exact" w:after="120"/>
        <w:ind w:hanging="454" w:left="454"/>
        <w:jc w:val="left"/>
      </w:pPr>
      <w:r>
        <w:rPr>
          <w:sz w:val="21"/>
        </w:rPr>
        <w:t xml:space="preserve">[11] HUANG W, XIA F, XIAO T, et al. Inner Monologue: Embodied Reasoning through Planning with Language Models[EB/OL]. arXiv:2207.05608, 2022 [2026-10-02]. </w:t>
      </w:r>
      <w:bookmarkEnd w:id="26"/>
      <w:hyperlink r:id="rId33">
        <w:r>
          <w:rPr>
            <w:color w:val="000000"/>
            <w:u w:val="single"/>
            <w:sz w:val="21"/>
          </w:rPr>
          <w:t>原始来源</w:t>
        </w:r>
      </w:hyperlink>
    </w:p>
    <w:p>
      <w:bookmarkStart w:id="27" w:name="ref_12"/>
      <w:pPr>
        <w:keepLines/>
        <w:spacing w:line="320" w:lineRule="exact" w:after="120"/>
        <w:ind w:hanging="454" w:left="454"/>
        <w:jc w:val="left"/>
      </w:pPr>
      <w:r>
        <w:rPr>
          <w:sz w:val="21"/>
        </w:rPr>
        <w:t xml:space="preserve">[12] LIANG J, HUANG W, XIA F, et al. Code as Policies: Language Model Programs for Embodied Control[EB/OL]. arXiv:2209.07753, 2022 [2026-10-02]. </w:t>
      </w:r>
      <w:bookmarkEnd w:id="27"/>
      <w:hyperlink r:id="rId34">
        <w:r>
          <w:rPr>
            <w:color w:val="000000"/>
            <w:u w:val="single"/>
            <w:sz w:val="21"/>
          </w:rPr>
          <w:t>原始来源</w:t>
        </w:r>
      </w:hyperlink>
    </w:p>
    <w:p>
      <w:bookmarkStart w:id="28" w:name="ref_13"/>
      <w:pPr>
        <w:keepLines/>
        <w:spacing w:line="320" w:lineRule="exact" w:after="120"/>
        <w:ind w:hanging="454" w:left="454"/>
        <w:jc w:val="left"/>
      </w:pPr>
      <w:r>
        <w:rPr>
          <w:sz w:val="21"/>
        </w:rPr>
        <w:t xml:space="preserve">[13] HUANG W, WANG C, ZHANG R, et al. VoxPoser: Composable 3D Value Maps for Robotic Manipulation with Language Models[EB/OL]. arXiv:2307.05973, 2023 [2026-10-02]. </w:t>
      </w:r>
      <w:bookmarkEnd w:id="28"/>
      <w:hyperlink r:id="rId35">
        <w:r>
          <w:rPr>
            <w:color w:val="000000"/>
            <w:u w:val="single"/>
            <w:sz w:val="21"/>
          </w:rPr>
          <w:t>原始来源</w:t>
        </w:r>
      </w:hyperlink>
    </w:p>
    <w:p>
      <w:bookmarkStart w:id="29" w:name="ref_14"/>
      <w:pPr>
        <w:keepLines/>
        <w:spacing w:line="320" w:lineRule="exact" w:after="120"/>
        <w:ind w:hanging="454" w:left="454"/>
        <w:jc w:val="left"/>
      </w:pPr>
      <w:r>
        <w:rPr>
          <w:sz w:val="21"/>
        </w:rPr>
        <w:t xml:space="preserve">[14] BROHAN A, BROWN N, CARBAJAL J, et al. RT-2: Vision-Language-Action Models Transfer Web Knowledge to Robotic Control[EB/OL]. arXiv:2307.15818, 2023 [2026-10-02]. </w:t>
      </w:r>
      <w:bookmarkEnd w:id="29"/>
      <w:hyperlink r:id="rId36">
        <w:r>
          <w:rPr>
            <w:color w:val="000000"/>
            <w:u w:val="single"/>
            <w:sz w:val="21"/>
          </w:rPr>
          <w:t>原始来源</w:t>
        </w:r>
      </w:hyperlink>
    </w:p>
    <w:p>
      <w:bookmarkStart w:id="30" w:name="ref_15"/>
      <w:pPr>
        <w:keepLines/>
        <w:spacing w:line="320" w:lineRule="exact" w:after="120"/>
        <w:ind w:hanging="454" w:left="454"/>
        <w:jc w:val="left"/>
      </w:pPr>
      <w:r>
        <w:rPr>
          <w:sz w:val="21"/>
        </w:rPr>
        <w:t xml:space="preserve">[15] KIM MJ, PERTSCH K, KARAMCHETI S, et al. OpenVLA: An Open-Source Vision-Language-Action Model[EB/OL]. arXiv:2406.09246, 2024 [2026-10-02]. </w:t>
      </w:r>
      <w:bookmarkEnd w:id="30"/>
      <w:hyperlink r:id="rId37">
        <w:r>
          <w:rPr>
            <w:color w:val="000000"/>
            <w:u w:val="single"/>
            <w:sz w:val="21"/>
          </w:rPr>
          <w:t>原始来源</w:t>
        </w:r>
      </w:hyperlink>
    </w:p>
    <w:p>
      <w:bookmarkStart w:id="31" w:name="ref_16"/>
      <w:pPr>
        <w:keepLines/>
        <w:spacing w:line="320" w:lineRule="exact" w:after="120"/>
        <w:ind w:hanging="454" w:left="454"/>
        <w:jc w:val="left"/>
      </w:pPr>
      <w:r>
        <w:rPr>
          <w:sz w:val="21"/>
        </w:rPr>
        <w:t xml:space="preserve">[16] PHYSICAL INTELLIGENCE, BLACK K, BROWN N, et al. π₀.₅: a Vision-Language-Action Model with Open-World Generalization[EB/OL]. arXiv:2504.16054, 2025 [2026-10-02]. </w:t>
      </w:r>
      <w:bookmarkEnd w:id="31"/>
      <w:hyperlink r:id="rId38">
        <w:r>
          <w:rPr>
            <w:color w:val="000000"/>
            <w:u w:val="single"/>
            <w:sz w:val="21"/>
          </w:rPr>
          <w:t>原始来源</w:t>
        </w:r>
      </w:hyperlink>
    </w:p>
    <w:p>
      <w:bookmarkStart w:id="32" w:name="ref_17"/>
      <w:pPr>
        <w:keepLines/>
        <w:spacing w:line="320" w:lineRule="exact" w:after="120"/>
        <w:ind w:hanging="454" w:left="454"/>
        <w:jc w:val="left"/>
      </w:pPr>
      <w:r>
        <w:rPr>
          <w:sz w:val="21"/>
        </w:rPr>
        <w:t xml:space="preserve">[17] SHA L. Using simplicity to control complexity[J]. IEEE Software, 2001, 18(4): 20–28. DOI: 10.1109/MS.2001.936213. </w:t>
      </w:r>
      <w:bookmarkEnd w:id="32"/>
      <w:hyperlink r:id="rId39">
        <w:r>
          <w:rPr>
            <w:color w:val="000000"/>
            <w:u w:val="single"/>
            <w:sz w:val="21"/>
          </w:rPr>
          <w:t>原始来源</w:t>
        </w:r>
      </w:hyperlink>
    </w:p>
    <w:p>
      <w:bookmarkStart w:id="33" w:name="ref_18"/>
      <w:pPr>
        <w:keepLines/>
        <w:spacing w:line="320" w:lineRule="exact" w:after="120"/>
        <w:ind w:hanging="454" w:left="454"/>
        <w:jc w:val="left"/>
      </w:pPr>
      <w:r>
        <w:rPr>
          <w:sz w:val="21"/>
        </w:rPr>
        <w:t xml:space="preserve">[18] AMES AD, XU X, GRIZZLE JW, et al. Control Barrier Function Based Quadratic Programs for Safety Critical Systems[J]. IEEE Transactions on Automatic Control, 2017, 62(8): 3861–3876. DOI: 10.1109/TAC.2016.2638961. </w:t>
      </w:r>
      <w:bookmarkEnd w:id="33"/>
      <w:hyperlink r:id="rId40">
        <w:r>
          <w:rPr>
            <w:color w:val="000000"/>
            <w:u w:val="single"/>
            <w:sz w:val="21"/>
          </w:rPr>
          <w:t>原始来源</w:t>
        </w:r>
      </w:hyperlink>
    </w:p>
    <w:p>
      <w:bookmarkStart w:id="34" w:name="ref_19"/>
      <w:pPr>
        <w:keepLines/>
        <w:spacing w:line="320" w:lineRule="exact" w:after="120"/>
        <w:ind w:hanging="454" w:left="454"/>
        <w:jc w:val="left"/>
      </w:pPr>
      <w:r>
        <w:rPr>
          <w:sz w:val="21"/>
        </w:rPr>
        <w:t xml:space="preserve">[19] ALSHIEKH M, BLOEM R, EHLERS R, et al. Safe Reinforcement Learning via Shielding[J]. Proceedings of the AAAI Conference on Artificial Intelligence, 2018, 32(1). DOI: 10.1609/aaai.v32i1.11797. </w:t>
      </w:r>
      <w:bookmarkEnd w:id="34"/>
      <w:hyperlink r:id="rId41">
        <w:r>
          <w:rPr>
            <w:color w:val="000000"/>
            <w:u w:val="single"/>
            <w:sz w:val="21"/>
          </w:rPr>
          <w:t>原始来源</w:t>
        </w:r>
      </w:hyperlink>
    </w:p>
    <w:p>
      <w:bookmarkStart w:id="35" w:name="ref_20"/>
      <w:pPr>
        <w:keepLines/>
        <w:spacing w:line="320" w:lineRule="exact" w:after="120"/>
        <w:ind w:hanging="454" w:left="454"/>
        <w:jc w:val="left"/>
      </w:pPr>
      <w:r>
        <w:rPr>
          <w:sz w:val="21"/>
        </w:rPr>
        <w:t xml:space="preserve">[20] HENZINGER TA. The theory of hybrid automata[C]. Proceedings 11th Annual IEEE Symposium on Logic in Computer Science, 1996: 278–292. DOI: 10.1109/LICS.1996.561342. </w:t>
      </w:r>
      <w:bookmarkEnd w:id="35"/>
      <w:hyperlink r:id="rId42">
        <w:r>
          <w:rPr>
            <w:color w:val="000000"/>
            <w:u w:val="single"/>
            <w:sz w:val="21"/>
          </w:rPr>
          <w:t>原始来源</w:t>
        </w:r>
      </w:hyperlink>
    </w:p>
    <w:p>
      <w:bookmarkStart w:id="36" w:name="ref_21"/>
      <w:pPr>
        <w:keepLines/>
        <w:spacing w:line="320" w:lineRule="exact" w:after="120"/>
        <w:ind w:hanging="454" w:left="454"/>
        <w:jc w:val="left"/>
      </w:pPr>
      <w:r>
        <w:rPr>
          <w:sz w:val="21"/>
        </w:rPr>
        <w:t xml:space="preserve">[21] GARCÍA J, FERNÁNDEZ F. A Comprehensive Survey on Safe Reinforcement Learning[J]. Journal of Machine Learning Research, 2015, 16(42): 1437–1480. </w:t>
      </w:r>
      <w:bookmarkEnd w:id="36"/>
      <w:hyperlink r:id="rId43">
        <w:r>
          <w:rPr>
            <w:color w:val="000000"/>
            <w:u w:val="single"/>
            <w:sz w:val="21"/>
          </w:rPr>
          <w:t>原始来源</w:t>
        </w:r>
      </w:hyperlink>
    </w:p>
    <w:p>
      <w:bookmarkStart w:id="37" w:name="ref_22"/>
      <w:pPr>
        <w:keepLines/>
        <w:spacing w:line="320" w:lineRule="exact" w:after="120"/>
        <w:ind w:hanging="454" w:left="454"/>
        <w:jc w:val="left"/>
      </w:pPr>
      <w:r>
        <w:rPr>
          <w:sz w:val="21"/>
        </w:rPr>
        <w:t xml:space="preserve">[22] TOBIN J, FONG R, RAY A, et al. Domain randomization for transferring deep neural networks from simulation to the real world[C]. 2017 IEEE/RSJ International Conference on Intelligent Robots and Systems (IROS), 2017: 23–30. DOI: 10.1109/IROS.2017.8202133. </w:t>
      </w:r>
      <w:bookmarkEnd w:id="37"/>
      <w:hyperlink r:id="rId44">
        <w:r>
          <w:rPr>
            <w:color w:val="000000"/>
            <w:u w:val="single"/>
            <w:sz w:val="21"/>
          </w:rPr>
          <w:t>原始来源</w:t>
        </w:r>
      </w:hyperlink>
    </w:p>
    <w:p>
      <w:bookmarkStart w:id="38" w:name="ref_23"/>
      <w:pPr>
        <w:keepLines/>
        <w:spacing w:line="320" w:lineRule="exact" w:after="120"/>
        <w:ind w:hanging="454" w:left="454"/>
        <w:jc w:val="left"/>
      </w:pPr>
      <w:r>
        <w:rPr>
          <w:sz w:val="21"/>
        </w:rPr>
        <w:t xml:space="preserve">[23] PENG XB, ANDRYCHOWICZ M, ZAREMBA W, et al. Sim-to-Real Transfer of Robotic Control with Dynamics Randomization[C]. 2018 IEEE International Conference on Robotics and Automation (ICRA), 2018: 3803–3810. DOI: 10.1109/ICRA.2018.8460528. </w:t>
      </w:r>
      <w:bookmarkEnd w:id="38"/>
      <w:hyperlink r:id="rId45">
        <w:r>
          <w:rPr>
            <w:color w:val="000000"/>
            <w:u w:val="single"/>
            <w:sz w:val="21"/>
          </w:rPr>
          <w:t>原始来源</w:t>
        </w:r>
      </w:hyperlink>
    </w:p>
    <w:p>
      <w:bookmarkStart w:id="39" w:name="ref_24"/>
      <w:pPr>
        <w:keepLines/>
        <w:spacing w:line="320" w:lineRule="exact" w:after="120"/>
        <w:ind w:hanging="454" w:left="454"/>
        <w:jc w:val="left"/>
      </w:pPr>
      <w:r>
        <w:rPr>
          <w:sz w:val="21"/>
        </w:rPr>
        <w:t xml:space="preserve">[24] ZHAO W, PEÑA QUERALTA J, WESTERLUND T. Sim-to-Real Transfer in Deep Reinforcement Learning for Robotics: a Survey[C]. 2020 IEEE Symposium Series on Computational Intelligence (SSCI), 2020: 737–744. DOI: 10.1109/SSCI47803.2020.9308468. </w:t>
      </w:r>
      <w:bookmarkEnd w:id="39"/>
      <w:hyperlink r:id="rId46">
        <w:r>
          <w:rPr>
            <w:color w:val="000000"/>
            <w:u w:val="single"/>
            <w:sz w:val="21"/>
          </w:rPr>
          <w:t>原始来源</w:t>
        </w:r>
      </w:hyperlink>
    </w:p>
    <w:p>
      <w:bookmarkStart w:id="40" w:name="ref_25"/>
      <w:pPr>
        <w:keepLines/>
        <w:spacing w:line="320" w:lineRule="exact" w:after="120"/>
        <w:ind w:hanging="454" w:left="454"/>
        <w:jc w:val="left"/>
      </w:pPr>
      <w:r>
        <w:rPr>
          <w:sz w:val="21"/>
        </w:rPr>
        <w:t xml:space="preserve">[25] TODOROV E, EREZ T, TASSA Y. MuJoCo: A physics engine for model-based control[C]. 2012 IEEE/RSJ International Conference on Intelligent Robots and Systems, 2012: 5026–5033. DOI: 10.1109/IROS.2012.6386109. </w:t>
      </w:r>
      <w:bookmarkEnd w:id="40"/>
      <w:hyperlink r:id="rId47">
        <w:r>
          <w:rPr>
            <w:color w:val="000000"/>
            <w:u w:val="single"/>
            <w:sz w:val="21"/>
          </w:rPr>
          <w:t>原始来源</w:t>
        </w:r>
      </w:hyperlink>
    </w:p>
    <w:p>
      <w:bookmarkStart w:id="41" w:name="ref_26"/>
      <w:pPr>
        <w:keepLines/>
        <w:spacing w:line="320" w:lineRule="exact" w:after="120"/>
        <w:ind w:hanging="454" w:left="454"/>
        <w:jc w:val="left"/>
      </w:pPr>
      <w:r>
        <w:rPr>
          <w:sz w:val="21"/>
        </w:rPr>
        <w:t xml:space="preserve">[26] MAKOVIYCHUK V, WAWRZYNIAK L, GUO Y, et al. Isaac Gym: High Performance GPU-Based Physics Simulation For Robot Learning[EB/OL]. arXiv:2108.10470, 2021 [2026-10-02]. </w:t>
      </w:r>
      <w:bookmarkEnd w:id="41"/>
      <w:hyperlink r:id="rId48">
        <w:r>
          <w:rPr>
            <w:color w:val="000000"/>
            <w:u w:val="single"/>
            <w:sz w:val="21"/>
          </w:rPr>
          <w:t>原始来源</w:t>
        </w:r>
      </w:hyperlink>
    </w:p>
    <w:p>
      <w:bookmarkStart w:id="42" w:name="ref_27"/>
      <w:pPr>
        <w:keepLines/>
        <w:spacing w:line="320" w:lineRule="exact" w:after="120"/>
        <w:ind w:hanging="454" w:left="454"/>
        <w:jc w:val="left"/>
      </w:pPr>
      <w:r>
        <w:rPr>
          <w:sz w:val="21"/>
        </w:rPr>
        <w:t xml:space="preserve">[27] MITTAL M, YU C, YU Q, et al. Orbit: A Unified Simulation Framework for Interactive Robot Learning Environments[J]. IEEE Robotics and Automation Letters, 2023, 8(6): 3740–3747. DOI: 10.1109/LRA.2023.3270034. </w:t>
      </w:r>
      <w:bookmarkEnd w:id="42"/>
      <w:hyperlink r:id="rId49">
        <w:r>
          <w:rPr>
            <w:color w:val="000000"/>
            <w:u w:val="single"/>
            <w:sz w:val="21"/>
          </w:rPr>
          <w:t>原始来源</w:t>
        </w:r>
      </w:hyperlink>
    </w:p>
    <w:p>
      <w:bookmarkStart w:id="43" w:name="ref_28"/>
      <w:pPr>
        <w:keepLines/>
        <w:spacing w:line="320" w:lineRule="exact" w:after="120"/>
        <w:ind w:hanging="454" w:left="454"/>
        <w:jc w:val="left"/>
      </w:pPr>
      <w:r>
        <w:rPr>
          <w:sz w:val="21"/>
        </w:rPr>
        <w:t xml:space="preserve">[28] MACENSKI S, FOOTE T, GERKEY B, et al. Robot Operating System 2: Design, architecture, and uses in the wild[J]. Science Robotics, 2022, 7(66): eabm6074. DOI: 10.1126/scirobotics.abm6074. </w:t>
      </w:r>
      <w:bookmarkEnd w:id="43"/>
      <w:hyperlink r:id="rId50">
        <w:r>
          <w:rPr>
            <w:color w:val="000000"/>
            <w:u w:val="single"/>
            <w:sz w:val="21"/>
          </w:rPr>
          <w:t>原始来源</w:t>
        </w:r>
      </w:hyperlink>
    </w:p>
    <w:p>
      <w:bookmarkStart w:id="44" w:name="ref_29"/>
      <w:pPr>
        <w:keepLines/>
        <w:spacing w:line="320" w:lineRule="exact" w:after="120"/>
        <w:ind w:hanging="454" w:left="454"/>
        <w:jc w:val="left"/>
      </w:pPr>
      <w:r>
        <w:rPr>
          <w:sz w:val="21"/>
        </w:rPr>
        <w:t xml:space="preserve">[29] SUCAN IA, MOLL M, KAVRAKI LE. The Open Motion Planning Library[J]. IEEE Robotics &amp; Automation Magazine, 2012, 19(4): 72–82. DOI: 10.1109/MRA.2012.2205651. </w:t>
      </w:r>
      <w:bookmarkEnd w:id="44"/>
      <w:hyperlink r:id="rId51">
        <w:r>
          <w:rPr>
            <w:color w:val="000000"/>
            <w:u w:val="single"/>
            <w:sz w:val="21"/>
          </w:rPr>
          <w:t>原始来源</w:t>
        </w:r>
      </w:hyperlink>
    </w:p>
    <w:p>
      <w:bookmarkStart w:id="45" w:name="ref_30"/>
      <w:pPr>
        <w:keepLines/>
        <w:spacing w:line="320" w:lineRule="exact" w:after="120"/>
        <w:ind w:hanging="454" w:left="454"/>
        <w:jc w:val="left"/>
      </w:pPr>
      <w:r>
        <w:rPr>
          <w:sz w:val="21"/>
        </w:rPr>
        <w:t xml:space="preserve">[30] HENDERSON P, ISLAM R, BACHMAN P, et al. Deep Reinforcement Learning That Matters[J]. Proceedings of the AAAI Conference on Artificial Intelligence, 2018, 32(1). DOI: 10.1609/aaai.v32i1.11694. </w:t>
      </w:r>
      <w:bookmarkEnd w:id="45"/>
      <w:hyperlink r:id="rId52">
        <w:r>
          <w:rPr>
            <w:color w:val="000000"/>
            <w:u w:val="single"/>
            <w:sz w:val="21"/>
          </w:rPr>
          <w:t>原始来源</w:t>
        </w:r>
      </w:hyperlink>
    </w:p>
    <w:p>
      <w:bookmarkStart w:id="46" w:name="ref_31"/>
      <w:pPr>
        <w:keepLines/>
        <w:spacing w:line="320" w:lineRule="exact" w:after="120"/>
        <w:ind w:hanging="454" w:left="454"/>
        <w:jc w:val="left"/>
      </w:pPr>
      <w:r>
        <w:rPr>
          <w:sz w:val="21"/>
        </w:rPr>
        <w:t xml:space="preserve">[31] PINEAU J, VINCENT-LAMARRE P, SINHA K, et al. Improving Reproducibility in Machine Learning Research (A Report from the NeurIPS 2019 Reproducibility Program)[J]. Journal of Machine Learning Research, 2021, 22(164): 1–20. </w:t>
      </w:r>
      <w:bookmarkEnd w:id="46"/>
      <w:hyperlink r:id="rId53">
        <w:r>
          <w:rPr>
            <w:color w:val="000000"/>
            <w:u w:val="single"/>
            <w:sz w:val="21"/>
          </w:rPr>
          <w:t>原始来源</w:t>
        </w:r>
      </w:hyperlink>
    </w:p>
    <w:p>
      <w:bookmarkStart w:id="47" w:name="ref_32"/>
      <w:pPr>
        <w:keepLines/>
        <w:spacing w:line="320" w:lineRule="exact" w:after="120"/>
        <w:ind w:hanging="454" w:left="454"/>
        <w:jc w:val="left"/>
      </w:pPr>
      <w:r>
        <w:rPr>
          <w:sz w:val="21"/>
        </w:rPr>
        <w:t xml:space="preserve">[32] EFRON B. Bootstrap Methods: Another Look at the Jackknife[J]. The Annals of Statistics, 1979, 7(1): 1–26. DOI: 10.1214/aos/1176344552. </w:t>
      </w:r>
      <w:bookmarkEnd w:id="47"/>
      <w:hyperlink r:id="rId54">
        <w:r>
          <w:rPr>
            <w:color w:val="000000"/>
            <w:u w:val="single"/>
            <w:sz w:val="21"/>
          </w:rPr>
          <w:t>原始来源</w:t>
        </w:r>
      </w:hyperlink>
    </w:p>
    <w:p>
      <w:bookmarkStart w:id="48" w:name="ref_33"/>
      <w:pPr>
        <w:keepLines/>
        <w:spacing w:line="320" w:lineRule="exact" w:after="120"/>
        <w:ind w:hanging="454" w:left="454"/>
        <w:jc w:val="left"/>
      </w:pPr>
      <w:r>
        <w:rPr>
          <w:sz w:val="21"/>
        </w:rPr>
        <w:t xml:space="preserve">[33] 机器人控制方法、装置及存储介质[Z]. 用户提供的专利文稿：1555_PN363626_定稿.docx，版本日期未注明，参阅日期 2026-10-02. 未确认公开申请号及授权状态。 </w:t>
      </w:r>
      <w:bookmarkEnd w:id="48"/>
      <w:hyperlink r:id="rId55">
        <w:r>
          <w:rPr>
            <w:color w:val="000000"/>
            <w:u w:val="single"/>
            <w:sz w:val="21"/>
          </w:rPr>
          <w:t>资料文件</w:t>
        </w:r>
      </w:hyperlink>
    </w:p>
    <w:p>
      <w:bookmarkStart w:id="49" w:name="ref_34"/>
      <w:pPr>
        <w:keepLines/>
        <w:spacing w:line="320" w:lineRule="exact" w:after="120"/>
        <w:ind w:hanging="454" w:left="454"/>
        <w:jc w:val="left"/>
      </w:pPr>
      <w:r>
        <w:rPr>
          <w:sz w:val="21"/>
        </w:rPr>
        <w:t xml:space="preserve">[34] BIG-small 项目资料[Z]. docs/current_authoritative_status.md；docs/architecture.md；2026-10-03 RGB-D 研究设计与开发执行计划；P1 及 T2 增补验收；历史部署与实验验证报告. 历史部署截至 2026-10-02，阶段验收与工作区截至 2026-10-03；后续研究目标不视为已完成. </w:t>
      </w:r>
      <w:bookmarkEnd w:id="49"/>
      <w:hyperlink r:id="rId56">
        <w:r>
          <w:rPr>
            <w:color w:val="000000"/>
            <w:u w:val="single"/>
            <w:sz w:val="21"/>
          </w:rPr>
          <w:t>资料文件</w:t>
        </w:r>
      </w:hyperlink>
    </w:p>
    <w:p>
      <w:bookmarkStart w:id="50" w:name="ref_35"/>
      <w:pPr>
        <w:keepLines/>
        <w:spacing w:line="320" w:lineRule="exact" w:after="120"/>
        <w:ind w:hanging="454" w:left="454"/>
        <w:jc w:val="left"/>
      </w:pPr>
      <w:r>
        <w:rPr>
          <w:sz w:val="21"/>
        </w:rPr>
        <w:t xml:space="preserve">[35] CHINCHALI S, SHARMA A, HARRISON J, et al. Network Offloading Policies for Cloud Robotics: A Learning-Based Approach[C]. Robotics: Science and Systems, 2019. DOI: 10.15607/RSS.2019.XV.063. </w:t>
      </w:r>
      <w:bookmarkEnd w:id="50"/>
      <w:hyperlink r:id="rId57">
        <w:r>
          <w:rPr>
            <w:color w:val="000000"/>
            <w:u w:val="single"/>
            <w:sz w:val="21"/>
          </w:rPr>
          <w:t>原始来源</w:t>
        </w:r>
      </w:hyperlink>
    </w:p>
    <w:p>
      <w:bookmarkStart w:id="51" w:name="ref_36"/>
      <w:pPr>
        <w:keepLines/>
        <w:spacing w:line="320" w:lineRule="exact" w:after="120"/>
        <w:ind w:hanging="454" w:left="454"/>
        <w:jc w:val="left"/>
      </w:pPr>
      <w:r>
        <w:rPr>
          <w:sz w:val="21"/>
        </w:rPr>
        <w:t xml:space="preserve">[36] REN A Z, DIXIT A, BODROVA A, et al. Robots That Ask For Help: Uncertainty Alignment for Large Language Model Planners[C]. Proceedings of the 7th Conference on Robot Learning. PMLR, 2023, 229: 661–682. </w:t>
      </w:r>
      <w:bookmarkEnd w:id="51"/>
      <w:hyperlink r:id="rId58">
        <w:r>
          <w:rPr>
            <w:color w:val="000000"/>
            <w:u w:val="single"/>
            <w:sz w:val="21"/>
          </w:rPr>
          <w:t>原始来源</w:t>
        </w:r>
      </w:hyperlink>
    </w:p>
    <w:p>
      <w:bookmarkStart w:id="52" w:name="ref_37"/>
      <w:pPr>
        <w:keepLines/>
        <w:spacing w:line="320" w:lineRule="exact" w:after="120"/>
        <w:ind w:hanging="454" w:left="454"/>
        <w:jc w:val="left"/>
      </w:pPr>
      <w:r>
        <w:rPr>
          <w:sz w:val="21"/>
        </w:rPr>
        <w:t xml:space="preserve">[37] MANDLEKAR A, NASIRIANY S, WEN B, et al. MimicGen: A Data Generation System for Scalable Robot Learning using Human Demonstrations[C]. Proceedings of the 7th Conference on Robot Learning. PMLR, 2023, 229: 1820–1864. </w:t>
      </w:r>
      <w:bookmarkEnd w:id="52"/>
      <w:hyperlink r:id="rId59">
        <w:r>
          <w:rPr>
            <w:color w:val="000000"/>
            <w:u w:val="single"/>
            <w:sz w:val="21"/>
          </w:rPr>
          <w:t>原始来源</w:t>
        </w:r>
      </w:hyperlink>
    </w:p>
    <w:p>
      <w:bookmarkStart w:id="53" w:name="ref_38"/>
      <w:pPr>
        <w:keepLines/>
        <w:spacing w:line="320" w:lineRule="exact" w:after="120"/>
        <w:ind w:hanging="454" w:left="454"/>
        <w:jc w:val="left"/>
      </w:pPr>
      <w:r>
        <w:rPr>
          <w:sz w:val="21"/>
        </w:rPr>
        <w:t xml:space="preserve">[38] PENG D, MA F, WANG B, et al. Latency-Tolerant Cloud-Edge Collaborative Vision-Language-Action Models via Emergent Representational Specialization[EB/OL]. arXiv:2608.00569, 2026，采用 2026-09-16 v3 [2026-10-03]. 预印本. </w:t>
      </w:r>
      <w:bookmarkEnd w:id="53"/>
      <w:hyperlink r:id="rId60">
        <w:r>
          <w:rPr>
            <w:color w:val="000000"/>
            <w:u w:val="single"/>
            <w:sz w:val="21"/>
          </w:rPr>
          <w:t>原始来源</w:t>
        </w:r>
      </w:hyperlink>
    </w:p>
    <w:p>
      <w:bookmarkStart w:id="54" w:name="ref_39"/>
      <w:pPr>
        <w:keepLines/>
        <w:spacing w:line="320" w:lineRule="exact" w:after="120"/>
        <w:ind w:hanging="454" w:left="454"/>
        <w:jc w:val="left"/>
      </w:pPr>
      <w:r>
        <w:rPr>
          <w:sz w:val="21"/>
        </w:rPr>
        <w:t xml:space="preserve">[39] OBI I, VENKATESH V L N, WANG W, et al. Pre-Execution Safety Gate &amp; Task Safety Contracts for LLM-Controlled Robot Systems[EB/OL]. arXiv:2604.05427, 2026 [2026-10-03]. 预印本. </w:t>
      </w:r>
      <w:bookmarkEnd w:id="54"/>
      <w:hyperlink r:id="rId61">
        <w:r>
          <w:rPr>
            <w:color w:val="000000"/>
            <w:u w:val="single"/>
            <w:sz w:val="21"/>
          </w:rPr>
          <w:t>原始来源</w:t>
        </w:r>
      </w:hyperlink>
    </w:p>
    <w:p>
      <w:bookmarkStart w:id="55" w:name="ref_40"/>
      <w:pPr>
        <w:keepLines/>
        <w:spacing w:line="320" w:lineRule="exact" w:after="120"/>
        <w:ind w:hanging="454" w:left="454"/>
        <w:jc w:val="left"/>
      </w:pPr>
      <w:r>
        <w:rPr>
          <w:sz w:val="21"/>
        </w:rPr>
        <w:t xml:space="preserve">[40] XUE Y, LU G, WU Z, et al. RESample: A Robust Data Augmentation Framework via Exploratory Sampling for Robotic Manipulation[EB/OL]. arXiv:2510.17640, 2025，采用 2026-08-05 v4 [2026-10-03]. 预印本，投稿状态不作为正式发表记录. </w:t>
      </w:r>
      <w:bookmarkEnd w:id="55"/>
      <w:hyperlink r:id="rId62">
        <w:r>
          <w:rPr>
            <w:color w:val="000000"/>
            <w:u w:val="single"/>
            <w:sz w:val="21"/>
          </w:rPr>
          <w:t>原始来源</w:t>
        </w:r>
      </w:hyperlink>
    </w:p>
    <w:p>
      <w:bookmarkStart w:id="56" w:name="ref_41"/>
      <w:pPr>
        <w:keepLines/>
        <w:spacing w:line="320" w:lineRule="exact" w:after="120"/>
        <w:ind w:hanging="454" w:left="454"/>
        <w:jc w:val="left"/>
      </w:pPr>
      <w:r>
        <w:rPr>
          <w:sz w:val="21"/>
        </w:rPr>
        <w:t xml:space="preserve">[41] TYPESAFE AI. Introduction[EB/OL]. Jev official documentation [2026-10-03]. </w:t>
      </w:r>
      <w:bookmarkEnd w:id="56"/>
      <w:hyperlink r:id="rId63">
        <w:r>
          <w:rPr>
            <w:color w:val="000000"/>
            <w:u w:val="single"/>
            <w:sz w:val="21"/>
          </w:rPr>
          <w:t>官方文档</w:t>
        </w:r>
      </w:hyperlink>
    </w:p>
    <w:p>
      <w:bookmarkStart w:id="57" w:name="ref_42"/>
      <w:pPr>
        <w:keepLines/>
        <w:spacing w:line="320" w:lineRule="exact" w:after="120"/>
        <w:ind w:hanging="454" w:left="454"/>
        <w:jc w:val="left"/>
      </w:pPr>
      <w:r>
        <w:rPr>
          <w:sz w:val="21"/>
        </w:rPr>
        <w:t xml:space="preserve">[42] TYPESAFE AI. Confidence[EB/OL]. Jev official documentation [2026-10-03]. </w:t>
      </w:r>
      <w:bookmarkEnd w:id="57"/>
      <w:hyperlink r:id="rId64">
        <w:r>
          <w:rPr>
            <w:color w:val="000000"/>
            <w:u w:val="single"/>
            <w:sz w:val="21"/>
          </w:rPr>
          <w:t>官方文档</w:t>
        </w:r>
      </w:hyperlink>
    </w:p>
    <w:sectPr w:rsidR="00FC693F" w:rsidRPr="0006063C" w:rsidSect="00034616">
      <w:headerReference w:type="default" r:id="rId9"/>
      <w:footerReference w:type="default" r:id="rId10"/>
      <w:pgSz w:w="12240" w:h="15840"/>
      <w:pgMar w:top="1304" w:right="1417" w:bottom="1247" w:left="1417" w:header="624" w:footer="624" w:gutter="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  </w:t>
    </w:r>
    <w:fldSimple w:instr="PAGE"/>
    <w: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BIG-small  ·  RGB-D 证据约束的云边协同研究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440" w:lineRule="exact"/>
      <w:ind w:firstLine="480"/>
      <w:jc w:val="both"/>
      <w:snapToGrid w:val="false"/>
    </w:pPr>
    <w:rPr>
      <w:rFonts w:ascii="Times New Roman" w:hAnsi="Times New Roman" w:eastAsia="Noto Serif CJK SC"/>
      <w:i w:val="0"/>
      <w:color w:val="000000"/>
      <w:sz w:val="24"/>
      <w:lang w:val="en-US" w:eastAsia="zh-CN"/>
    </w:rPr>
  </w:style>
  <w:style w:type="paragraph" w:styleId="Header">
    <w:name w:val="header"/>
    <w:basedOn w:val="Normal"/>
    <w:link w:val="HeaderChar"/>
    <w:uiPriority w:val="99"/>
    <w:unhideWhenUsed/>
    <w:rsid w:val="00E618BF"/>
    <w:pPr>
      <w:widowControl/>
      <w:tabs>
        <w:tab w:val="center" w:pos="4680"/>
        <w:tab w:val="right" w:pos="9360"/>
      </w:tabs>
      <w:spacing w:after="120" w:line="400" w:lineRule="exact"/>
      <w:ind w:firstLine="0"/>
    </w:pPr>
    <w:rPr>
      <w:rFonts w:ascii="Times New Roman" w:hAnsi="Times New Roman" w:eastAsia="Noto Sans CJK SC"/>
      <w:i w:val="0"/>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20" w:line="400" w:lineRule="exact"/>
      <w:ind w:firstLine="0"/>
    </w:pPr>
    <w:rPr>
      <w:rFonts w:ascii="Times New Roman" w:hAnsi="Times New Roman" w:eastAsia="Noto Serif CJK SC"/>
      <w:i w:val="0"/>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40" w:line="400" w:lineRule="exact"/>
      <w:ind w:firstLine="0"/>
      <w:outlineLvl w:val="0"/>
      <w:snapToGrid w:val="false"/>
    </w:pPr>
    <w:rPr>
      <w:rFonts w:asciiTheme="majorHAnsi" w:eastAsiaTheme="majorEastAsia" w:hAnsiTheme="majorHAnsi" w:cstheme="majorBidi" w:ascii="Times New Roman" w:hAnsi="Times New Roman" w:eastAsia="Noto Sans CJK SC"/>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400" w:lineRule="exact"/>
      <w:ind w:firstLine="0"/>
      <w:outlineLvl w:val="1"/>
      <w:snapToGrid w:val="false"/>
    </w:pPr>
    <w:rPr>
      <w:rFonts w:asciiTheme="majorHAnsi" w:eastAsiaTheme="majorEastAsia" w:hAnsiTheme="majorHAnsi" w:cstheme="majorBidi" w:ascii="Times New Roman" w:hAnsi="Times New Roman" w:eastAsia="Noto Sans CJK SC"/>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40" w:line="400" w:lineRule="exact"/>
      <w:ind w:firstLine="0"/>
      <w:outlineLvl w:val="2"/>
    </w:pPr>
    <w:rPr>
      <w:rFonts w:asciiTheme="majorHAnsi" w:eastAsiaTheme="majorEastAsia" w:hAnsiTheme="majorHAnsi" w:cstheme="majorBidi" w:ascii="Times New Roman" w:hAnsi="Times New Roman" w:eastAsia="Noto Sans CJK SC"/>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20" w:line="276" w:lineRule="auto"/>
      <w:ind w:firstLine="0"/>
      <w:contextualSpacing/>
      <w:snapToGrid w:val="false"/>
    </w:pPr>
    <w:rPr>
      <w:rFonts w:asciiTheme="majorHAnsi" w:eastAsiaTheme="majorEastAsia" w:hAnsiTheme="majorHAnsi" w:cstheme="majorBidi" w:ascii="Times New Roman" w:hAnsi="Times New Roman" w:eastAsia="Noto Sans CJK SC"/>
      <w:i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400" w:lineRule="exact"/>
      <w:ind w:firstLine="0"/>
      <w:snapToGrid w:val="false"/>
    </w:pPr>
    <w:rPr>
      <w:rFonts w:asciiTheme="majorHAnsi" w:eastAsiaTheme="majorEastAsia" w:hAnsiTheme="majorHAnsi" w:cstheme="majorBidi" w:ascii="Times New Roman" w:hAnsi="Times New Roman" w:eastAsia="Noto Sans CJK SC"/>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400" w:lineRule="exact" w:after="180"/>
      <w:ind w:firstLine="0"/>
      <w:snapToGrid w:val="false"/>
    </w:pPr>
    <w:rPr>
      <w:rFonts w:ascii="Times New Roman" w:hAnsi="Times New Roman" w:eastAsia="Noto Serif CJK SC"/>
      <w:b/>
      <w:bCs/>
      <w:i w:val="0"/>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hyperlink" Target="https://doi.org/10.1109/tase.2014.2376492" TargetMode="External"/><Relationship Id="rId24" Type="http://schemas.openxmlformats.org/officeDocument/2006/relationships/hyperlink" Target="https://doi.org/10.1109/jiot.2016.2579198" TargetMode="External"/><Relationship Id="rId25" Type="http://schemas.openxmlformats.org/officeDocument/2006/relationships/hyperlink" Target="https://doi.org/10.1109/jproc.2019.2918951" TargetMode="External"/><Relationship Id="rId26" Type="http://schemas.openxmlformats.org/officeDocument/2006/relationships/hyperlink" Target="https://doi.org/10.1109/jproc.2006.887288" TargetMode="External"/><Relationship Id="rId27" Type="http://schemas.openxmlformats.org/officeDocument/2006/relationships/hyperlink" Target="https://doi.org/10.1109/tac.2007.904277" TargetMode="External"/><Relationship Id="rId28" Type="http://schemas.openxmlformats.org/officeDocument/2006/relationships/hyperlink" Target="https://doi.org/10.1109/cdc.2012.6425820" TargetMode="External"/><Relationship Id="rId29" Type="http://schemas.openxmlformats.org/officeDocument/2006/relationships/hyperlink" Target="https://doi.org/10.1109/jsac.2021.3065072" TargetMode="External"/><Relationship Id="rId30" Type="http://schemas.openxmlformats.org/officeDocument/2006/relationships/hyperlink" Target="https://doi.org/10.1109/icra.2011.5980391" TargetMode="External"/><Relationship Id="rId31" Type="http://schemas.openxmlformats.org/officeDocument/2006/relationships/hyperlink" Target="https://arxiv.org/abs/1709.00084" TargetMode="External"/><Relationship Id="rId32" Type="http://schemas.openxmlformats.org/officeDocument/2006/relationships/hyperlink" Target="https://arxiv.org/abs/2204.01691" TargetMode="External"/><Relationship Id="rId33" Type="http://schemas.openxmlformats.org/officeDocument/2006/relationships/hyperlink" Target="https://arxiv.org/abs/2207.05608" TargetMode="External"/><Relationship Id="rId34" Type="http://schemas.openxmlformats.org/officeDocument/2006/relationships/hyperlink" Target="https://arxiv.org/abs/2209.07753" TargetMode="External"/><Relationship Id="rId35" Type="http://schemas.openxmlformats.org/officeDocument/2006/relationships/hyperlink" Target="https://arxiv.org/abs/2307.05973" TargetMode="External"/><Relationship Id="rId36" Type="http://schemas.openxmlformats.org/officeDocument/2006/relationships/hyperlink" Target="https://arxiv.org/abs/2307.15818" TargetMode="External"/><Relationship Id="rId37" Type="http://schemas.openxmlformats.org/officeDocument/2006/relationships/hyperlink" Target="https://arxiv.org/abs/2406.09246" TargetMode="External"/><Relationship Id="rId38" Type="http://schemas.openxmlformats.org/officeDocument/2006/relationships/hyperlink" Target="https://arxiv.org/abs/2504.16054" TargetMode="External"/><Relationship Id="rId39" Type="http://schemas.openxmlformats.org/officeDocument/2006/relationships/hyperlink" Target="https://doi.org/10.1109/ms.2001.936213" TargetMode="External"/><Relationship Id="rId40" Type="http://schemas.openxmlformats.org/officeDocument/2006/relationships/hyperlink" Target="https://doi.org/10.1109/tac.2016.2638961" TargetMode="External"/><Relationship Id="rId41" Type="http://schemas.openxmlformats.org/officeDocument/2006/relationships/hyperlink" Target="https://doi.org/10.1609/aaai.v32i1.11797" TargetMode="External"/><Relationship Id="rId42" Type="http://schemas.openxmlformats.org/officeDocument/2006/relationships/hyperlink" Target="https://doi.org/10.1109/lics.1996.561342" TargetMode="External"/><Relationship Id="rId43" Type="http://schemas.openxmlformats.org/officeDocument/2006/relationships/hyperlink" Target="https://jmlr.org/papers/v16/garcia15a.html" TargetMode="External"/><Relationship Id="rId44" Type="http://schemas.openxmlformats.org/officeDocument/2006/relationships/hyperlink" Target="https://doi.org/10.1109/iros.2017.8202133" TargetMode="External"/><Relationship Id="rId45" Type="http://schemas.openxmlformats.org/officeDocument/2006/relationships/hyperlink" Target="https://doi.org/10.1109/icra.2018.8460528" TargetMode="External"/><Relationship Id="rId46" Type="http://schemas.openxmlformats.org/officeDocument/2006/relationships/hyperlink" Target="https://doi.org/10.1109/ssci47803.2020.9308468" TargetMode="External"/><Relationship Id="rId47" Type="http://schemas.openxmlformats.org/officeDocument/2006/relationships/hyperlink" Target="https://doi.org/10.1109/iros.2012.6386109" TargetMode="External"/><Relationship Id="rId48" Type="http://schemas.openxmlformats.org/officeDocument/2006/relationships/hyperlink" Target="https://arxiv.org/abs/2108.10470" TargetMode="External"/><Relationship Id="rId49" Type="http://schemas.openxmlformats.org/officeDocument/2006/relationships/hyperlink" Target="https://doi.org/10.1109/lra.2023.3270034" TargetMode="External"/><Relationship Id="rId50" Type="http://schemas.openxmlformats.org/officeDocument/2006/relationships/hyperlink" Target="https://doi.org/10.1126/scirobotics.abm6074" TargetMode="External"/><Relationship Id="rId51" Type="http://schemas.openxmlformats.org/officeDocument/2006/relationships/hyperlink" Target="https://doi.org/10.1109/mra.2012.2205651" TargetMode="External"/><Relationship Id="rId52" Type="http://schemas.openxmlformats.org/officeDocument/2006/relationships/hyperlink" Target="https://doi.org/10.1609/aaai.v32i1.11694" TargetMode="External"/><Relationship Id="rId53" Type="http://schemas.openxmlformats.org/officeDocument/2006/relationships/hyperlink" Target="https://jmlr.org/papers/v22/20-303.html" TargetMode="External"/><Relationship Id="rId54" Type="http://schemas.openxmlformats.org/officeDocument/2006/relationships/hyperlink" Target="https://doi.org/10.1214/aos/1176344552" TargetMode="External"/><Relationship Id="rId55" Type="http://schemas.openxmlformats.org/officeDocument/2006/relationships/hyperlink" Target="/home/ningyd/.codex/attachments/69dd2b56-5852-45db-b513-3159d687aeec/1555_PN363626_&#23450;&#31295;.docx" TargetMode="External"/><Relationship Id="rId56" Type="http://schemas.openxmlformats.org/officeDocument/2006/relationships/hyperlink" Target="/home/ningyd/&#25991;&#26723;/ChatGPT/BIGsmall/docs/current_authoritative_status.md" TargetMode="External"/><Relationship Id="rId57" Type="http://schemas.openxmlformats.org/officeDocument/2006/relationships/hyperlink" Target="https://www.roboticsproceedings.org/rss15/p63.html" TargetMode="External"/><Relationship Id="rId58" Type="http://schemas.openxmlformats.org/officeDocument/2006/relationships/hyperlink" Target="https://proceedings.mlr.press/v229/ren23a.html" TargetMode="External"/><Relationship Id="rId59" Type="http://schemas.openxmlformats.org/officeDocument/2006/relationships/hyperlink" Target="https://proceedings.mlr.press/v229/mandlekar23a.html" TargetMode="External"/><Relationship Id="rId60" Type="http://schemas.openxmlformats.org/officeDocument/2006/relationships/hyperlink" Target="https://arxiv.org/abs/2608.00569" TargetMode="External"/><Relationship Id="rId61" Type="http://schemas.openxmlformats.org/officeDocument/2006/relationships/hyperlink" Target="https://arxiv.org/abs/2604.05427" TargetMode="External"/><Relationship Id="rId62" Type="http://schemas.openxmlformats.org/officeDocument/2006/relationships/hyperlink" Target="https://arxiv.org/abs/2510.17640" TargetMode="External"/><Relationship Id="rId63" Type="http://schemas.openxmlformats.org/officeDocument/2006/relationships/hyperlink" Target="https://docs.typesafe.ai/introduction" TargetMode="External"/><Relationship Id="rId64" Type="http://schemas.openxmlformats.org/officeDocument/2006/relationships/hyperlink" Target="https://docs.typesafe.ai/confid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面向边缘智能场景的小型机械臂云边协同控制系统的设计——开题报告</dc:title>
  <dc:subject>感知不确定性与时效约束的云边决策；视觉证据契约与验证驱动的最小局部修复；创新及预期提升</dc:subject>
  <dc:creator/>
  <cp:keywords>云边协同,RGB-D,感知不确定性,证据有效期,局部修复,MuJoCo</cp:keywords>
  <dc:description/>
  <cp:lastModifiedBy/>
  <cp:revision>1</cp:revision>
  <dcterms:created xsi:type="dcterms:W3CDTF">2013-12-23T23:15:00Z</dcterms:created>
  <dcterms:modified xsi:type="dcterms:W3CDTF">2013-12-23T23:15:00Z</dcterms:modified>
  <cp:category/>
</cp:coreProperties>
</file>