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0" w:end="0" w:start="0"/>
        <w:jc w:val="center"/>
        <w:spacing w:before="0" w:after="120" w:line="320" w:lineRule="exact"/>
        <w:snapToGrid w:val="0"/>
        <w:widowControl w:val="1"/>
        <w:keepNext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学校及学院：________________________________</w:t>
      </w:r>
    </w:p>
    <w:p>
      <w:pPr>
        <w:pStyle w:val="Title"/>
        <w:ind w:firstLine="0" w:end="0" w:start="0"/>
        <w:jc w:val="center"/>
        <w:spacing w:before="0" w:after="200" w:line="320" w:lineRule="exact"/>
        <w:snapToGrid w:val="0"/>
        <w:widowControl w:val="1"/>
        <w:keepNext w:val="1"/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>论文开题报告申请表</w:t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>
          <w:trHeight w:val="465" w:hRule="atLeast"/>
          <w:cantSplit/>
        </w:trPr>
        <w:tc>
          <w:tcPr>
            <w:tcW w:w="6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学生姓名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论文名称</w:t>
            </w:r>
          </w:p>
        </w:tc>
        <w:tc>
          <w:tcPr>
            <w:tcW w:w="55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面向边缘智能场景的小型机械臂云边协同控制系统的设计</w:t>
            </w:r>
          </w:p>
        </w:tc>
      </w:tr>
      <w:tr>
        <w:trPr>
          <w:trHeight w:val="465" w:hRule="atLeast"/>
          <w:cantSplit/>
        </w:trPr>
        <w:tc>
          <w:tcPr>
            <w:tcW w:w="6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论文类型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工程类（√）／研究类（ ）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专业学位领域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集成电路工程</w:t>
            </w:r>
          </w:p>
        </w:tc>
      </w:tr>
      <w:tr>
        <w:trPr>
          <w:trHeight w:val="435" w:hRule="atLeast"/>
          <w:cantSplit/>
        </w:trPr>
        <w:tc>
          <w:tcPr>
            <w:tcW w:w="1008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申请开题日期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2026年10月24日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企业合作导师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</w:tr>
      <w:tr>
        <w:trPr>
          <w:trHeight w:val="459" w:hRule="atLeast"/>
          <w:cantSplit/>
        </w:trPr>
        <w:tc>
          <w:tcPr>
            <w:tcW w:w="100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216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学院指导教师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</w:tr>
      <w:tr>
        <w:trPr>
          <w:trHeight w:val="459" w:hRule="atLeast"/>
          <w:cantSplit/>
        </w:trPr>
        <w:tc>
          <w:tcPr>
            <w:tcW w:w="10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学号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研究方向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嵌入式智能系统与云边端协同控制</w:t>
            </w:r>
          </w:p>
        </w:tc>
      </w:tr>
      <w:tr>
        <w:trPr>
          <w:trHeight w:val="2156" w:hRule="atLeast"/>
        </w:trPr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技术背景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一、选题意义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针对小型机械臂边缘计算资源有限、云端响应存在延迟以及视觉信息可能失效的问题，研究云端规划、边缘决策与端侧感知执行相结合的控制系统。通过在任务成功率和安全约束下优化计算与通信分工，为面向嵌入式处理器的智能控制系统设计、接口组织和资源利用提供工程依据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国内外研究现状与立项依据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云机器人通过远程计算和共享资源扩展机器人能力，边缘计算则将部分处理任务部署在靠近传感器与执行器的位置，以改善响应时间和带宽利用[1-2]。已有机器人网络卸载研究将感知不确定性和通信成本纳入决策[3]；语言模型机器人研究通过技能可行性约束，将高层语义规划连接到物理执行[4]。这些工作为本课题的分层方案提供了基础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实际操作任务而言，云端返回的方案可能依赖过期观测，端侧感知也可能受到遮挡和无效深度影响。因此，本课题重点研究“当前证据能否支持动作执行”以及“证据失效后如何有限修复”，在已有云边协同框架上建立从观测、判断、动作到效果验证的闭环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依托BIGsmall项目，专业关联重点为嵌入式计算任务划分、传感与控制接口、通信资源约束及系统可靠性验证。近期以物理仿真和模拟云边端部署为主要验证环境，板级部署与真实机械臂验证另按设备条件开展，相关结论限定于实际验证范围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主要参考文献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[1] Kehoe B, et al. A Survey of Research on Cloud Robotics and Automation. IEEE TASE, 2015, 12(2): 398–409.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[2] Shi W, et al. Edge Computing: Vision and Challenges. IEEE Internet of Things Journal, 2016, 3(5): 637–646.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[3] Chinchali S, et al. Network Offloading Policies for Cloud Robotics: A Learning-Based Approach. Robotics: Science and Systems, 2019.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[4] Ahn M, et al. Do As I Can, Not As I Say: Grounding Language in Robotic Affordances. Conference on Robot Learning, 2022.</w:t>
            </w:r>
          </w:p>
        </w:tc>
      </w:tr>
      <w:tr>
        <w:trPr>
          <w:trHeight w:val="4038" w:hRule="atLeast"/>
        </w:trPr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pageBreakBefore w:val="1"/>
              <w:ind w:firstLine="0" w:end="0" w:start="0"/>
              <w:jc w:val="center"/>
              <w:spacing w:before="0" w:after="50" w:line="320" w:lineRule="exact"/>
              <w:snapToGrid w:val="0"/>
              <w:widowControl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研究开发方案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keepNext w:val="1"/>
              <w:pageBreakBefore w:val="1"/>
              <w:ind w:firstLine="0" w:end="0" w:start="0"/>
              <w:jc w:val="left"/>
              <w:spacing w:before="0" w:after="50" w:line="320" w:lineRule="exact"/>
              <w:snapToGrid w:val="0"/>
              <w:widowControl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二、研究内容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1. 已完成的工作</w:t>
            </w:r>
          </w:p>
          <w:p>
            <w:pPr>
              <w:pStyle w:val="Normal"/>
              <w:keepNext w:val="0"/>
              <w:keepLines w:val="1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已建立任务契约、周期云端监督、事件触发边缘自治、模式选择、技能执行和安全检查等软件模块，并形成MuJoCo仿真运行、可视化工作台及实验记录工具。云端历史记录包括35次真实Max请求及响应有效性核验；端侧已实现OpenCV身份检查、RGB-D几何条件和三值判断，一次限定开发轨迹的4,807帧均完成原始读出及标记观测核验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当前资产已实际采集100组开发数据，运行来源和时效窗口软件已完成部分限定验收。上述工作证明了软件和局部仿真链路具备研究基础，尚不能替代完整动作资格或正式方法验证；旧版120组先导仅5组成功的负结果继续保留，后续需先建立合格基础闭环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2. 研究方案与技术路线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云端沿用项目既定的Qwen3.8-Max方案，负责初始任务规划、监督与重规划；边缘侧汇总观测和执行状态，近期采用规则与实测成本进行受约束判断，边缘模型选型后置；端侧采用OpenCV、RGB-D几何及已选可见姿态标记，保留顶视相机、现有控制器、技能执行器与SafetyShield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技术路线：任务输入 → 云端规划 → 边缘证据与能力检查 → 端侧受控执行 → 新观测与效果验证 → 继续、重观测、修复、请求云端或停止。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拟解决三个关键问题：一是将目标身份、观测时刻、标定版本和几何误差界与动作绑定，在云端返回及动作提交前复核；二是在满足能力与风险约束的候选中，联合考虑计算、通信和任务代价；三是根据证据依赖定位受影响的未完成步骤，在有限预算内局部修复，并保护已经确认完成的物理效果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模型请求异步执行，普通决策在技能边界应用，硬停止独立于模型响应。研究中记录实际计算平台、CPU/GPU占用、内存、收发字节和端到端延迟，评价软硬件接口组织及资源分配对系统性能的影响。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3. 研究目标与验证方法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采用相同场景、模型、控制器及安全约束，对比周期监督、固定阈值事件触发、规则模式选择和拟研究方法；先在0.5、1、2、5秒周期上筛选合格基线，再开展相互隔离的基础先导、方法冻结、功效先导和正式实验。正式样本量按预定功效规则从每方法600、1,200、1,800、2,400个配对场景组中选择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计划目标包括：有效定位误差P90不超过10 mm，独立静态抓放成功率不低于90%；相对合格周期基线，云请求均值降低至少30%，同时满足成功率差单侧95%下界大于−3个百分点、安全违规率差单侧95%上界不超过+1个百分点；在预定义200个可恢复故障组中，恢复成功率不低于80%。以上均为待验证目标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在线效果验证与独立物理评价共同判定任务成功。训练、标定、选择与测试按来源组隔离；原始失败、超时、停止和阻塞均保留。现有软件、数据和仿真平台可支持方法开发，近期重点是补齐几何、时效与执行边界，再进入正式对照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三、论文架构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第一章 绪论：研究背景、国内外现状、研究问题与主要内容。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第二章 系统需求与总体设计：任务约束、计算平台、云边端分工、传感与控制接口、资源预算。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第三章 端侧视觉与证据约束：RGB-D采集、身份与姿态观测、几何误差、有效期及效果验证。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第四章 云边协同决策：任务契约、周期与事件机制、风险校准、成本决策及模式切换。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第五章 局部修复与系统实现：失败依赖、恢复预算、完成效果保护、控制器集成与状态持久化。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第六章 实验与性能分析：基线筛选、正式比较、消融与恢复、资源开销、失败分析及复现。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第七章 总结与展望：研究结论、工程价值、局限与后续板级及实机验证。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四、成果展示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已申请发明专利1项：《机器人控制方法、装备及存储介质》，申请号202611505816.9。相关技术涉及云端计划有效性验证、边缘安全决策及执行模式协调，与论文的系统接口、协同决策和可靠执行内容相对应。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现有工程成果包括系统软件原型、仿真工作台、局部开发验证记录和研究文稿；后续拟形成学位论文、正式对照与消融结果、资源开销分析以及可追溯的演示和复现材料。学术论文发表或录用信息尚未登记。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与“集成电路工程”的关联拟落实到面向嵌入式处理器的系统设计、传感控制接口和资源约束评价。现有专利处于申请阶段，是否满足毕业成果要求，须结合学院适用规定、发明人排序和成果证明材料核定，不能仅依据申请号认定达标。</w:t>
            </w:r>
          </w:p>
        </w:tc>
      </w:tr>
      <w:tr>
        <w:trPr>
          <w:trHeight w:val="2641" w:hRule="atLeast"/>
        </w:trPr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进展计划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五、进度安排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2026年10月12—23日：完成开题材料与专利证明整理，核对专业要求；继续完善端侧证据、运行来源和时效检查。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2026年10月24日：提交开题申请，按学院安排参加评审，并根据意见完善研究范围。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2026年10月25日—11月1日：贯通当前配置的基础闭环，补齐几何和运动证据，筛选周期基线，开展新120组基础先导；达标后冻结初始协议。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2026年11月2—15日：完成独立风险校准、证据有效期及提交前复核，验证遮挡、旧帧、版本冲突和迟到返回等情况。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2026年11月16—29日：完善协同决策与局部修复，验证预算控制、模式交接及重复执行防护，建立公平比较条件。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2026年11月30日—12月6日：冻结方法及配置，运行另120组功效先导，核定正式样本量与资源预算。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2026年12月7—20日：开展正式比较、恢复与消融实验，完成统计、资源开销和失败分析，形成论文初稿。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2026年12月21—27日：根据导师意见修改论文，整理专利、演示和复现材料；后续评阅与答辩按学院正式日程执行。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各日期为研究计划目标，执行以依赖和验收条件为准。若基础能力或预算未就绪，则与导师协商顺延，不降低实验门槛。12月27日为文稿与材料交付目标，并非已经确认的答辩日期。</w:t>
            </w:r>
          </w:p>
        </w:tc>
      </w:tr>
    </w:tbl>
    <w:p>
      <w:pPr>
        <w:pStyle w:val="Normal"/>
        <w:ind w:firstLine="0" w:end="0" w:start="0"/>
        <w:jc w:val="both"/>
        <w:spacing w:before="0" w:after="0" w:line="320" w:lineRule="exact"/>
        <w:snapToGrid w:val="0"/>
        <w:widowControl w:val="1"/>
        <w:keepNext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mbria">
    <w:charset w:val="00"/>
    <w:family w:val="roman"/>
    <w:pitch w:val="variable"/>
  </w:font>
  <w:font w:name="华文中宋">
    <w:charset w:val="86"/>
    <w:family w:val="auto"/>
    <w:pitch w:val="variable"/>
  </w:font>
  <w:font w:name="隶书">
    <w:altName w:val="微软雅黑"/>
    <w:charset w:val="86"/>
    <w:family w:val="modern"/>
    <w:pitch w:val="default"/>
  </w:font>
  <w:font w:name="仿宋_GB2312">
    <w:charset w:val="86"/>
    <w:family w:val="modern"/>
    <w:pitch w:val="default"/>
  </w:font>
  <w:font w:name="Segoe UI Symbol">
    <w:charset w:val="00"/>
    <w:family w:val="swiss"/>
    <w:pitch w:val="variable"/>
  </w:font>
  <w:font w:name="宋体">
    <w:altName w:val="SimSun"/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）"/>
      <w:lvlJc w:val="start"/>
      <w:pPr>
        <w:tabs>
          <w:tab w:val="num" w:pos="420"/>
        </w:tabs>
        <w:ind w:start="780" w:hanging="360"/>
      </w:pPr>
      <w:rPr/>
    </w:lvl>
  </w:abstractNum>
  <w:abstractNum w:abstractNumId="2">
    <w:lvl w:ilvl="0">
      <w:start w:val="1"/>
      <w:numFmt w:val="decimal"/>
      <w:lvlText w:val="%1．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6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wb1">
    <w:name w:val="wb1"/>
    <w:qFormat/>
    <w:rPr>
      <w:rFonts w:ascii="Times New Roman" w:hAnsi="Times New Roman" w:cs="Times New Roman"/>
      <w:strike w:val="false"/>
      <w:dstrike w:val="false"/>
      <w:color w:val="000000"/>
      <w:sz w:val="18"/>
      <w:szCs w:val="18"/>
      <w:u w:val="none"/>
    </w:rPr>
  </w:style>
  <w:style w:type="character" w:styleId="EndNoteBibliography">
    <w:name w:val="EndNote Bibliography 字符"/>
    <w:qFormat/>
    <w:rPr>
      <w:kern w:val="2"/>
      <w:szCs w:val="22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6">
    <w:name w:val="题注"/>
    <w:basedOn w:val="Normal"/>
    <w:next w:val="Normal"/>
    <w:qFormat/>
    <w:pPr/>
    <w:rPr>
      <w:rFonts w:ascii="Cambria" w:hAnsi="Cambria" w:eastAsia="黑体;SimHei" w:cs="Times New Roman"/>
      <w:sz w:val="20"/>
      <w:szCs w:val="20"/>
    </w:rPr>
  </w:style>
  <w:style w:type="paragraph" w:styleId="EndNoteBibliography1">
    <w:name w:val="EndNote Bibliography"/>
    <w:basedOn w:val="Normal"/>
    <w:qFormat/>
    <w:pPr>
      <w:ind w:firstLineChars="200" w:startChars="0" w:start="0" w:endChars="0" w:end="0"/>
      <w:jc w:val="start"/>
    </w:pPr>
    <w:rPr>
      <w:sz w:val="20"/>
      <w:szCs w:val="22"/>
      <w:lang w:val="en-US" w:eastAsia="en-US"/>
    </w:rPr>
  </w:style>
  <w:style w:type="paragraph" w:styleId="Style17">
    <w:name w:val="列表段落"/>
    <w:basedOn w:val="Normal"/>
    <w:qFormat/>
    <w:pPr>
      <w:ind w:firstLineChars="200" w:startChars="0" w:start="0" w:endChars="0" w:end="0"/>
    </w:pPr>
    <w:rPr>
      <w:rFonts w:cs="Times New Roman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paragraph" w:styleId="Title">
    <w:name w:val="Title"/>
    <w:basedOn w:val="Normal"/>
    <w:qFormat/>
    <w:pPr>
      <w:jc w:val="center"/>
      <w:keepNext/>
    </w:pPr>
    <w:rPr>
      <w:b/>
      <w:color w:val="000000"/>
      <w:sz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2025-10-10T18:43:00Z</dcterms:created>
  <dc:language>en-US</dc:language>
  <cp:lastPrinted>2007-08-29T15:49:00Z</cp:lastPrinted>
  <dcterms:modified xsi:type="dcterms:W3CDTF">2025-10-10T18:43:00Z</dcterms:modified>
  <cp:revision>2</cp:revision>
  <dc:title>论文开题报告申请表</dc:title>
</cp:coreProperties>
</file>