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rFonts w:ascii="Times New Roman" w:hAnsi="Times New Roman" w:eastAsia="Noto Sans CJK SC"/>
          <w:b/>
          <w:sz w:val="44"/>
        </w:rPr>
        <w:t>大连理工大学本科毕业论文（设计）</w:t>
      </w:r>
    </w:p>
    <w:p>
      <w:pPr>
        <w:spacing w:after="160"/>
        <w:jc w:val="center"/>
      </w:pPr>
      <w:r>
        <w:rPr>
          <w:rFonts w:ascii="Times New Roman" w:hAnsi="Times New Roman" w:eastAsia="Noto Sans CJK SC"/>
          <w:b/>
          <w:sz w:val="44"/>
        </w:rPr>
        <w:t>基于大语言模型微调的视频码率自适应优化</w:t>
      </w:r>
    </w:p>
    <w:p>
      <w:pPr>
        <w:spacing w:after="720"/>
        <w:jc w:val="center"/>
      </w:pPr>
      <w:r>
        <w:rPr>
          <w:rFonts w:ascii="Times New Roman" w:hAnsi="Times New Roman" w:eastAsia="Noto Sans CJK SC"/>
          <w:b/>
          <w:sz w:val="32"/>
        </w:rPr>
        <w:t>Adaptive Video Bitrate Optimization via Fine-Tuning Large Language Models</w:t>
      </w:r>
    </w:p>
    <w:p>
      <w:pPr>
        <w:spacing w:line="384" w:lineRule="auto"/>
        <w:jc w:val="center"/>
      </w:pPr>
      <w:r>
        <w:rPr>
          <w:rFonts w:ascii="Times New Roman" w:hAnsi="Times New Roman" w:eastAsia="Noto Serif CJK SC"/>
          <w:sz w:val="28"/>
        </w:rPr>
        <w:t>学院：计算机科学与技术学院</w:t>
      </w:r>
    </w:p>
    <w:p>
      <w:pPr>
        <w:spacing w:line="384" w:lineRule="auto"/>
        <w:jc w:val="center"/>
      </w:pPr>
      <w:r>
        <w:rPr>
          <w:rFonts w:ascii="Times New Roman" w:hAnsi="Times New Roman" w:eastAsia="Noto Serif CJK SC"/>
          <w:sz w:val="28"/>
        </w:rPr>
        <w:t>专业：计算机科学与技术</w:t>
      </w:r>
    </w:p>
    <w:p>
      <w:pPr>
        <w:spacing w:line="384" w:lineRule="auto"/>
        <w:jc w:val="center"/>
      </w:pPr>
      <w:r>
        <w:rPr>
          <w:rFonts w:ascii="Times New Roman" w:hAnsi="Times New Roman" w:eastAsia="Noto Serif CJK SC"/>
          <w:sz w:val="28"/>
        </w:rPr>
        <w:t>学生姓名：王祥豪</w:t>
      </w:r>
    </w:p>
    <w:p>
      <w:pPr>
        <w:spacing w:line="384" w:lineRule="auto"/>
        <w:jc w:val="center"/>
      </w:pPr>
      <w:r>
        <w:rPr>
          <w:rFonts w:ascii="Times New Roman" w:hAnsi="Times New Roman" w:eastAsia="Noto Serif CJK SC"/>
          <w:sz w:val="28"/>
        </w:rPr>
        <w:t>学号：20221073015</w:t>
      </w:r>
    </w:p>
    <w:p>
      <w:pPr>
        <w:spacing w:line="384" w:lineRule="auto"/>
        <w:jc w:val="center"/>
      </w:pPr>
      <w:r>
        <w:rPr>
          <w:rFonts w:ascii="Times New Roman" w:hAnsi="Times New Roman" w:eastAsia="Noto Serif CJK SC"/>
          <w:sz w:val="28"/>
        </w:rPr>
        <w:t>指导教师：袁功霖</w:t>
      </w:r>
    </w:p>
    <w:p>
      <w:pPr>
        <w:spacing w:line="384" w:lineRule="auto"/>
        <w:jc w:val="center"/>
      </w:pPr>
      <w:r>
        <w:rPr>
          <w:rFonts w:ascii="Times New Roman" w:hAnsi="Times New Roman" w:eastAsia="Noto Serif CJK SC"/>
          <w:sz w:val="28"/>
        </w:rPr>
        <w:t>评阅教师：</w:t>
      </w:r>
    </w:p>
    <w:p>
      <w:pPr>
        <w:spacing w:line="384" w:lineRule="auto"/>
        <w:jc w:val="center"/>
      </w:pPr>
      <w:r>
        <w:rPr>
          <w:rFonts w:ascii="Times New Roman" w:hAnsi="Times New Roman" w:eastAsia="Noto Serif CJK SC"/>
          <w:sz w:val="28"/>
        </w:rPr>
        <w:t>完成日期：2026 年 5 月</w:t>
      </w:r>
    </w:p>
    <w:p>
      <w:r>
        <w:br w:type="page"/>
      </w:r>
    </w:p>
    <w:p>
      <w:pPr>
        <w:pStyle w:val="Heading1"/>
        <w:spacing w:before="0" w:after="120"/>
      </w:pPr>
      <w:r>
        <w:rPr>
          <w:rFonts w:ascii="Times New Roman" w:hAnsi="Times New Roman" w:eastAsia="Noto Sans CJK SC"/>
          <w:b/>
        </w:rPr>
        <w:t>原创性声明</w:t>
      </w:r>
    </w:p>
    <w:p>
      <w:pPr>
        <w:spacing w:line="300" w:lineRule="auto" w:before="0" w:after="0"/>
        <w:ind w:firstLine="420"/>
      </w:pPr>
      <w:r>
        <w:rPr>
          <w:rFonts w:ascii="Times New Roman" w:hAnsi="Times New Roman" w:eastAsia="Noto Serif CJK SC"/>
          <w:b w:val="0"/>
          <w:i w:val="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成果做出重要贡献的个人和集体，均已在文中以明确方式标明。</w:t>
      </w:r>
    </w:p>
    <w:p>
      <w:pPr>
        <w:spacing w:line="300" w:lineRule="auto" w:before="0" w:after="0"/>
        <w:ind w:firstLine="420"/>
      </w:pPr>
      <w:r>
        <w:rPr>
          <w:rFonts w:ascii="Times New Roman" w:hAnsi="Times New Roman" w:eastAsia="Noto Serif CJK SC"/>
          <w:b w:val="0"/>
          <w:i w:val="0"/>
        </w:rPr>
        <w:t>本声明的法律责任由本人承担。</w:t>
      </w:r>
    </w:p>
    <w:p>
      <w:pPr>
        <w:spacing w:line="300" w:lineRule="auto" w:before="0" w:after="0"/>
      </w:pPr>
      <w:r>
        <w:rPr>
          <w:rFonts w:ascii="Times New Roman" w:hAnsi="Times New Roman" w:eastAsia="Noto Serif CJK SC"/>
          <w:b w:val="0"/>
          <w:i w:val="0"/>
        </w:rPr>
        <w:t>作者签名：                         日    期：</w:t>
      </w:r>
    </w:p>
    <w:p>
      <w:r>
        <w:br w:type="page"/>
      </w:r>
    </w:p>
    <w:p>
      <w:pPr>
        <w:pStyle w:val="Heading1"/>
        <w:spacing w:before="0" w:after="120"/>
      </w:pPr>
      <w:r>
        <w:rPr>
          <w:rFonts w:ascii="Times New Roman" w:hAnsi="Times New Roman" w:eastAsia="Noto Sans CJK SC"/>
          <w:b/>
        </w:rPr>
        <w:t>关于使用授权的声明</w:t>
      </w:r>
    </w:p>
    <w:p>
      <w:pPr>
        <w:spacing w:line="300" w:lineRule="auto" w:before="0" w:after="0"/>
        <w:ind w:firstLine="420"/>
      </w:pPr>
      <w:r>
        <w:rPr>
          <w:rFonts w:ascii="Times New Roman" w:hAnsi="Times New Roman" w:eastAsia="Noto Serif CJK SC"/>
          <w:b w:val="0"/>
          <w:i w:val="0"/>
        </w:rPr>
        <w:t>本人在指导老师指导下所完成的毕业论文（设计）及相关资料，知识产权归属大连理工大学。本人完全了解大连理工大学有关保存、使用毕业论文（设计）的规定，本人授权大连理工大学可以将本毕业论文（设计）的全部或部分内容编入有关数据库进行检索，可以采用复制手段保存和汇编本毕业论文（设计）。如果发表相关成果，一定征得指导教师同意，且第一署名单位为大连理工大学。</w:t>
      </w:r>
    </w:p>
    <w:p>
      <w:pPr>
        <w:spacing w:line="300" w:lineRule="auto" w:before="0" w:after="0"/>
        <w:ind w:firstLine="420"/>
      </w:pPr>
      <w:r>
        <w:rPr>
          <w:rFonts w:ascii="Times New Roman" w:hAnsi="Times New Roman" w:eastAsia="Noto Serif CJK SC"/>
          <w:b w:val="0"/>
          <w:i w:val="0"/>
        </w:rPr>
        <w:t>本人离校后使用毕业论文（设计）或与该论文直接相关的学术论文或成果时，第一署名单位仍然为大连理工大学。</w:t>
      </w:r>
    </w:p>
    <w:p>
      <w:pPr>
        <w:spacing w:line="300" w:lineRule="auto" w:before="0" w:after="0"/>
      </w:pPr>
      <w:r>
        <w:rPr>
          <w:rFonts w:ascii="Times New Roman" w:hAnsi="Times New Roman" w:eastAsia="Noto Serif CJK SC"/>
          <w:b w:val="0"/>
          <w:i w:val="0"/>
        </w:rPr>
        <w:t>论文作者签名：                       日    期：</w:t>
      </w:r>
    </w:p>
    <w:p>
      <w:pPr>
        <w:spacing w:line="300" w:lineRule="auto" w:before="0" w:after="0"/>
      </w:pPr>
      <w:r>
        <w:rPr>
          <w:rFonts w:ascii="Times New Roman" w:hAnsi="Times New Roman" w:eastAsia="Noto Serif CJK SC"/>
          <w:b w:val="0"/>
          <w:i w:val="0"/>
        </w:rPr>
        <w:t>指导老师签名：                       日    期：</w:t>
      </w:r>
    </w:p>
    <w:p>
      <w:r>
        <w:br w:type="page"/>
      </w:r>
    </w:p>
    <w:p>
      <w:pPr>
        <w:pStyle w:val="Heading1"/>
        <w:spacing w:before="0" w:after="120"/>
      </w:pPr>
      <w:r>
        <w:rPr>
          <w:rFonts w:ascii="Times New Roman" w:hAnsi="Times New Roman" w:eastAsia="Noto Sans CJK SC"/>
          <w:b/>
        </w:rPr>
        <w:t>摘要</w:t>
      </w:r>
    </w:p>
    <w:p>
      <w:pPr>
        <w:spacing w:line="300" w:lineRule="auto" w:before="0" w:after="0"/>
        <w:ind w:firstLine="420"/>
      </w:pPr>
      <w:r>
        <w:rPr>
          <w:rFonts w:ascii="Times New Roman" w:hAnsi="Times New Roman" w:eastAsia="Noto Serif CJK SC"/>
          <w:b w:val="0"/>
          <w:i w:val="0"/>
        </w:rPr>
        <w:t>随着在线视频、移动直播和云游戏等业务快速发展，动态网络环境下的自适应码率（Adaptive Bitrate，ABR）决策成为影响用户体验质量的重要问题。传统基于规则或控制理论的 ABR 方法具有实现简单、可解释性强等优点，但对复杂网络波动和跨场景变化的适应能力有限；强化学习方法能够通过数据驱动方式学习码率决策策略，但通常存在训练成本较高、模型专用性强和泛化稳定性不足等问题。针对上述问题，本文围绕视频码率自适应优化任务，研究基于大语言模型微调的码率决策方法。本文在 NetLLM 与 ABR 仿真框架基础上，完成了传统方法、强化学习方法和大模型适配方法的统一实验链路构建，设计了面向 ABR 数值状态的语义重编程编码方法，将码率、缓冲区、吞吐历史、下载时延、下一分片大小和剩余分片数等关键状态映射到大语言模型可处理的语义表征空间；进一步引入历史动作与历史奖励信息进行上下文预对齐，并探索轻量化历史多尺度建模，以增强模型对短期带宽波动和历史决策影响的表达能力。实验结果表明，Llama-3.2-1B 初始接入版本验证了大模型用于 ABR 决策的可行性，但直接数值编码效果有限；语义重编程版本在 3 个随机种子下取得 0.8547±0.0508 的 mean_reward，显著优于初始接入版本，并在重缓冲控制和平滑性方面表现较好。进一步的上下文预对齐与轻量化历史建模方案在 mean_reward 指标上分别达到 0.9051 和 0.9248，说明所提出的任务适配机制能够提升大模型在 ABR 场景中的综合 QoE 表现。本文工作为大语言模型在网络智能决策任务中的应用提供了一个可实现、可验证的本科毕业设计方案。</w:t>
      </w:r>
    </w:p>
    <w:p>
      <w:pPr>
        <w:spacing w:line="300" w:lineRule="auto" w:before="0" w:after="0"/>
      </w:pPr>
      <w:r>
        <w:rPr>
          <w:rFonts w:ascii="Times New Roman" w:hAnsi="Times New Roman" w:eastAsia="Noto Serif CJK SC"/>
          <w:b/>
          <w:i w:val="0"/>
        </w:rPr>
        <w:t>关键词：自适应码率；大语言模型；语义重编程；参数高效微调；服务质量体验</w:t>
      </w:r>
    </w:p>
    <w:p>
      <w:r>
        <w:br w:type="page"/>
      </w:r>
    </w:p>
    <w:p>
      <w:pPr>
        <w:pStyle w:val="Heading1"/>
        <w:spacing w:before="0" w:after="120"/>
      </w:pPr>
      <w:r>
        <w:rPr>
          <w:rFonts w:ascii="Times New Roman" w:hAnsi="Times New Roman" w:eastAsia="Noto Sans CJK SC"/>
          <w:b/>
        </w:rPr>
        <w:t>Abstract</w:t>
      </w:r>
    </w:p>
    <w:p>
      <w:pPr>
        <w:spacing w:line="300" w:lineRule="auto" w:before="0" w:after="0"/>
        <w:ind w:firstLine="420"/>
      </w:pPr>
      <w:r>
        <w:rPr>
          <w:rFonts w:ascii="Times New Roman" w:hAnsi="Times New Roman" w:eastAsia="Noto Serif CJK SC"/>
          <w:b w:val="0"/>
          <w:i w:val="0"/>
        </w:rPr>
        <w:t>With the rapid growth of online video, mobile live streaming and cloud gaming, adaptive bitrate (ABR) decision-making under dynamic network conditions has become a key factor affecting quality of experience (QoE). Rule-based and control-theoretic ABR algorithms are simple and interpretable, but their adaptability to complex network fluctuations is limited. Learning-based ABR methods can learn policies from data, while they still suffer from high training cost, task-specific modeling and unstable generalization. To address these issues, this thesis studies an ABR optimization method based on fine-tuning large language models. Built upon the NetLLM-inspired ABR simulation framework, this work constructs a unified experimental pipeline covering traditional baselines, reinforcement learning baselines and large-model adaptation. A semantic reprogramming state encoder is designed to map numerical ABR states, including bitrate, buffer level, throughput history, download latency, next chunk size and remaining chunks, into the semantic representation space of a large language model. In addition, historical actions and rewards are introduced for contextual pre-alignment, and a lightweight multi-scale history modeling module is explored to enhance the representation of short-term bandwidth dynamics. Experimental results show that the initial Llama-3.2-1B adaptation validates the feasibility of applying large language models to ABR decisions, but direct numerical encoding is insufficient. The semantic reprogramming version achieves a mean_reward of 0.8547±0.0508 over three random seeds, significantly outperforming the initial model and showing favorable performance in rebuffering control and smoothness. Furthermore, the contextual pre-alignment and lightweight history modeling variants achieve mean_reward values of 0.9051 and 0.9248, respectively, indicating that the proposed adaptation mechanisms improve the QoE performance of LLM-based ABR policies. This work provides an implementable and verifiable solution for applying large language models to intelligent networking decisions.</w:t>
      </w:r>
    </w:p>
    <w:p>
      <w:pPr>
        <w:spacing w:line="300" w:lineRule="auto" w:before="0" w:after="0"/>
      </w:pPr>
      <w:r>
        <w:rPr>
          <w:rFonts w:ascii="Times New Roman" w:hAnsi="Times New Roman" w:eastAsia="Noto Serif CJK SC"/>
          <w:b/>
          <w:i w:val="0"/>
        </w:rPr>
        <w:t>Key Words: Adaptive Bitrate; Large Language Model; Semantic Reprogramming; Parameter-Efficient Fine-Tuning; Quality of Experience</w:t>
      </w:r>
    </w:p>
    <w:p>
      <w:r>
        <w:br w:type="page"/>
      </w:r>
    </w:p>
    <w:p>
      <w:pPr>
        <w:pStyle w:val="Heading1"/>
        <w:spacing w:before="0" w:after="120"/>
      </w:pPr>
      <w:r>
        <w:rPr>
          <w:rFonts w:ascii="Times New Roman" w:hAnsi="Times New Roman" w:eastAsia="Noto Sans CJK SC"/>
          <w:b/>
        </w:rPr>
        <w:t>目录</w:t>
      </w:r>
    </w:p>
    <w:p>
      <w:pPr/>
      <w:r>
        <w:t>引言</w:t>
        <w:tab/>
        <w:t>8</w:t>
      </w:r>
    </w:p>
    <w:p>
      <w:pPr/>
      <w:r>
        <w:t>1 相关技术与理论基础</w:t>
        <w:tab/>
        <w:t>11</w:t>
      </w:r>
    </w:p>
    <w:p>
      <w:pPr/>
      <w:r>
        <w:t>1.1 自适应码率视频传输基本原理</w:t>
        <w:tab/>
        <w:t>11</w:t>
      </w:r>
    </w:p>
    <w:p>
      <w:pPr/>
      <w:r>
        <w:t>1.2 ABR 决策问题建模</w:t>
        <w:tab/>
        <w:t>11</w:t>
      </w:r>
    </w:p>
    <w:p>
      <w:pPr/>
      <w:r>
        <w:t>1.3 强化学习与离线策略学习</w:t>
        <w:tab/>
        <w:t>11</w:t>
      </w:r>
    </w:p>
    <w:p>
      <w:pPr/>
      <w:r>
        <w:t>1.4 Transformer 与大语言模型</w:t>
        <w:tab/>
        <w:t>12</w:t>
      </w:r>
    </w:p>
    <w:p>
      <w:pPr/>
      <w:r>
        <w:t>1.5 参数高效微调与 LoRA</w:t>
        <w:tab/>
        <w:t>12</w:t>
      </w:r>
    </w:p>
    <w:p>
      <w:pPr/>
      <w:r>
        <w:t>2 需求分析与总体设计</w:t>
        <w:tab/>
        <w:t>12</w:t>
      </w:r>
    </w:p>
    <w:p>
      <w:pPr/>
      <w:r>
        <w:t>2.1 系统目标与设计原则</w:t>
        <w:tab/>
        <w:t>12</w:t>
      </w:r>
    </w:p>
    <w:p>
      <w:pPr/>
      <w:r>
        <w:t>2.2 系统总体架构</w:t>
        <w:tab/>
        <w:t>13</w:t>
      </w:r>
    </w:p>
    <w:p>
      <w:pPr/>
      <w:r>
        <w:t>2.3 实验流程与数据流设计</w:t>
        <w:tab/>
        <w:t>13</w:t>
      </w:r>
    </w:p>
    <w:p>
      <w:pPr/>
      <w:r>
        <w:t>2.4 评价指标设计</w:t>
        <w:tab/>
        <w:t>14</w:t>
      </w:r>
    </w:p>
    <w:p>
      <w:pPr/>
      <w:r>
        <w:t>3 基于大语言模型适配的 ABR 决策方法设计</w:t>
        <w:tab/>
        <w:t>14</w:t>
      </w:r>
    </w:p>
    <w:p>
      <w:pPr/>
      <w:r>
        <w:t>3.1 基础策略模型设计</w:t>
        <w:tab/>
        <w:t>14</w:t>
      </w:r>
    </w:p>
    <w:p>
      <w:pPr/>
      <w:r>
        <w:t>3.2 语义重编程状态编码</w:t>
        <w:tab/>
        <w:t>14</w:t>
      </w:r>
    </w:p>
    <w:p>
      <w:pPr/>
      <w:r>
        <w:t>3.3 上下文预对齐机制</w:t>
        <w:tab/>
        <w:t>15</w:t>
      </w:r>
    </w:p>
    <w:p>
      <w:pPr/>
      <w:r>
        <w:t>3.4 轻量化历史多尺度建模</w:t>
        <w:tab/>
        <w:t>15</w:t>
      </w:r>
    </w:p>
    <w:p>
      <w:pPr/>
      <w:r>
        <w:t>3.5 训练目标与优化方法</w:t>
        <w:tab/>
        <w:t>16</w:t>
      </w:r>
    </w:p>
    <w:p>
      <w:pPr/>
      <w:r>
        <w:t>4 系统实现</w:t>
        <w:tab/>
        <w:t>16</w:t>
      </w:r>
    </w:p>
    <w:p>
      <w:pPr/>
      <w:r>
        <w:t>4.1 实验环境与工程结构</w:t>
        <w:tab/>
        <w:t>16</w:t>
      </w:r>
    </w:p>
    <w:p>
      <w:pPr/>
      <w:r>
        <w:t>4.2 ABR 环境与基线测试实现</w:t>
        <w:tab/>
        <w:t>16</w:t>
      </w:r>
    </w:p>
    <w:p>
      <w:pPr/>
      <w:r>
        <w:t>4.3 经验池与数据集构造</w:t>
        <w:tab/>
        <w:t>17</w:t>
      </w:r>
    </w:p>
    <w:p>
      <w:pPr/>
      <w:r>
        <w:t>4.4 状态编码与策略模型实现</w:t>
        <w:tab/>
        <w:t>17</w:t>
      </w:r>
    </w:p>
    <w:p>
      <w:pPr/>
      <w:r>
        <w:t>4.5 训练、验证与测试脚本实现</w:t>
        <w:tab/>
        <w:t>17</w:t>
      </w:r>
    </w:p>
    <w:p>
      <w:pPr/>
      <w:r>
        <w:t>5 实验设计与结果分析</w:t>
        <w:tab/>
        <w:t>18</w:t>
      </w:r>
    </w:p>
    <w:p>
      <w:pPr/>
      <w:r>
        <w:t>5.1 实验设置</w:t>
        <w:tab/>
        <w:t>18</w:t>
      </w:r>
    </w:p>
    <w:p>
      <w:pPr/>
      <w:r>
        <w:t>5.2 对比方法</w:t>
        <w:tab/>
        <w:t>18</w:t>
      </w:r>
    </w:p>
    <w:p>
      <w:pPr/>
      <w:r>
        <w:t>5.3 主结果分析</w:t>
        <w:tab/>
        <w:t>19</w:t>
      </w:r>
    </w:p>
    <w:p>
      <w:pPr/>
      <w:r>
        <w:t>5.4 消融实验与稳定性分析</w:t>
        <w:tab/>
        <w:t>20</w:t>
      </w:r>
    </w:p>
    <w:p>
      <w:pPr/>
      <w:r>
        <w:t>5.5 结果讨论</w:t>
        <w:tab/>
        <w:t>21</w:t>
      </w:r>
    </w:p>
    <w:p>
      <w:pPr/>
      <w:r>
        <w:t>结论</w:t>
        <w:tab/>
        <w:t>21</w:t>
      </w:r>
    </w:p>
    <w:p>
      <w:pPr/>
      <w:r>
        <w:t>参考文献</w:t>
        <w:tab/>
        <w:t>21</w:t>
      </w:r>
    </w:p>
    <w:p>
      <w:pPr/>
      <w:r>
        <w:t>附录 A 运行指令与实验记录模板</w:t>
        <w:tab/>
        <w:t>22</w:t>
      </w:r>
    </w:p>
    <w:p>
      <w:pPr/>
      <w:r>
        <w:t>致谢</w:t>
        <w:tab/>
        <w:t>23</w:t>
      </w:r>
    </w:p>
    <w:p>
      <w:r>
        <w:br w:type="page"/>
      </w:r>
    </w:p>
    <w:p>
      <w:pPr>
        <w:pStyle w:val="Heading1"/>
        <w:spacing w:before="0" w:after="120"/>
      </w:pPr>
      <w:r>
        <w:rPr>
          <w:rFonts w:ascii="Times New Roman" w:hAnsi="Times New Roman" w:eastAsia="Noto Sans CJK SC"/>
          <w:b/>
        </w:rPr>
        <w:t>引言</w:t>
      </w:r>
    </w:p>
    <w:p>
      <w:pPr/>
      <w:r>
        <w:t>随着移动互联网、在线视频平台、短视频业务、云游戏和实时流媒体服务的快速发展，视频数据已成为网络传输中的重要业务类型。与普通文件下载不同，视频流媒体传输不仅关注数据是否能够完整到达，还要求在播放过程中尽可能保持较高的视频清晰度、较低的卡顿时间和较稳定的画质变化。在实际网络环境中，用户终端所处的带宽条件、链路时延、网络拥塞程度和设备缓存状态往往处于持续变化之中。如果码率选择过高，客户端可能因下载速度不足而产生重缓冲，直接破坏用户观看连续性；如果码率选择过低，虽然能够降低卡顿风险，却会造成画质下降，影响用户对视频内容的主观感受。因此，如何在动态网络环境下根据网络状态、缓冲区状态和视频分片特征实时选择合适码率，是自适应码率视频传输领域的重要研究问题。</w:t>
      </w:r>
    </w:p>
    <w:p>
      <w:pPr/>
      <w: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每次下载下一个视频分片前，需要根据当前缓冲区长度、历史吞吐量、上一分片下载时间、可选码率集合以及未来视频分片大小等信息进行决策。该问题本质上是一个带有时序依赖和多目标权衡特征的序列决策问题：一方面，系统希望选择较高码率以提升视频质量；另一方面，又需要控制重缓冲时间和码率频繁切换带来的体验损失。由于网络带宽具有随机性和突发性，单纯依赖当前状态或短期估计往往难以获得稳定的长期效果，这使得 ABR 决策具有较强的研究价值和工程意义。</w:t>
      </w:r>
    </w:p>
    <w:p>
      <w:pPr/>
      <w:r>
        <w:t>围绕 ABR 问题，国内外研究已经形成了较为丰富的方法体系。早期传统 ABR 方法主要依赖人工规则、缓冲区控制或带宽预测机制。例如，基于缓冲区的 BBA 方法通过当前缓冲区占用情况直接决定码率选择，结构简单、实现方便，并且具有较好的稳定性；BOLA 方法将码率选择问题转化为效用优化问题，在视频质量和缓冲区安全之间建立权衡关系；Robust MPC 方法则基于历史吞吐量估计未来带宽，并通过模型预测控制在有限时间窗口内选择综合收益较优的码率序列[2-4]。这类方法具有较强的可解释性和较低的部署成本，在工程系统中具有重要应用基础。然而，传统方法通常依赖人工经验设计，其参数设置与决策规则往往针对特定网络环境进行调优。当网络分布、用户移动状态或视频内容特征发生变化时，固定规则可能难以适应复杂场景，导致播放质量、卡顿控制和码率平滑性之间的平衡效果下降。</w:t>
      </w:r>
    </w:p>
    <w:p>
      <w:pPr/>
      <w:r>
        <w:t>随着机器学习方法的发展，研究者开始将强化学习、模仿学习和自动课程学习等技术引入 ABR 任务。Pensieve 将 ABR 建模为强化学习问题，通过神经网络直接从网络状态中学习码率选择策略，在多种网络条件下取得了优于传统规则方法的性能[5]。随后，Comyco 等方法进一步引入模仿学习思想，以提高训练效率和策略质量感知能力[6]。Genet 则从训练环境构造角度出发，通过自动课程生成机制增强策略对网络环境变化的适应能力，在网络任务学习中体现出较好的泛化潜力[7]。学习型 ABR 方法能够减少人工规则设计的依赖，并通过数据驱动方式学习复杂状态与决策之间的关系，因而在复杂网络场景下具有较强优势。但与此同时，这类方法也存在一定局限：其训练过程通常需要大量环境交互或经验数据，策略表现容易受训练分布影响；模型结构往往针对特定任务设计，跨场景迁移能力有限；当网络状态、视频特征和历史决策信息共同作用时，模型对多源特征的融合能力和对短期历史趋势的建模能力仍有提升空间。</w:t>
      </w:r>
    </w:p>
    <w:p>
      <w:pPr/>
      <w:r>
        <w:t>近年来，大语言模型在自然语言处理、序列建模、跨任务迁移和复杂上下文理解方面表现出较强能力，并逐渐被扩展到时间序列分析、网络智能和决策优化等领域。Transformer 架构通过自注意力机制增强了模型对长距离依赖关系的表达能力，为序列数据建模提供了重要基础[11]。在此基础上，NetLLM 探索了将大语言模型适配到网络任务中的方法，通过多模态编码、低秩适配和任务头设计，使大模型能够处理网络状态、协议行为和控制决策等问题，并在自适应码率、拥塞控制、集群调度等网络任务中展现出应用潜力[8]。同时，TIME-LLM 等工作表明，通过重编程方式可以将连续时间序列信号映射到大语言模型可处理的表示空间，从而发挥大模型在序列模式理解和迁移学习方面的能力[9]。这些研究说明，大语言模型并不局限于文本生成任务，也可能通过适当的输入编码和参数高效微调方式迁移到具有明显时序特征的网络决策任务中。</w:t>
      </w:r>
    </w:p>
    <w:p>
      <w:pPr/>
      <w:r>
        <w:t>然而，将大语言模型引入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理解的状态表示是首要问题。其次，ABR 决策不仅依赖当前网络状态，还与历史动作、历史奖励和短期带宽变化趋势密切相关，模型需要能够在当前状态与历史上下文之间建立有效关联。再次，大语言模型参数规模较大，而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pPr/>
      <w: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进一步结合历史动作、历史奖励和历史吞吐量变化信息，增强模型对当前决策上下文和短期网络变化趋势的建模能力；最后，通过对比实验和消融实验分析所设计方法在综合 QoE 指标下的有效性。</w:t>
      </w:r>
    </w:p>
    <w:p>
      <w:pPr/>
      <w:r>
        <w:t>本文研究具有一定的理论探索意义和工程应用价值。从理论角度看，本文尝试将大语言模型的表示能力、上下文建模能力与 ABR 序列决策问题相结合，探索数值型网络状态到大模型表示空间的映射方式，为大模型在网络智能优化任务中的应用提供参考。从工程角度看，本文关注模型训练流程、基线复现、特征编码和在线测试等完整实验链路，强调方法的可实现性和可复现性。通过在统一实验环境下比较不同类型 ABR 方法，本文能够较清晰地分析传统方法、强化学习方法和大语言模型适配方法在动态网络环境下的性能差异，为后续进一步优化视频传输系统提供实验依据。</w:t>
      </w:r>
    </w:p>
    <w:p>
      <w:pPr/>
      <w:r>
        <w:t>本文后续内容安排如下：第 1 章介绍自适应码率视频传输、ABR 决策建模、强化学习、Transformer、大语言模型和参数高效微调等相关技术基础；第 2 章分析系统需求并给出整体实验流程和系统架构设计；第 3 章重点阐述基于大语言模型适配的 ABR 决策方法，包括语义重编程状态编码、上下文预对齐机制和轻量化历史多尺度建模模块；第 4 章说明系统实现过程，包括实验环境、数据处理、模型训练和测试流程；第 5 章给出实验设计、评价指标、对比结果和消融分析；最后对全文工作进行总结，并讨论当前方法存在的不足及未来改进方向。</w:t>
      </w:r>
    </w:p>
    <w:p>
      <w:pPr>
        <w:pStyle w:val="Heading1"/>
        <w:spacing w:before="0" w:after="120"/>
      </w:pPr>
      <w:r>
        <w:t>1 相关技术与理论基础</w:t>
      </w:r>
    </w:p>
    <w:p>
      <w:pPr>
        <w:pStyle w:val="Heading2"/>
        <w:spacing w:before="120" w:after="120"/>
      </w:pPr>
      <w:r>
        <w:t>1.1 自适应码率视频传输基本原理</w:t>
      </w:r>
    </w:p>
    <w:p>
      <w:pPr>
        <w:spacing w:line="300" w:lineRule="auto" w:before="0" w:after="0"/>
        <w:ind w:firstLine="420"/>
      </w:pPr>
      <w:r>
        <w:rPr>
          <w:rFonts w:ascii="Times New Roman" w:hAnsi="Times New Roman" w:eastAsia="Noto Serif CJK SC"/>
          <w:b w:val="0"/>
          <w:i w:val="0"/>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pPr>
        <w:spacing w:line="300" w:lineRule="auto" w:before="0" w:after="0"/>
        <w:ind w:firstLine="420"/>
      </w:pPr>
      <w:r>
        <w:rPr>
          <w:rFonts w:ascii="Times New Roman" w:hAnsi="Times New Roman" w:eastAsia="Noto Serif CJK SC"/>
          <w:b w:val="0"/>
          <w:i w:val="0"/>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spacing w:before="120" w:after="120"/>
      </w:pPr>
      <w:r>
        <w:t>1.2 ABR 决策问题建模</w:t>
      </w:r>
    </w:p>
    <w:p>
      <w:pPr>
        <w:spacing w:line="300" w:lineRule="auto" w:before="0" w:after="0"/>
        <w:ind w:firstLine="420"/>
      </w:pPr>
      <w:r>
        <w:rPr>
          <w:rFonts w:ascii="Times New Roman" w:hAnsi="Times New Roman" w:eastAsia="Noto Serif CJK SC"/>
          <w:b w:val="0"/>
          <w:i w:val="0"/>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pPr>
        <w:spacing w:line="300" w:lineRule="auto" w:before="0" w:after="0"/>
        <w:ind w:firstLine="420"/>
      </w:pPr>
      <w:r>
        <w:rPr>
          <w:rFonts w:ascii="Times New Roman" w:hAnsi="Times New Roman" w:eastAsia="Noto Serif CJK SC"/>
          <w:b w:val="0"/>
          <w:i w:val="0"/>
        </w:rPr>
        <w:t>本文采用综合 QoE 奖励衡量策略性能，其基本形式为：</w:t>
      </w:r>
    </w:p>
    <w:p>
      <w:pPr>
        <w:spacing w:line="300" w:lineRule="auto" w:before="0" w:after="0"/>
        <w:jc w:val="center"/>
      </w:pPr>
      <w:r>
        <w:t>QoE = 1/C ∑_{i=1}^{C} (Bitrate_i − λ Rebuf_i − γ Smooth_i)        （1.1）</w:t>
      </w:r>
    </w:p>
    <w:p>
      <w:pPr>
        <w:spacing w:line="300" w:lineRule="auto" w:before="0" w:after="0"/>
        <w:ind w:firstLine="420"/>
      </w:pPr>
      <w:r>
        <w:rPr>
          <w:rFonts w:ascii="Times New Roman" w:hAnsi="Times New Roman" w:eastAsia="Noto Serif CJK SC"/>
          <w:b w:val="0"/>
          <w:i w:val="0"/>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spacing w:before="120" w:after="120"/>
      </w:pPr>
      <w:r>
        <w:t>1.3 强化学习与离线策略学习</w:t>
      </w:r>
    </w:p>
    <w:p>
      <w:pPr>
        <w:spacing w:line="300" w:lineRule="auto" w:before="0" w:after="0"/>
        <w:ind w:firstLine="420"/>
      </w:pPr>
      <w:r>
        <w:rPr>
          <w:rFonts w:ascii="Times New Roman" w:hAnsi="Times New Roman" w:eastAsia="Noto Serif CJK SC"/>
          <w:b w:val="0"/>
          <w:i w:val="0"/>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pPr>
        <w:spacing w:line="300" w:lineRule="auto" w:before="0" w:after="0"/>
        <w:ind w:firstLine="420"/>
      </w:pPr>
      <w:r>
        <w:rPr>
          <w:rFonts w:ascii="Times New Roman" w:hAnsi="Times New Roman" w:eastAsia="Noto Serif CJK SC"/>
          <w:b w:val="0"/>
          <w:i w:val="0"/>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spacing w:before="120" w:after="120"/>
      </w:pPr>
      <w:r>
        <w:t>1.4 Transformer 与大语言模型</w:t>
      </w:r>
    </w:p>
    <w:p>
      <w:pPr>
        <w:spacing w:line="300" w:lineRule="auto" w:before="0" w:after="0"/>
        <w:ind w:firstLine="420"/>
      </w:pPr>
      <w:r>
        <w:rPr>
          <w:rFonts w:ascii="Times New Roman" w:hAnsi="Times New Roman" w:eastAsia="Noto Serif CJK SC"/>
          <w:b w:val="0"/>
          <w:i w:val="0"/>
        </w:rPr>
        <w:t>Transformer 以自注意力机制为核心，能够在序列内部建立长距离依赖关系。大语言模型通常在大规模文本语料上进行预训练，因此其输入空间和表征空间具有明显的语言语义特征。将大语言模型用于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pPr>
        <w:spacing w:line="300" w:lineRule="auto" w:before="0" w:after="0"/>
        <w:ind w:firstLine="420"/>
      </w:pPr>
      <w:r>
        <w:rPr>
          <w:rFonts w:ascii="Times New Roman" w:hAnsi="Times New Roman" w:eastAsia="Noto Serif CJK SC"/>
          <w:b w:val="0"/>
          <w:i w:val="0"/>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pPr>
        <w:pStyle w:val="Heading2"/>
        <w:spacing w:before="120" w:after="120"/>
      </w:pPr>
      <w:r>
        <w:t>1.5 参数高效微调与 LoRA</w:t>
      </w:r>
    </w:p>
    <w:p>
      <w:pPr>
        <w:spacing w:line="300" w:lineRule="auto" w:before="0" w:after="0"/>
        <w:ind w:firstLine="420"/>
      </w:pPr>
      <w:r>
        <w:rPr>
          <w:rFonts w:ascii="Times New Roman" w:hAnsi="Times New Roman" w:eastAsia="Noto Serif CJK SC"/>
          <w:b w:val="0"/>
          <w:i w:val="0"/>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w:t>
      </w:r>
    </w:p>
    <w:p>
      <w:pPr>
        <w:spacing w:line="300" w:lineRule="auto" w:before="0" w:after="0"/>
        <w:ind w:firstLine="420"/>
      </w:pPr>
      <w:r>
        <w:rPr>
          <w:rFonts w:ascii="Times New Roman" w:hAnsi="Times New Roman" w:eastAsia="Noto Serif CJK SC"/>
          <w:b w:val="0"/>
          <w:i w:val="0"/>
        </w:rPr>
        <w:t>本文在 7B 以下基座模型约束下选取 Llama-3.2-1B 进行实验验证，并采用参数高效微调思想训练任务相关参数。这一选择兼顾了模型表征能力、实验可运行性和工程复现成本。</w:t>
      </w:r>
    </w:p>
    <w:p>
      <w:pPr>
        <w:pStyle w:val="Heading1"/>
        <w:spacing w:before="0" w:after="120"/>
      </w:pPr>
      <w:r>
        <w:t>2 需求分析与总体设计</w:t>
      </w:r>
    </w:p>
    <w:p>
      <w:pPr>
        <w:pStyle w:val="Heading2"/>
        <w:spacing w:before="120" w:after="120"/>
      </w:pPr>
      <w:r>
        <w:t>2.1 系统目标与设计原则</w:t>
      </w:r>
    </w:p>
    <w:p>
      <w:pPr>
        <w:spacing w:line="300" w:lineRule="auto" w:before="0" w:after="0"/>
        <w:ind w:firstLine="420"/>
      </w:pPr>
      <w:r>
        <w:rPr>
          <w:rFonts w:ascii="Times New Roman" w:hAnsi="Times New Roman" w:eastAsia="Noto Serif CJK SC"/>
          <w:b w:val="0"/>
          <w:i w:val="0"/>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pPr>
        <w:spacing w:line="300" w:lineRule="auto" w:before="0" w:after="0"/>
        <w:ind w:firstLine="420"/>
      </w:pPr>
      <w:r>
        <w:rPr>
          <w:rFonts w:ascii="Times New Roman" w:hAnsi="Times New Roman" w:eastAsia="Noto Serif CJK SC"/>
          <w:b w:val="0"/>
          <w:i w:val="0"/>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spacing w:before="120" w:after="120"/>
      </w:pPr>
      <w:r>
        <w:t>2.2 系统总体架构</w:t>
      </w:r>
    </w:p>
    <w:p>
      <w:pPr>
        <w:spacing w:line="300" w:lineRule="auto" w:before="0" w:after="0"/>
        <w:ind w:firstLine="420"/>
      </w:pPr>
      <w: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mean_reward、bitrate、rebuf 和 smooth 等指标。系统架构如图 2.1 所示。</w:t>
      </w:r>
    </w:p>
    <w:p>
      <w:r>
        <w:drawing>
          <wp:inline xmlns:a="http://schemas.openxmlformats.org/drawingml/2006/main" xmlns:pic="http://schemas.openxmlformats.org/drawingml/2006/picture">
            <wp:extent cx="5669280" cy="2461383"/>
            <wp:docPr id="1" name="Picture 1"/>
            <wp:cNvGraphicFramePr>
              <a:graphicFrameLocks noChangeAspect="1"/>
            </wp:cNvGraphicFramePr>
            <a:graphic>
              <a:graphicData uri="http://schemas.openxmlformats.org/drawingml/2006/picture">
                <pic:pic>
                  <pic:nvPicPr>
                    <pic:cNvPr id="0" name="thesis_architecture.png"/>
                    <pic:cNvPicPr/>
                  </pic:nvPicPr>
                  <pic:blipFill>
                    <a:blip r:embed="rId11"/>
                    <a:stretch>
                      <a:fillRect/>
                    </a:stretch>
                  </pic:blipFill>
                  <pic:spPr>
                    <a:xfrm>
                      <a:off x="0" y="0"/>
                      <a:ext cx="5669280" cy="2461383"/>
                    </a:xfrm>
                    <a:prstGeom prst="rect"/>
                  </pic:spPr>
                </pic:pic>
              </a:graphicData>
            </a:graphic>
          </wp:inline>
        </w:drawing>
      </w:r>
    </w:p>
    <w:p>
      <w:pPr>
        <w:spacing w:line="300" w:lineRule="auto"/>
        <w:jc w:val="center"/>
      </w:pPr>
      <w:r>
        <w:t>图 2.1 系统总体架构</w:t>
      </w:r>
    </w:p>
    <w:p>
      <w:pPr>
        <w:pStyle w:val="Heading2"/>
        <w:spacing w:before="120" w:after="120"/>
      </w:pPr>
      <w:r>
        <w:t>2.3 实验流程与数据流设计</w:t>
      </w:r>
    </w:p>
    <w:p>
      <w:pPr>
        <w:spacing w:line="300" w:lineRule="auto" w:before="0" w:after="0"/>
        <w:ind w:firstLine="420"/>
      </w:pPr>
      <w:r>
        <w:rPr>
          <w:rFonts w:ascii="Times New Roman" w:hAnsi="Times New Roman" w:eastAsia="Noto Serif CJK SC"/>
          <w:b w:val="0"/>
          <w:i w:val="0"/>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pPr>
        <w:spacing w:line="300" w:lineRule="auto" w:before="0" w:after="0"/>
        <w:ind w:firstLine="420"/>
      </w:pPr>
      <w:r>
        <w:rPr>
          <w:rFonts w:ascii="Times New Roman" w:hAnsi="Times New Roman" w:eastAsia="Noto Serif CJK SC"/>
          <w:b w:val="0"/>
          <w:i w:val="0"/>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spacing w:before="120" w:after="120"/>
      </w:pPr>
      <w:r>
        <w:t>2.4 评价指标设计</w:t>
      </w:r>
    </w:p>
    <w:p>
      <w:pPr>
        <w:spacing w:line="300" w:lineRule="auto" w:before="0" w:after="0"/>
        <w:ind w:firstLine="420"/>
      </w:pPr>
      <w:r>
        <w:rPr>
          <w:rFonts w:ascii="Times New Roman" w:hAnsi="Times New Roman" w:eastAsia="Noto Serif CJK SC"/>
          <w:b w:val="0"/>
          <w:i w:val="0"/>
        </w:rPr>
        <w:t>本文主要使用四类指标评价算法性能。mean_reward 表示测试过程中每步奖励的平均值，可理解为平均综合 QoE，是最重要的综合指标。bitrate 表示平均传输码率，反映视频画质水平。rebuf 表示平均重缓冲时间，反映播放卡顿程度。smooth 表示相邻分片码率变化惩罚，反映观看画面稳定性。实际分析中不能只看单一指标，因为较高码率可能伴随更高卡顿，而较低卡顿也可能来自过于保守的码率选择。</w:t>
      </w:r>
    </w:p>
    <w:p>
      <w:pPr>
        <w:pStyle w:val="Heading1"/>
        <w:spacing w:before="0" w:after="120"/>
      </w:pPr>
      <w:r>
        <w:t>3 基于大语言模型适配的 ABR 决策方法设计</w:t>
      </w:r>
    </w:p>
    <w:p>
      <w:pPr>
        <w:pStyle w:val="Heading2"/>
        <w:spacing w:before="120" w:after="120"/>
      </w:pPr>
      <w:r>
        <w:t>3.1 基础策略模型设计</w:t>
      </w:r>
    </w:p>
    <w:p>
      <w:pPr>
        <w:spacing w:line="300" w:lineRule="auto" w:before="0" w:after="0"/>
        <w:ind w:firstLine="420"/>
      </w:pPr>
      <w:r>
        <w:rPr>
          <w:rFonts w:ascii="Times New Roman" w:hAnsi="Times New Roman" w:eastAsia="Noto Serif CJK SC"/>
          <w:b w:val="0"/>
          <w:i w:val="0"/>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pPr>
        <w:spacing w:line="300" w:lineRule="auto" w:before="0" w:after="0"/>
        <w:ind w:firstLine="420"/>
      </w:pPr>
      <w:r>
        <w:rPr>
          <w:rFonts w:ascii="Times New Roman" w:hAnsi="Times New Roman" w:eastAsia="Noto Serif CJK SC"/>
          <w:b w:val="0"/>
          <w:i w:val="0"/>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spacing w:before="120" w:after="120"/>
      </w:pPr>
      <w:r>
        <w:t>3.2 语义重编程状态编码</w:t>
      </w:r>
    </w:p>
    <w:p>
      <w:pPr>
        <w:spacing w:line="300" w:lineRule="auto" w:before="0" w:after="0"/>
        <w:ind w:firstLine="420"/>
      </w:pPr>
      <w:r>
        <w:rPr>
          <w:rFonts w:ascii="Times New Roman" w:hAnsi="Times New Roman" w:eastAsia="Noto Serif CJK SC"/>
          <w:b w:val="0"/>
          <w:i w:val="0"/>
        </w:rPr>
        <w:t>大模型初始接入版本直接使用传统数值编码方式，即将 ABR 状态矩阵经过线性层映射后输入语言模型。实验表明，这种方式虽然能够打通训练和测试流程，但 mean_reward 明显低于传统方法和强化学习方法，说明数值状态与语言模型预训练语义空间之间存在较大差距。</w:t>
      </w:r>
    </w:p>
    <w:p>
      <w:pPr>
        <w:spacing w:line="300" w:lineRule="auto" w:before="0" w:after="0"/>
        <w:ind w:firstLine="420"/>
      </w:pPr>
      <w:r>
        <w:rPr>
          <w:rFonts w:ascii="Times New Roman" w:hAnsi="Times New Roman" w:eastAsia="Noto Serif CJK SC"/>
          <w:b w:val="0"/>
          <w:i w:val="0"/>
        </w:rPr>
        <w:t>为解决该问题，本文设计语义重编程状态编码方法。该方法首先从 6×6 原始状态中抽取六类关键语义特征：当前或历史码率、缓冲区大小、吞吐历史、下载时延历史、下一视频分片大小和剩余分片数。随后将这些数值特征映射到具有任务含义的嵌入空间，使模型能够感知“带宽趋势”“缓冲区风险”“码率切换代价”等 ABR 语义。相比直接数值编码，语义重编程更符合语言模型基于上下文语义进行推理的预训练机制。</w:t>
      </w:r>
    </w:p>
    <w:p>
      <w:r>
        <w:drawing>
          <wp:inline xmlns:a="http://schemas.openxmlformats.org/drawingml/2006/main" xmlns:pic="http://schemas.openxmlformats.org/drawingml/2006/picture">
            <wp:extent cx="5760720" cy="2914163"/>
            <wp:docPr id="2" name="Picture 2"/>
            <wp:cNvGraphicFramePr>
              <a:graphicFrameLocks noChangeAspect="1"/>
            </wp:cNvGraphicFramePr>
            <a:graphic>
              <a:graphicData uri="http://schemas.openxmlformats.org/drawingml/2006/picture">
                <pic:pic>
                  <pic:nvPicPr>
                    <pic:cNvPr id="0" name="thesis_pipeline.png"/>
                    <pic:cNvPicPr/>
                  </pic:nvPicPr>
                  <pic:blipFill>
                    <a:blip r:embed="rId12"/>
                    <a:stretch>
                      <a:fillRect/>
                    </a:stretch>
                  </pic:blipFill>
                  <pic:spPr>
                    <a:xfrm>
                      <a:off x="0" y="0"/>
                      <a:ext cx="5760720" cy="2914163"/>
                    </a:xfrm>
                    <a:prstGeom prst="rect"/>
                  </pic:spPr>
                </pic:pic>
              </a:graphicData>
            </a:graphic>
          </wp:inline>
        </w:drawing>
      </w:r>
    </w:p>
    <w:p>
      <w:pPr>
        <w:spacing w:line="300" w:lineRule="auto"/>
        <w:jc w:val="center"/>
      </w:pPr>
      <w:r>
        <w:t>图 3.1 基于语义重编程的 ABR 大模型决策流程</w:t>
      </w:r>
    </w:p>
    <w:p>
      <w:pPr>
        <w:pStyle w:val="Heading2"/>
        <w:spacing w:before="120" w:after="120"/>
      </w:pPr>
      <w:r>
        <w:t>3.3 上下文预对齐机制</w:t>
      </w:r>
    </w:p>
    <w:p>
      <w:pPr>
        <w:spacing w:line="300" w:lineRule="auto" w:before="0" w:after="0"/>
        <w:ind w:firstLine="420"/>
      </w:pPr>
      <w:r>
        <w:rPr>
          <w:rFonts w:ascii="Times New Roman" w:hAnsi="Times New Roman" w:eastAsia="Noto Serif CJK SC"/>
          <w:b w:val="0"/>
          <w:i w:val="0"/>
        </w:rPr>
        <w:t>ABR 决策具有强烈的步内上下文依赖。当前码率选择不仅取决于当前网络状态，也受到上一分片码率和上一时刻奖励的影响。例如，如果上一时刻因选择高码率导致重缓冲，当前策略应倾向于更保守；如果上一时刻在高码率下仍保持较高奖励，则说明近期网络条件可能较好。</w:t>
      </w:r>
    </w:p>
    <w:p>
      <w:pPr>
        <w:spacing w:line="300" w:lineRule="auto" w:before="0" w:after="0"/>
        <w:ind w:firstLine="420"/>
      </w:pPr>
      <w:r>
        <w:rPr>
          <w:rFonts w:ascii="Times New Roman" w:hAnsi="Times New Roman" w:eastAsia="Noto Serif CJK SC"/>
          <w:b w:val="0"/>
          <w:i w:val="0"/>
        </w:rPr>
        <w:t>基于这一观察，本文引入 prev_action 与 prev_reward 构造上下文预对齐 token。prev_action 提供历史决策信息，prev_reward 提供上一决策的效果反馈。二者与当前状态编码共同进入模型，使模型在生成当前动作前能够先对“上一步做了什么”和“上一步效果如何”形成条件化理解。为避免未来信息泄露，该机制仅使用当前时刻之前的信息，并结合掩码约束保证在线决策合法性。</w:t>
      </w:r>
    </w:p>
    <w:p>
      <w:pPr>
        <w:pStyle w:val="Heading2"/>
        <w:spacing w:before="120" w:after="120"/>
      </w:pPr>
      <w:r>
        <w:t>3.4 轻量化历史多尺度建模</w:t>
      </w:r>
    </w:p>
    <w:p>
      <w:pPr>
        <w:spacing w:line="300" w:lineRule="auto" w:before="0" w:after="0"/>
        <w:ind w:firstLine="420"/>
      </w:pPr>
      <w:r>
        <w:rPr>
          <w:rFonts w:ascii="Times New Roman" w:hAnsi="Times New Roman" w:eastAsia="Noto Serif CJK SC"/>
          <w:b w:val="0"/>
          <w:i w:val="0"/>
        </w:rPr>
        <w:t>吞吐历史是 ABR 决策中最关键的时间序列特征之一。短时间窗口内的吞吐变化既包含局部波动，也包含整体趋势。若仅使用单一线性投影，模型可能难以区分短期突发下降与长期带宽降低；若使用复杂时序模型，则会增加训练成本和过拟合风险。</w:t>
      </w:r>
    </w:p>
    <w:p>
      <w:pPr>
        <w:spacing w:line="300" w:lineRule="auto" w:before="0" w:after="0"/>
        <w:ind w:firstLine="420"/>
      </w:pPr>
      <w:r>
        <w:rPr>
          <w:rFonts w:ascii="Times New Roman" w:hAnsi="Times New Roman" w:eastAsia="Noto Serif CJK SC"/>
          <w:b w:val="0"/>
          <w:i w:val="0"/>
        </w:rPr>
        <w:t>本文探索轻量化历史多尺度建模模块 hmix_v2lite。该模块面向短历史吞吐序列，通过少量可训练参数提取不同尺度的局部变化和趋势信息，再与语义重编程状态表示融合。该设计强调“轻量化”和“任务适配”，目标是在不显著增加模型复杂度的前提下提升对动态网络环境的响应能力。</w:t>
      </w:r>
    </w:p>
    <w:p>
      <w:pPr>
        <w:pStyle w:val="Heading2"/>
        <w:spacing w:before="120" w:after="120"/>
      </w:pPr>
      <w:r>
        <w:t>3.5 训练目标与优化方法</w:t>
      </w:r>
    </w:p>
    <w:p>
      <w:pPr>
        <w:spacing w:line="300" w:lineRule="auto" w:before="0" w:after="0"/>
        <w:ind w:firstLine="420"/>
      </w:pPr>
      <w:r>
        <w:rPr>
          <w:rFonts w:ascii="Times New Roman" w:hAnsi="Times New Roman" w:eastAsia="Noto Serif CJK SC"/>
          <w:b w:val="0"/>
          <w:i w:val="0"/>
        </w:rPr>
        <w:t>训练阶段以离线轨迹中的动作标签为监督信号，使用交叉熵损失优化策略输出。设模型在第 t 个时间步对动作空间输出概率分布 π_θ(a_t|s_{≤t}, a_{&lt;t}, r_{&lt;t})，专家或高回报轨迹动作为 a_t^*，则训练目标为最小化：</w:t>
      </w:r>
    </w:p>
    <w:p>
      <w:pPr>
        <w:spacing w:line="300" w:lineRule="auto" w:before="0" w:after="0"/>
        <w:jc w:val="center"/>
      </w:pPr>
      <w:r>
        <w:t>L(θ) = − ∑_t log π_θ(a_t^* | s_{≤t}, a_{&lt;t}, r_{&lt;t})        （3.1）</w:t>
      </w:r>
    </w:p>
    <w:p>
      <w:pPr>
        <w:spacing w:line="300" w:lineRule="auto" w:before="0" w:after="0"/>
        <w:ind w:firstLine="420"/>
      </w:pPr>
      <w:r>
        <w:rPr>
          <w:rFonts w:ascii="Times New Roman" w:hAnsi="Times New Roman" w:eastAsia="Noto Serif CJK SC"/>
          <w:b w:val="0"/>
          <w:i w:val="0"/>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mean_reward、bitrate、rebuf 和 smooth 等指标。</w:t>
      </w:r>
    </w:p>
    <w:p>
      <w:pPr>
        <w:pStyle w:val="Heading1"/>
        <w:spacing w:before="0" w:after="120"/>
      </w:pPr>
      <w:r>
        <w:t>4 系统实现</w:t>
      </w:r>
    </w:p>
    <w:p>
      <w:pPr>
        <w:pStyle w:val="Heading2"/>
        <w:spacing w:before="120" w:after="120"/>
      </w:pPr>
      <w:r>
        <w:t>4.1 实验环境与工程结构</w:t>
      </w:r>
    </w:p>
    <w:p>
      <w:pPr>
        <w:spacing w:line="300" w:lineRule="auto" w:before="0" w:after="0"/>
        <w:ind w:firstLine="420"/>
      </w:pPr>
      <w:r>
        <w:rPr>
          <w:rFonts w:ascii="Times New Roman" w:hAnsi="Times New Roman" w:eastAsia="Noto Serif CJK SC"/>
          <w:b w:val="0"/>
          <w:i w:val="0"/>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pPr>
        <w:spacing w:line="300" w:lineRule="auto" w:before="0" w:after="0"/>
        <w:ind w:firstLine="420"/>
      </w:pPr>
      <w:r>
        <w:rPr>
          <w:rFonts w:ascii="Times New Roman" w:hAnsi="Times New Roman" w:eastAsia="Noto Serif CJK SC"/>
          <w:b w:val="0"/>
          <w:i w:val="0"/>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spacing w:before="120" w:after="120"/>
      </w:pPr>
      <w:r>
        <w:t>4.2 ABR 环境与基线测试实现</w:t>
      </w:r>
    </w:p>
    <w:p>
      <w:pPr>
        <w:spacing w:line="300" w:lineRule="auto" w:before="0" w:after="0"/>
        <w:ind w:firstLine="420"/>
      </w:pPr>
      <w:r>
        <w:rPr>
          <w:rFonts w:ascii="Times New Roman" w:hAnsi="Times New Roman" w:eastAsia="Noto Serif CJK SC"/>
          <w:b w:val="0"/>
          <w:i w:val="0"/>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pPr>
        <w:spacing w:line="300" w:lineRule="auto" w:before="0" w:after="0"/>
        <w:ind w:firstLine="420"/>
      </w:pPr>
      <w:r>
        <w:rPr>
          <w:rFonts w:ascii="Times New Roman" w:hAnsi="Times New Roman" w:eastAsia="Noto Serif CJK SC"/>
          <w:b w:val="0"/>
          <w:i w:val="0"/>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spacing w:before="120" w:after="120"/>
      </w:pPr>
      <w:r>
        <w:t>4.3 经验池与数据集构造</w:t>
      </w:r>
    </w:p>
    <w:p>
      <w:pPr>
        <w:spacing w:line="300" w:lineRule="auto" w:before="0" w:after="0"/>
        <w:ind w:firstLine="420"/>
      </w:pPr>
      <w:r>
        <w:rPr>
          <w:rFonts w:ascii="Times New Roman" w:hAnsi="Times New Roman" w:eastAsia="Noto Serif CJK SC"/>
          <w:b w:val="0"/>
          <w:i w:val="0"/>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pPr>
        <w:spacing w:line="300" w:lineRule="auto" w:before="0" w:after="0"/>
        <w:ind w:firstLine="420"/>
      </w:pPr>
      <w:r>
        <w:rPr>
          <w:rFonts w:ascii="Times New Roman" w:hAnsi="Times New Roman" w:eastAsia="Noto Serif CJK SC"/>
          <w:b w:val="0"/>
          <w:i w:val="0"/>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spacing w:before="120" w:after="120"/>
      </w:pPr>
      <w:r>
        <w:t>4.4 状态编码与策略模型实现</w:t>
      </w:r>
    </w:p>
    <w:p>
      <w:pPr>
        <w:spacing w:line="300" w:lineRule="auto" w:before="0" w:after="0"/>
        <w:ind w:firstLine="420"/>
      </w:pPr>
      <w:r>
        <w:rPr>
          <w:rFonts w:ascii="Times New Roman" w:hAnsi="Times New Roman" w:eastAsia="Noto Serif CJK SC"/>
          <w:b w:val="0"/>
          <w:i w:val="0"/>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pPr>
        <w:spacing w:line="300" w:lineRule="auto" w:before="0" w:after="0"/>
        <w:ind w:firstLine="420"/>
      </w:pPr>
      <w:r>
        <w:rPr>
          <w:rFonts w:ascii="Times New Roman" w:hAnsi="Times New Roman" w:eastAsia="Noto Serif CJK SC"/>
          <w:b w:val="0"/>
          <w:i w:val="0"/>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spacing w:before="120" w:after="120"/>
      </w:pPr>
      <w:r>
        <w:t>4.5 训练、验证与测试脚本实现</w:t>
      </w:r>
    </w:p>
    <w:p>
      <w:pPr>
        <w:spacing w:line="300" w:lineRule="auto" w:before="0" w:after="0"/>
        <w:ind w:firstLine="420"/>
      </w:pPr>
      <w:r>
        <w:rPr>
          <w:rFonts w:ascii="Times New Roman" w:hAnsi="Times New Roman" w:eastAsia="Noto Serif CJK SC"/>
          <w:b w:val="0"/>
          <w:i w:val="0"/>
        </w:rPr>
        <w:t>训练脚本负责加载配置、初始化模型、读取训练数据并执行参数更新。验证脚本在固定验证集上周期性评估模型并记录 best_return。测试脚本加载验证表现最好的模型，在测试 trace 上运行完整视频播放过程，并输出 mean_reward、bitrate、rebuf 和 smooth。结果文件按照方法名、随机种子和测试环境进行组织，以便后续统计均值和标准差。</w:t>
      </w:r>
    </w:p>
    <w:p>
      <w:pPr>
        <w:spacing w:line="300" w:lineRule="auto" w:before="0" w:after="0"/>
        <w:ind w:firstLine="420"/>
      </w:pPr>
      <w:r>
        <w:rPr>
          <w:rFonts w:ascii="Times New Roman" w:hAnsi="Times New Roman" w:eastAsia="Noto Serif CJK SC"/>
          <w:b w:val="0"/>
          <w:i w:val="0"/>
        </w:rPr>
        <w:t>为保证实验可复现，本文在多随机种子条件下测试包含随机性的模型，并在结果表中报告 mean±std。对于 BBA 和 MPC 等确定性方法，则报告固定测试设置下的单次评估结果。</w:t>
      </w:r>
    </w:p>
    <w:p>
      <w:pPr>
        <w:pStyle w:val="Heading1"/>
        <w:spacing w:before="0" w:after="120"/>
      </w:pPr>
      <w:r>
        <w:t>5 实验设计与结果分析</w:t>
      </w:r>
    </w:p>
    <w:p>
      <w:pPr>
        <w:pStyle w:val="Heading2"/>
        <w:spacing w:before="120" w:after="120"/>
      </w:pPr>
      <w:r>
        <w:t>5.1 实验设置</w:t>
      </w:r>
    </w:p>
    <w:p>
      <w:pPr>
        <w:spacing w:line="300" w:lineRule="auto" w:before="0" w:after="0"/>
        <w:ind w:firstLine="420"/>
      </w:pPr>
      <w:r>
        <w:rPr>
          <w:rFonts w:ascii="Times New Roman" w:hAnsi="Times New Roman" w:eastAsia="Noto Serif CJK SC"/>
          <w:b w:val="0"/>
          <w:i w:val="0"/>
        </w:rPr>
        <w:t>实验使用 ABR 仿真环境中的网络 trace 和 video1 视频配置。训练、验证与测试分别基于 fcc-train、fcc-valid 和 fcc-test 等 trace 集合组织。评价指标包括 mean_reward、bitrate、rebuf 和 smooth，其中 mean_reward 作为综合 QoE 指标，越高表示整体体验越好；bitrate 越高通常代表画质越好；rebuf 和 smooth 越低分别表示卡顿更少和码率切换更平滑。</w:t>
      </w:r>
    </w:p>
    <w:p>
      <w:pPr>
        <w:spacing w:line="300" w:lineRule="auto" w:before="0" w:after="0"/>
        <w:ind w:firstLine="420"/>
      </w:pPr>
      <w:r>
        <w:rPr>
          <w:rFonts w:ascii="Times New Roman" w:hAnsi="Times New Roman" w:eastAsia="Noto Serif CJK SC"/>
          <w:b w:val="0"/>
          <w:i w:val="0"/>
        </w:rPr>
        <w:t>对包含随机性的学习型方法，本文采用 3 个随机种子进行独立测试，并报告均值与标准差。所有方法尽量在相同测试协议下评估，以保证结论具有可比性。</w:t>
      </w:r>
    </w:p>
    <w:p>
      <w:pPr>
        <w:pStyle w:val="Heading2"/>
        <w:spacing w:before="120" w:after="120"/>
      </w:pPr>
      <w:r>
        <w:t>5.2 对比方法</w:t>
      </w:r>
    </w:p>
    <w:p>
      <w:pPr>
        <w:spacing w:line="300" w:lineRule="auto" w:before="0" w:after="0"/>
        <w:ind w:firstLine="420"/>
      </w:pPr>
      <w:r>
        <w:rPr>
          <w:rFonts w:ascii="Times New Roman" w:hAnsi="Times New Roman" w:eastAsia="Noto Serif CJK SC"/>
          <w:b w:val="0"/>
          <w:i w:val="0"/>
        </w:rPr>
        <w:t>本文选择三类方法进行比较。第一类为传统 ABR 方法，包括 BBA 和 MPC。BBA 是基于缓冲区阈值的启发式方法，MPC 是基于吞吐预测和滚动优化的规划方法。第二类为强化学习方法，包括 UDR 和 Genet。UDR 在预定义环境分布上采用均匀随机采样训练，Genet 通过自动课程学习提升训练环境适应性。第三类为大模型方法，包括 Llama 初始接入版本、语义重编程版本、上下文预对齐增强版本 maskprevreward 和轻量化历史建模版本 hmix_v2lite。</w:t>
      </w:r>
    </w:p>
    <w:p>
      <w:r>
        <w:br w:type="page"/>
      </w:r>
    </w:p>
    <w:p>
      <w:pPr>
        <w:pStyle w:val="Heading2"/>
        <w:spacing w:before="120" w:after="120"/>
      </w:pPr>
      <w:r>
        <w:t>5.3 主结果分析</w:t>
      </w:r>
    </w:p>
    <w:p>
      <w:pPr>
        <w:spacing w:line="300" w:lineRule="auto"/>
        <w:jc w:val="center"/>
      </w:pPr>
      <w:r>
        <w:t>表 5.1 传统方法、强化学习方法与大模型方法在 ABR 任务上的性能比较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rFonts w:ascii="Times New Roman" w:hAnsi="Times New Roman" w:eastAsia="Noto Serif CJK SC"/>
                <w:b/>
                <w:sz w:val="19"/>
              </w:rPr>
              <w:t>方法</w:t>
            </w:r>
          </w:p>
        </w:tc>
        <w:tc>
          <w:tcPr>
            <w:tcW w:type="dxa" w:w="1814"/>
            <w:vAlign w:val="center"/>
          </w:tcPr>
          <w:p>
            <w:pPr>
              <w:jc w:val="center"/>
            </w:pPr>
            <w:r/>
            <w:r>
              <w:rPr>
                <w:rFonts w:ascii="Times New Roman" w:hAnsi="Times New Roman" w:eastAsia="Noto Serif CJK SC"/>
                <w:b/>
                <w:sz w:val="19"/>
              </w:rPr>
              <w:t>mean_reward</w:t>
            </w:r>
          </w:p>
        </w:tc>
        <w:tc>
          <w:tcPr>
            <w:tcW w:type="dxa" w:w="1531"/>
            <w:vAlign w:val="center"/>
          </w:tcPr>
          <w:p>
            <w:pPr>
              <w:jc w:val="center"/>
            </w:pPr>
            <w:r/>
            <w:r>
              <w:rPr>
                <w:rFonts w:ascii="Times New Roman" w:hAnsi="Times New Roman" w:eastAsia="Noto Serif CJK SC"/>
                <w:b/>
                <w:sz w:val="19"/>
              </w:rPr>
              <w:t>bitrate</w:t>
            </w:r>
          </w:p>
        </w:tc>
        <w:tc>
          <w:tcPr>
            <w:tcW w:type="dxa" w:w="1531"/>
            <w:vAlign w:val="center"/>
          </w:tcPr>
          <w:p>
            <w:pPr>
              <w:jc w:val="center"/>
            </w:pPr>
            <w:r/>
            <w:r>
              <w:rPr>
                <w:rFonts w:ascii="Times New Roman" w:hAnsi="Times New Roman" w:eastAsia="Noto Serif CJK SC"/>
                <w:b/>
                <w:sz w:val="19"/>
              </w:rPr>
              <w:t>rebuf</w:t>
            </w:r>
          </w:p>
        </w:tc>
        <w:tc>
          <w:tcPr>
            <w:tcW w:type="dxa" w:w="1531"/>
            <w:vAlign w:val="center"/>
          </w:tcPr>
          <w:p>
            <w:pPr>
              <w:jc w:val="center"/>
            </w:pPr>
            <w:r/>
            <w:r>
              <w:rPr>
                <w:rFonts w:ascii="Times New Roman" w:hAnsi="Times New Roman" w:eastAsia="Noto Serif CJK SC"/>
                <w:b/>
                <w:sz w:val="19"/>
              </w:rPr>
              <w:t>smooth</w:t>
            </w:r>
          </w:p>
        </w:tc>
      </w:tr>
      <w:tr>
        <w:tc>
          <w:tcPr>
            <w:tcW w:type="dxa" w:w="1701"/>
            <w:vAlign w:val="center"/>
          </w:tcPr>
          <w:p>
            <w:pPr>
              <w:jc w:val="center"/>
            </w:pPr>
            <w:r/>
            <w:r>
              <w:rPr>
                <w:rFonts w:ascii="Times New Roman" w:hAnsi="Times New Roman" w:eastAsia="Noto Serif CJK SC"/>
                <w:b w:val="0"/>
                <w:sz w:val="19"/>
              </w:rPr>
              <w:t>BBA</w:t>
            </w:r>
          </w:p>
        </w:tc>
        <w:tc>
          <w:tcPr>
            <w:tcW w:type="dxa" w:w="1814"/>
            <w:vAlign w:val="center"/>
          </w:tcPr>
          <w:p>
            <w:pPr>
              <w:jc w:val="center"/>
            </w:pPr>
            <w:r/>
            <w:r>
              <w:rPr>
                <w:rFonts w:ascii="Times New Roman" w:hAnsi="Times New Roman" w:eastAsia="Noto Serif CJK SC"/>
                <w:b w:val="0"/>
                <w:sz w:val="19"/>
              </w:rPr>
              <w:t>0.764151</w:t>
            </w:r>
          </w:p>
        </w:tc>
        <w:tc>
          <w:tcPr>
            <w:tcW w:type="dxa" w:w="1531"/>
            <w:vAlign w:val="center"/>
          </w:tcPr>
          <w:p>
            <w:pPr>
              <w:jc w:val="center"/>
            </w:pPr>
            <w:r/>
            <w:r>
              <w:rPr>
                <w:rFonts w:ascii="Times New Roman" w:hAnsi="Times New Roman" w:eastAsia="Noto Serif CJK SC"/>
                <w:b w:val="0"/>
                <w:sz w:val="19"/>
              </w:rPr>
              <w:t>1202.10</w:t>
            </w:r>
          </w:p>
        </w:tc>
        <w:tc>
          <w:tcPr>
            <w:tcW w:type="dxa" w:w="1531"/>
            <w:vAlign w:val="center"/>
          </w:tcPr>
          <w:p>
            <w:pPr>
              <w:jc w:val="center"/>
            </w:pPr>
            <w:r/>
            <w:r>
              <w:rPr>
                <w:rFonts w:ascii="Times New Roman" w:hAnsi="Times New Roman" w:eastAsia="Noto Serif CJK SC"/>
                <w:b w:val="0"/>
                <w:sz w:val="19"/>
              </w:rPr>
              <w:t>0.007469</w:t>
            </w:r>
          </w:p>
        </w:tc>
        <w:tc>
          <w:tcPr>
            <w:tcW w:type="dxa" w:w="1531"/>
            <w:vAlign w:val="center"/>
          </w:tcPr>
          <w:p>
            <w:pPr>
              <w:jc w:val="center"/>
            </w:pPr>
            <w:r/>
            <w:r>
              <w:rPr>
                <w:rFonts w:ascii="Times New Roman" w:hAnsi="Times New Roman" w:eastAsia="Noto Serif CJK SC"/>
                <w:b w:val="0"/>
                <w:sz w:val="19"/>
              </w:rPr>
              <w:t>0.405830</w:t>
            </w:r>
          </w:p>
        </w:tc>
      </w:tr>
      <w:tr>
        <w:tc>
          <w:tcPr>
            <w:tcW w:type="dxa" w:w="1701"/>
            <w:vAlign w:val="center"/>
          </w:tcPr>
          <w:p>
            <w:pPr>
              <w:jc w:val="center"/>
            </w:pPr>
            <w:r/>
            <w:r>
              <w:rPr>
                <w:rFonts w:ascii="Times New Roman" w:hAnsi="Times New Roman" w:eastAsia="Noto Serif CJK SC"/>
                <w:b w:val="0"/>
                <w:sz w:val="19"/>
              </w:rPr>
              <w:t>MPC</w:t>
            </w:r>
          </w:p>
        </w:tc>
        <w:tc>
          <w:tcPr>
            <w:tcW w:type="dxa" w:w="1814"/>
            <w:vAlign w:val="center"/>
          </w:tcPr>
          <w:p>
            <w:pPr>
              <w:jc w:val="center"/>
            </w:pPr>
            <w:r/>
            <w:r>
              <w:rPr>
                <w:rFonts w:ascii="Times New Roman" w:hAnsi="Times New Roman" w:eastAsia="Noto Serif CJK SC"/>
                <w:b w:val="0"/>
                <w:sz w:val="19"/>
              </w:rPr>
              <w:t>0.848455</w:t>
            </w:r>
          </w:p>
        </w:tc>
        <w:tc>
          <w:tcPr>
            <w:tcW w:type="dxa" w:w="1531"/>
            <w:vAlign w:val="center"/>
          </w:tcPr>
          <w:p>
            <w:pPr>
              <w:jc w:val="center"/>
            </w:pPr>
            <w:r/>
            <w:r>
              <w:rPr>
                <w:rFonts w:ascii="Times New Roman" w:hAnsi="Times New Roman" w:eastAsia="Noto Serif CJK SC"/>
                <w:b w:val="0"/>
                <w:sz w:val="19"/>
              </w:rPr>
              <w:t>1232.37</w:t>
            </w:r>
          </w:p>
        </w:tc>
        <w:tc>
          <w:tcPr>
            <w:tcW w:type="dxa" w:w="1531"/>
            <w:vAlign w:val="center"/>
          </w:tcPr>
          <w:p>
            <w:pPr>
              <w:jc w:val="center"/>
            </w:pPr>
            <w:r/>
            <w:r>
              <w:rPr>
                <w:rFonts w:ascii="Times New Roman" w:hAnsi="Times New Roman" w:eastAsia="Noto Serif CJK SC"/>
                <w:b w:val="0"/>
                <w:sz w:val="19"/>
              </w:rPr>
              <w:t>0.056636</w:t>
            </w:r>
          </w:p>
        </w:tc>
        <w:tc>
          <w:tcPr>
            <w:tcW w:type="dxa" w:w="1531"/>
            <w:vAlign w:val="center"/>
          </w:tcPr>
          <w:p>
            <w:pPr>
              <w:jc w:val="center"/>
            </w:pPr>
            <w:r/>
            <w:r>
              <w:rPr>
                <w:rFonts w:ascii="Times New Roman" w:hAnsi="Times New Roman" w:eastAsia="Noto Serif CJK SC"/>
                <w:b w:val="0"/>
                <w:sz w:val="19"/>
              </w:rPr>
              <w:t>0.140383</w:t>
            </w:r>
          </w:p>
        </w:tc>
      </w:tr>
      <w:tr>
        <w:tc>
          <w:tcPr>
            <w:tcW w:type="dxa" w:w="1701"/>
            <w:vAlign w:val="center"/>
          </w:tcPr>
          <w:p>
            <w:pPr>
              <w:jc w:val="center"/>
            </w:pPr>
            <w:r/>
            <w:r>
              <w:rPr>
                <w:rFonts w:ascii="Times New Roman" w:hAnsi="Times New Roman" w:eastAsia="Noto Serif CJK SC"/>
                <w:b w:val="0"/>
                <w:sz w:val="19"/>
              </w:rPr>
              <w:t>UDR（3-seed）</w:t>
            </w:r>
          </w:p>
        </w:tc>
        <w:tc>
          <w:tcPr>
            <w:tcW w:type="dxa" w:w="1814"/>
            <w:vAlign w:val="center"/>
          </w:tcPr>
          <w:p>
            <w:pPr>
              <w:jc w:val="center"/>
            </w:pPr>
            <w:r/>
            <w:r>
              <w:rPr>
                <w:rFonts w:ascii="Times New Roman" w:hAnsi="Times New Roman" w:eastAsia="Noto Serif CJK SC"/>
                <w:b w:val="0"/>
                <w:sz w:val="19"/>
              </w:rPr>
              <w:t>0.729856 ± 0.022100</w:t>
            </w:r>
          </w:p>
        </w:tc>
        <w:tc>
          <w:tcPr>
            <w:tcW w:type="dxa" w:w="1531"/>
            <w:vAlign w:val="center"/>
          </w:tcPr>
          <w:p>
            <w:pPr>
              <w:jc w:val="center"/>
            </w:pPr>
            <w:r/>
            <w:r>
              <w:rPr>
                <w:rFonts w:ascii="Times New Roman" w:hAnsi="Times New Roman" w:eastAsia="Noto Serif CJK SC"/>
                <w:b w:val="0"/>
                <w:sz w:val="19"/>
              </w:rPr>
              <w:t>1114.28 ± 3.89</w:t>
            </w:r>
          </w:p>
        </w:tc>
        <w:tc>
          <w:tcPr>
            <w:tcW w:type="dxa" w:w="1531"/>
            <w:vAlign w:val="center"/>
          </w:tcPr>
          <w:p>
            <w:pPr>
              <w:jc w:val="center"/>
            </w:pPr>
            <w:r/>
            <w:r>
              <w:rPr>
                <w:rFonts w:ascii="Times New Roman" w:hAnsi="Times New Roman" w:eastAsia="Noto Serif CJK SC"/>
                <w:b w:val="0"/>
                <w:sz w:val="19"/>
              </w:rPr>
              <w:t>0.049413 ± 0.004437</w:t>
            </w:r>
          </w:p>
        </w:tc>
        <w:tc>
          <w:tcPr>
            <w:tcW w:type="dxa" w:w="1531"/>
            <w:vAlign w:val="center"/>
          </w:tcPr>
          <w:p>
            <w:pPr>
              <w:jc w:val="center"/>
            </w:pPr>
            <w:r/>
            <w:r>
              <w:rPr>
                <w:rFonts w:ascii="Times New Roman" w:hAnsi="Times New Roman" w:eastAsia="Noto Serif CJK SC"/>
                <w:b w:val="0"/>
                <w:sz w:val="19"/>
              </w:rPr>
              <w:t>0.171943 ± 0.001722</w:t>
            </w:r>
          </w:p>
        </w:tc>
      </w:tr>
      <w:tr>
        <w:tc>
          <w:tcPr>
            <w:tcW w:type="dxa" w:w="1701"/>
            <w:vAlign w:val="center"/>
          </w:tcPr>
          <w:p>
            <w:pPr>
              <w:jc w:val="center"/>
            </w:pPr>
            <w:r/>
            <w:r>
              <w:rPr>
                <w:rFonts w:ascii="Times New Roman" w:hAnsi="Times New Roman" w:eastAsia="Noto Serif CJK SC"/>
                <w:b w:val="0"/>
                <w:sz w:val="19"/>
              </w:rPr>
              <w:t>Genet（3-seed）</w:t>
            </w:r>
          </w:p>
        </w:tc>
        <w:tc>
          <w:tcPr>
            <w:tcW w:type="dxa" w:w="1814"/>
            <w:vAlign w:val="center"/>
          </w:tcPr>
          <w:p>
            <w:pPr>
              <w:jc w:val="center"/>
            </w:pPr>
            <w:r/>
            <w:r>
              <w:rPr>
                <w:rFonts w:ascii="Times New Roman" w:hAnsi="Times New Roman" w:eastAsia="Noto Serif CJK SC"/>
                <w:b w:val="0"/>
                <w:sz w:val="19"/>
              </w:rPr>
              <w:t>0.867324 ± 0.028532</w:t>
            </w:r>
          </w:p>
        </w:tc>
        <w:tc>
          <w:tcPr>
            <w:tcW w:type="dxa" w:w="1531"/>
            <w:vAlign w:val="center"/>
          </w:tcPr>
          <w:p>
            <w:pPr>
              <w:jc w:val="center"/>
            </w:pPr>
            <w:r/>
            <w:r>
              <w:rPr>
                <w:rFonts w:ascii="Times New Roman" w:hAnsi="Times New Roman" w:eastAsia="Noto Serif CJK SC"/>
                <w:b w:val="0"/>
                <w:sz w:val="19"/>
              </w:rPr>
              <w:t>1122.33 ± 5.19</w:t>
            </w:r>
          </w:p>
        </w:tc>
        <w:tc>
          <w:tcPr>
            <w:tcW w:type="dxa" w:w="1531"/>
            <w:vAlign w:val="center"/>
          </w:tcPr>
          <w:p>
            <w:pPr>
              <w:jc w:val="center"/>
            </w:pPr>
            <w:r/>
            <w:r>
              <w:rPr>
                <w:rFonts w:ascii="Times New Roman" w:hAnsi="Times New Roman" w:eastAsia="Noto Serif CJK SC"/>
                <w:b w:val="0"/>
                <w:sz w:val="19"/>
              </w:rPr>
              <w:t>0.038408 ± 0.005205</w:t>
            </w:r>
          </w:p>
        </w:tc>
        <w:tc>
          <w:tcPr>
            <w:tcW w:type="dxa" w:w="1531"/>
            <w:vAlign w:val="center"/>
          </w:tcPr>
          <w:p>
            <w:pPr>
              <w:jc w:val="center"/>
            </w:pPr>
            <w:r/>
            <w:r>
              <w:rPr>
                <w:rFonts w:ascii="Times New Roman" w:hAnsi="Times New Roman" w:eastAsia="Noto Serif CJK SC"/>
                <w:b w:val="0"/>
                <w:sz w:val="19"/>
              </w:rPr>
              <w:t>0.089848 ± 0.003007</w:t>
            </w:r>
          </w:p>
        </w:tc>
      </w:tr>
      <w:tr>
        <w:tc>
          <w:tcPr>
            <w:tcW w:type="dxa" w:w="1701"/>
            <w:vAlign w:val="center"/>
          </w:tcPr>
          <w:p>
            <w:pPr>
              <w:jc w:val="center"/>
            </w:pPr>
            <w:r/>
            <w:r>
              <w:rPr>
                <w:rFonts w:ascii="Times New Roman" w:hAnsi="Times New Roman" w:eastAsia="Noto Serif CJK SC"/>
                <w:b w:val="0"/>
                <w:sz w:val="19"/>
              </w:rPr>
              <w:t>Llama 初始接入版本</w:t>
            </w:r>
          </w:p>
        </w:tc>
        <w:tc>
          <w:tcPr>
            <w:tcW w:type="dxa" w:w="1814"/>
            <w:vAlign w:val="center"/>
          </w:tcPr>
          <w:p>
            <w:pPr>
              <w:jc w:val="center"/>
            </w:pPr>
            <w:r/>
            <w:r>
              <w:rPr>
                <w:rFonts w:ascii="Times New Roman" w:hAnsi="Times New Roman" w:eastAsia="Noto Serif CJK SC"/>
                <w:b w:val="0"/>
                <w:sz w:val="19"/>
              </w:rPr>
              <w:t>0.590660</w:t>
            </w:r>
          </w:p>
        </w:tc>
        <w:tc>
          <w:tcPr>
            <w:tcW w:type="dxa" w:w="1531"/>
            <w:vAlign w:val="center"/>
          </w:tcPr>
          <w:p>
            <w:pPr>
              <w:jc w:val="center"/>
            </w:pPr>
            <w:r/>
            <w:r>
              <w:rPr>
                <w:rFonts w:ascii="Times New Roman" w:hAnsi="Times New Roman" w:eastAsia="Noto Serif CJK SC"/>
                <w:b w:val="0"/>
                <w:sz w:val="19"/>
              </w:rPr>
              <w:t>1116.83</w:t>
            </w:r>
          </w:p>
        </w:tc>
        <w:tc>
          <w:tcPr>
            <w:tcW w:type="dxa" w:w="1531"/>
            <w:vAlign w:val="center"/>
          </w:tcPr>
          <w:p>
            <w:pPr>
              <w:jc w:val="center"/>
            </w:pPr>
            <w:r/>
            <w:r>
              <w:rPr>
                <w:rFonts w:ascii="Times New Roman" w:hAnsi="Times New Roman" w:eastAsia="Noto Serif CJK SC"/>
                <w:b w:val="0"/>
                <w:sz w:val="19"/>
              </w:rPr>
              <w:t>0.066356</w:t>
            </w:r>
          </w:p>
        </w:tc>
        <w:tc>
          <w:tcPr>
            <w:tcW w:type="dxa" w:w="1531"/>
            <w:vAlign w:val="center"/>
          </w:tcPr>
          <w:p>
            <w:pPr>
              <w:jc w:val="center"/>
            </w:pPr>
            <w:r/>
            <w:r>
              <w:rPr>
                <w:rFonts w:ascii="Times New Roman" w:hAnsi="Times New Roman" w:eastAsia="Noto Serif CJK SC"/>
                <w:b w:val="0"/>
                <w:sz w:val="19"/>
              </w:rPr>
              <w:t>0.240840</w:t>
            </w:r>
          </w:p>
        </w:tc>
      </w:tr>
      <w:tr>
        <w:tc>
          <w:tcPr>
            <w:tcW w:type="dxa" w:w="1701"/>
            <w:vAlign w:val="center"/>
          </w:tcPr>
          <w:p>
            <w:pPr>
              <w:jc w:val="center"/>
            </w:pPr>
            <w:r/>
            <w:r>
              <w:rPr>
                <w:rFonts w:ascii="Times New Roman" w:hAnsi="Times New Roman" w:eastAsia="Noto Serif CJK SC"/>
                <w:b w:val="0"/>
                <w:sz w:val="19"/>
              </w:rPr>
              <w:t>语义重编程版本（3-seed）</w:t>
            </w:r>
          </w:p>
        </w:tc>
        <w:tc>
          <w:tcPr>
            <w:tcW w:type="dxa" w:w="1814"/>
            <w:vAlign w:val="center"/>
          </w:tcPr>
          <w:p>
            <w:pPr>
              <w:jc w:val="center"/>
            </w:pPr>
            <w:r/>
            <w:r>
              <w:rPr>
                <w:rFonts w:ascii="Times New Roman" w:hAnsi="Times New Roman" w:eastAsia="Noto Serif CJK SC"/>
                <w:b w:val="0"/>
                <w:sz w:val="19"/>
              </w:rPr>
              <w:t>0.8547 ± 0.0508</w:t>
            </w:r>
          </w:p>
        </w:tc>
        <w:tc>
          <w:tcPr>
            <w:tcW w:type="dxa" w:w="1531"/>
            <w:vAlign w:val="center"/>
          </w:tcPr>
          <w:p>
            <w:pPr>
              <w:jc w:val="center"/>
            </w:pPr>
            <w:r/>
            <w:r>
              <w:rPr>
                <w:rFonts w:ascii="Times New Roman" w:hAnsi="Times New Roman" w:eastAsia="Noto Serif CJK SC"/>
                <w:b w:val="0"/>
                <w:sz w:val="19"/>
              </w:rPr>
              <w:t>1025.0 ± 74.5</w:t>
            </w:r>
          </w:p>
        </w:tc>
        <w:tc>
          <w:tcPr>
            <w:tcW w:type="dxa" w:w="1531"/>
            <w:vAlign w:val="center"/>
          </w:tcPr>
          <w:p>
            <w:pPr>
              <w:jc w:val="center"/>
            </w:pPr>
            <w:r/>
            <w:r>
              <w:rPr>
                <w:rFonts w:ascii="Times New Roman" w:hAnsi="Times New Roman" w:eastAsia="Noto Serif CJK SC"/>
                <w:b w:val="0"/>
                <w:sz w:val="19"/>
              </w:rPr>
              <w:t>0.0223 ± 0.0059</w:t>
            </w:r>
          </w:p>
        </w:tc>
        <w:tc>
          <w:tcPr>
            <w:tcW w:type="dxa" w:w="1531"/>
            <w:vAlign w:val="center"/>
          </w:tcPr>
          <w:p>
            <w:pPr>
              <w:jc w:val="center"/>
            </w:pPr>
            <w:r/>
            <w:r>
              <w:rPr>
                <w:rFonts w:ascii="Times New Roman" w:hAnsi="Times New Roman" w:eastAsia="Noto Serif CJK SC"/>
                <w:b w:val="0"/>
                <w:sz w:val="19"/>
              </w:rPr>
              <w:t>0.0743 ± 0.0040</w:t>
            </w:r>
          </w:p>
        </w:tc>
      </w:tr>
    </w:tbl>
    <w:p/>
    <w:p>
      <w:pPr>
        <w:spacing w:line="300" w:lineRule="auto" w:before="0" w:after="0"/>
        <w:ind w:firstLine="420"/>
      </w:pPr>
      <w:r>
        <w:t>从表 5.1 可以看出，BBA 的 mean_reward 为 0.764151，MPC 的 mean_reward 为 0.848455，说明基于短期吞吐预测与滚动规划的 MPC 在综合 QoE 上优于单纯缓冲区规则方法。UDR 的 mean_reward 为 0.729856±0.022100，低于 BBA 和 MPC，说明均匀随机域训练得到的策略在当前测试环境下泛化效果有限。Genet 的 mean_reward 达到 0.867324±0.028532，是较强的强化学习基线，说明自动课程生成机制能够提升策略对不同网络环境的适应能力。</w:t>
      </w:r>
    </w:p>
    <w:p>
      <w:pPr>
        <w:spacing w:line="300" w:lineRule="auto" w:before="0" w:after="0"/>
        <w:ind w:firstLine="420"/>
      </w:pPr>
      <w:r>
        <w:rPr>
          <w:rFonts w:ascii="Times New Roman" w:hAnsi="Times New Roman" w:eastAsia="Noto Serif CJK SC"/>
          <w:b w:val="0"/>
          <w:i w:val="0"/>
        </w:rPr>
        <w:t>Llama 初始接入版本的 best_return 虽然达到 4.5043，但最终测试 mean_reward 仅为 0.590660，明显低于传统和强化学习基线。这表明直接将数值状态输入大语言模型并不能充分发挥其表达能力，甚至可能由于模态不匹配导致策略学习困难。相比之下，语义重编程版本的 best_return 达到 4.5243，测试 mean_reward 达到 0.8547±0.0508，较初始版本提升约 44.7%。该结果说明，将 ABR 数值状态映射到任务语义空间可以显著改善大模型对网络决策状态的理解。</w:t>
      </w:r>
    </w:p>
    <w:p>
      <w:r>
        <w:br w:type="page"/>
      </w:r>
    </w:p>
    <w:p>
      <w:pPr>
        <w:pStyle w:val="Heading2"/>
        <w:spacing w:before="120" w:after="120"/>
      </w:pPr>
      <w:r>
        <w:t>5.4 消融实验与稳定性分析</w:t>
      </w:r>
    </w:p>
    <w:p>
      <w:pPr>
        <w:spacing w:line="300" w:lineRule="auto"/>
        <w:jc w:val="center"/>
      </w:pPr>
      <w:r>
        <w:t>表 5.2 大模型适配模块消融结果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vAlign w:val="center"/>
          </w:tcPr>
          <w:p>
            <w:pPr>
              <w:jc w:val="center"/>
            </w:pPr>
            <w:r/>
            <w:r>
              <w:rPr>
                <w:rFonts w:ascii="Times New Roman" w:hAnsi="Times New Roman" w:eastAsia="Noto Serif CJK SC"/>
                <w:b/>
                <w:sz w:val="19"/>
              </w:rPr>
              <w:t>方法</w:t>
            </w:r>
          </w:p>
        </w:tc>
        <w:tc>
          <w:tcPr>
            <w:tcW w:type="dxa" w:w="3685"/>
            <w:vAlign w:val="center"/>
          </w:tcPr>
          <w:p>
            <w:pPr>
              <w:jc w:val="center"/>
            </w:pPr>
            <w:r/>
            <w:r>
              <w:rPr>
                <w:rFonts w:ascii="Times New Roman" w:hAnsi="Times New Roman" w:eastAsia="Noto Serif CJK SC"/>
                <w:b/>
                <w:sz w:val="19"/>
              </w:rPr>
              <w:t>核心设计</w:t>
            </w:r>
          </w:p>
        </w:tc>
        <w:tc>
          <w:tcPr>
            <w:tcW w:type="dxa" w:w="1587"/>
            <w:vAlign w:val="center"/>
          </w:tcPr>
          <w:p>
            <w:pPr>
              <w:jc w:val="center"/>
            </w:pPr>
            <w:r/>
            <w:r>
              <w:rPr>
                <w:rFonts w:ascii="Times New Roman" w:hAnsi="Times New Roman" w:eastAsia="Noto Serif CJK SC"/>
                <w:b/>
                <w:sz w:val="19"/>
              </w:rPr>
              <w:t>mean_reward</w:t>
            </w:r>
          </w:p>
        </w:tc>
        <w:tc>
          <w:tcPr>
            <w:tcW w:type="dxa" w:w="1701"/>
            <w:vAlign w:val="center"/>
          </w:tcPr>
          <w:p>
            <w:pPr>
              <w:jc w:val="center"/>
            </w:pPr>
            <w:r/>
            <w:r>
              <w:rPr>
                <w:rFonts w:ascii="Times New Roman" w:hAnsi="Times New Roman" w:eastAsia="Noto Serif CJK SC"/>
                <w:b/>
                <w:sz w:val="19"/>
              </w:rPr>
              <w:t>相对 semantic_only 提升</w:t>
            </w:r>
          </w:p>
        </w:tc>
      </w:tr>
      <w:tr>
        <w:tc>
          <w:tcPr>
            <w:tcW w:type="dxa" w:w="1814"/>
            <w:vAlign w:val="center"/>
          </w:tcPr>
          <w:p>
            <w:pPr>
              <w:jc w:val="center"/>
            </w:pPr>
            <w:r/>
            <w:r>
              <w:rPr>
                <w:rFonts w:ascii="Times New Roman" w:hAnsi="Times New Roman" w:eastAsia="Noto Serif CJK SC"/>
                <w:b w:val="0"/>
                <w:sz w:val="19"/>
              </w:rPr>
              <w:t>semantic_only</w:t>
            </w:r>
          </w:p>
        </w:tc>
        <w:tc>
          <w:tcPr>
            <w:tcW w:type="dxa" w:w="3685"/>
            <w:vAlign w:val="center"/>
          </w:tcPr>
          <w:p>
            <w:pPr>
              <w:jc w:val="center"/>
            </w:pPr>
            <w:r/>
            <w:r>
              <w:rPr>
                <w:rFonts w:ascii="Times New Roman" w:hAnsi="Times New Roman" w:eastAsia="Noto Serif CJK SC"/>
                <w:b w:val="0"/>
                <w:sz w:val="19"/>
              </w:rPr>
              <w:t>语义重编程状态编码</w:t>
            </w:r>
          </w:p>
        </w:tc>
        <w:tc>
          <w:tcPr>
            <w:tcW w:type="dxa" w:w="1587"/>
            <w:vAlign w:val="center"/>
          </w:tcPr>
          <w:p>
            <w:pPr>
              <w:jc w:val="center"/>
            </w:pPr>
            <w:r/>
            <w:r>
              <w:rPr>
                <w:rFonts w:ascii="Times New Roman" w:hAnsi="Times New Roman" w:eastAsia="Noto Serif CJK SC"/>
                <w:b w:val="0"/>
                <w:sz w:val="19"/>
              </w:rPr>
              <w:t>0.8547</w:t>
            </w:r>
          </w:p>
        </w:tc>
        <w:tc>
          <w:tcPr>
            <w:tcW w:type="dxa" w:w="1701"/>
            <w:vAlign w:val="center"/>
          </w:tcPr>
          <w:p>
            <w:pPr>
              <w:jc w:val="center"/>
            </w:pPr>
            <w:r/>
            <w:r>
              <w:rPr>
                <w:rFonts w:ascii="Times New Roman" w:hAnsi="Times New Roman" w:eastAsia="Noto Serif CJK SC"/>
                <w:b w:val="0"/>
                <w:sz w:val="19"/>
              </w:rPr>
              <w:t>—</w:t>
            </w:r>
          </w:p>
        </w:tc>
      </w:tr>
      <w:tr>
        <w:tc>
          <w:tcPr>
            <w:tcW w:type="dxa" w:w="1814"/>
            <w:vAlign w:val="center"/>
          </w:tcPr>
          <w:p>
            <w:pPr>
              <w:jc w:val="center"/>
            </w:pPr>
            <w:r/>
            <w:r>
              <w:rPr>
                <w:rFonts w:ascii="Times New Roman" w:hAnsi="Times New Roman" w:eastAsia="Noto Serif CJK SC"/>
                <w:b w:val="0"/>
                <w:sz w:val="19"/>
              </w:rPr>
              <w:t>maskprevreward</w:t>
            </w:r>
          </w:p>
        </w:tc>
        <w:tc>
          <w:tcPr>
            <w:tcW w:type="dxa" w:w="3685"/>
            <w:vAlign w:val="center"/>
          </w:tcPr>
          <w:p>
            <w:pPr>
              <w:jc w:val="center"/>
            </w:pPr>
            <w:r/>
            <w:r>
              <w:rPr>
                <w:rFonts w:ascii="Times New Roman" w:hAnsi="Times New Roman" w:eastAsia="Noto Serif CJK SC"/>
                <w:b w:val="0"/>
                <w:sz w:val="19"/>
              </w:rPr>
              <w:t>语义重编程 + prev_action/prev_reward 预对齐</w:t>
            </w:r>
          </w:p>
        </w:tc>
        <w:tc>
          <w:tcPr>
            <w:tcW w:type="dxa" w:w="1587"/>
            <w:vAlign w:val="center"/>
          </w:tcPr>
          <w:p>
            <w:pPr>
              <w:jc w:val="center"/>
            </w:pPr>
            <w:r/>
            <w:r>
              <w:rPr>
                <w:rFonts w:ascii="Times New Roman" w:hAnsi="Times New Roman" w:eastAsia="Noto Serif CJK SC"/>
                <w:b w:val="0"/>
                <w:sz w:val="19"/>
              </w:rPr>
              <w:t>0.9051</w:t>
            </w:r>
          </w:p>
        </w:tc>
        <w:tc>
          <w:tcPr>
            <w:tcW w:type="dxa" w:w="1701"/>
            <w:vAlign w:val="center"/>
          </w:tcPr>
          <w:p>
            <w:pPr>
              <w:jc w:val="center"/>
            </w:pPr>
            <w:r/>
            <w:r>
              <w:rPr>
                <w:rFonts w:ascii="Times New Roman" w:hAnsi="Times New Roman" w:eastAsia="Noto Serif CJK SC"/>
                <w:b w:val="0"/>
                <w:sz w:val="19"/>
              </w:rPr>
              <w:t>约 5.90%</w:t>
            </w:r>
          </w:p>
        </w:tc>
      </w:tr>
      <w:tr>
        <w:tc>
          <w:tcPr>
            <w:tcW w:type="dxa" w:w="1814"/>
            <w:vAlign w:val="center"/>
          </w:tcPr>
          <w:p>
            <w:pPr>
              <w:jc w:val="center"/>
            </w:pPr>
            <w:r/>
            <w:r>
              <w:rPr>
                <w:rFonts w:ascii="Times New Roman" w:hAnsi="Times New Roman" w:eastAsia="Noto Serif CJK SC"/>
                <w:b w:val="0"/>
                <w:sz w:val="19"/>
              </w:rPr>
              <w:t>hmix_v2lite</w:t>
            </w:r>
          </w:p>
        </w:tc>
        <w:tc>
          <w:tcPr>
            <w:tcW w:type="dxa" w:w="3685"/>
            <w:vAlign w:val="center"/>
          </w:tcPr>
          <w:p>
            <w:pPr>
              <w:jc w:val="center"/>
            </w:pPr>
            <w:r/>
            <w:r>
              <w:rPr>
                <w:rFonts w:ascii="Times New Roman" w:hAnsi="Times New Roman" w:eastAsia="Noto Serif CJK SC"/>
                <w:b w:val="0"/>
                <w:sz w:val="19"/>
              </w:rPr>
              <w:t>预对齐 + 轻量化历史多尺度建模</w:t>
            </w:r>
          </w:p>
        </w:tc>
        <w:tc>
          <w:tcPr>
            <w:tcW w:type="dxa" w:w="1587"/>
            <w:vAlign w:val="center"/>
          </w:tcPr>
          <w:p>
            <w:pPr>
              <w:jc w:val="center"/>
            </w:pPr>
            <w:r/>
            <w:r>
              <w:rPr>
                <w:rFonts w:ascii="Times New Roman" w:hAnsi="Times New Roman" w:eastAsia="Noto Serif CJK SC"/>
                <w:b w:val="0"/>
                <w:sz w:val="19"/>
              </w:rPr>
              <w:t>0.9248</w:t>
            </w:r>
          </w:p>
        </w:tc>
        <w:tc>
          <w:tcPr>
            <w:tcW w:type="dxa" w:w="1701"/>
            <w:vAlign w:val="center"/>
          </w:tcPr>
          <w:p>
            <w:pPr>
              <w:jc w:val="center"/>
            </w:pPr>
            <w:r/>
            <w:r>
              <w:rPr>
                <w:rFonts w:ascii="Times New Roman" w:hAnsi="Times New Roman" w:eastAsia="Noto Serif CJK SC"/>
                <w:b w:val="0"/>
                <w:sz w:val="19"/>
              </w:rPr>
              <w:t>约 8.20%</w:t>
            </w:r>
          </w:p>
        </w:tc>
      </w:tr>
    </w:tbl>
    <w:p/>
    <w:p>
      <w:pPr>
        <w:spacing w:line="300" w:lineRule="auto" w:before="0" w:after="0"/>
        <w:ind w:firstLine="420"/>
      </w:pPr>
      <w:r>
        <w:t>表 5.2 展示了大模型适配模块的消融趋势。semantic_only 作为语义重编程基线，已经显著优于 Llama 初始接入版本，说明语义对齐是大模型适配 ABR 的必要步骤。maskprevreward 在此基础上加入历史动作和历史奖励，mean_reward 提升到 0.9051，说明上一步决策及其反馈能够为当前码率选择提供有效上下文。hmix_v2lite 进一步引入轻量化历史多尺度建模，mean_reward 达到 0.9248，是当前结果中表现最好的方案。</w:t>
      </w:r>
    </w:p>
    <w:p>
      <w:pPr>
        <w:spacing w:line="300" w:lineRule="auto" w:before="0" w:after="0"/>
        <w:ind w:firstLine="420"/>
      </w:pPr>
      <w:r>
        <w:rPr>
          <w:rFonts w:ascii="Times New Roman" w:hAnsi="Times New Roman" w:eastAsia="Noto Serif CJK SC"/>
          <w:b w:val="0"/>
          <w:i w:val="0"/>
        </w:rPr>
        <w:t>与 Genet 相比，hmix_v2lite 的 mean_reward 从 0.8673 提升到 0.9248，提升约 6.6%；与 MPC 相比提升约 9.0%；与 BBA 相比提升约 21.0%。这说明在统一测试协议下，大语言模型经过任务适配后不仅能够超过传统方法，也具备超过较强强化学习基线的潜力。需要注意的是，增强版本的 bitrate、rebuf 和 smooth 完整统计仍应在最终论文提交前结合实验总表补齐，以便从多个指标角度进一步验证其性能均衡性。</w:t>
      </w:r>
    </w:p>
    <w:p>
      <w:r>
        <w:drawing>
          <wp:inline xmlns:a="http://schemas.openxmlformats.org/drawingml/2006/main" xmlns:pic="http://schemas.openxmlformats.org/drawingml/2006/picture">
            <wp:extent cx="4937760" cy="1961576"/>
            <wp:docPr id="3" name="Picture 3"/>
            <wp:cNvGraphicFramePr>
              <a:graphicFrameLocks noChangeAspect="1"/>
            </wp:cNvGraphicFramePr>
            <a:graphic>
              <a:graphicData uri="http://schemas.openxmlformats.org/drawingml/2006/picture">
                <pic:pic>
                  <pic:nvPicPr>
                    <pic:cNvPr id="0" name="thesis_results.png"/>
                    <pic:cNvPicPr/>
                  </pic:nvPicPr>
                  <pic:blipFill>
                    <a:blip r:embed="rId13"/>
                    <a:stretch>
                      <a:fillRect/>
                    </a:stretch>
                  </pic:blipFill>
                  <pic:spPr>
                    <a:xfrm>
                      <a:off x="0" y="0"/>
                      <a:ext cx="4937760" cy="1961576"/>
                    </a:xfrm>
                    <a:prstGeom prst="rect"/>
                  </pic:spPr>
                </pic:pic>
              </a:graphicData>
            </a:graphic>
          </wp:inline>
        </w:drawing>
      </w:r>
    </w:p>
    <w:p>
      <w:pPr>
        <w:spacing w:line="300" w:lineRule="auto"/>
        <w:jc w:val="center"/>
      </w:pPr>
      <w:r>
        <w:t>图 5.1 不同 ABR 方法的 mean_reward 对比</w:t>
      </w:r>
    </w:p>
    <w:p>
      <w:pPr>
        <w:pStyle w:val="Heading2"/>
        <w:spacing w:before="120" w:after="120"/>
      </w:pPr>
      <w:r>
        <w:t>5.5 结果讨论</w:t>
      </w:r>
    </w:p>
    <w:p>
      <w:pPr>
        <w:spacing w:line="300" w:lineRule="auto" w:before="0" w:after="0"/>
        <w:ind w:firstLine="420"/>
      </w:pPr>
      <w:r>
        <w:rPr>
          <w:rFonts w:ascii="Times New Roman" w:hAnsi="Times New Roman" w:eastAsia="Noto Serif CJK SC"/>
          <w:b w:val="0"/>
          <w:i w:val="0"/>
        </w:rPr>
        <w:t>从实验结果可以得到三点认识。第一，ABR 决策不能只追求平均码率。BBA 的平均码率较高，但 smooth 惩罚也较高，说明其码率切换较频繁；语义重编程版本的平均码率相对较低，但 rebuf 和 smooth 表现较好，因此综合 QoE 接近 MPC 和 Genet。第二，大模型接入是否有效取决于状态表示方式。直接数值编码难以适配语言模型，而语义重编程显著提升了效果。第三，ABR 任务中的历史上下文非常重要。prev_action、prev_reward 和吞吐历史多尺度信息均能够为当前决策提供有用线索。</w:t>
      </w:r>
    </w:p>
    <w:p>
      <w:pPr>
        <w:spacing w:line="300" w:lineRule="auto" w:before="0" w:after="0"/>
        <w:ind w:firstLine="420"/>
      </w:pPr>
      <w:r>
        <w:rPr>
          <w:rFonts w:ascii="Times New Roman" w:hAnsi="Times New Roman" w:eastAsia="Noto Serif CJK SC"/>
          <w:b w:val="0"/>
          <w:i w:val="0"/>
        </w:rPr>
        <w:t>本文方法仍存在不足。首先，实验主要基于当前 ABR 仿真环境和有限视频配置，尚需在更多视频内容和 trace 分布上验证泛化能力。其次，当前方法关注离线训练和仿真测试，尚未充分评估真实系统中的推理时延和部署成本。最后，大模型参数规模、LoRA 配置和状态语义模板仍有进一步优化空间。</w:t>
      </w:r>
    </w:p>
    <w:p>
      <w:pPr>
        <w:pStyle w:val="Heading1"/>
        <w:spacing w:before="0" w:after="120"/>
      </w:pPr>
      <w:r>
        <w:rPr>
          <w:rFonts w:ascii="Times New Roman" w:hAnsi="Times New Roman" w:eastAsia="Noto Sans CJK SC"/>
          <w:b/>
        </w:rPr>
        <w:t>结论</w:t>
      </w:r>
    </w:p>
    <w:p>
      <w:pPr>
        <w:spacing w:line="300" w:lineRule="auto" w:before="0" w:after="0"/>
        <w:ind w:firstLine="420"/>
      </w:pPr>
      <w:r>
        <w:rPr>
          <w:rFonts w:ascii="Times New Roman" w:hAnsi="Times New Roman" w:eastAsia="Noto Serif CJK SC"/>
          <w:b w:val="0"/>
          <w:i w:val="0"/>
        </w:rPr>
        <w:t>本文围绕“基于大语言模型微调的视频码率自适应优化”开展研究，完成了 ABR 任务的统一建模、实验环境搭建、基线方法复现、大模型接入、语义重编程设计以及实验验证。通过对 BBA、MPC、UDR、Genet 和多种大模型适配方案进行比较，本文验证了大语言模型在经过任务适配后用于 ABR 决策的可行性。</w:t>
      </w:r>
    </w:p>
    <w:p>
      <w:pPr>
        <w:spacing w:line="300" w:lineRule="auto" w:before="0" w:after="0"/>
        <w:ind w:firstLine="420"/>
      </w:pPr>
      <w:r>
        <w:rPr>
          <w:rFonts w:ascii="Times New Roman" w:hAnsi="Times New Roman" w:eastAsia="Noto Serif CJK SC"/>
          <w:b w:val="0"/>
          <w:i w:val="0"/>
        </w:rPr>
        <w:t>研究结果表明，直接数值编码的大模型初始接入版本虽然打通了经验池、训练和测试流程，但性能不足；语义重编程能够有效缩小数值网络状态与语言模型语义空间之间的差距，使 mean_reward 从 0.590660 提升到 0.8547±0.0508；进一步加入历史动作、历史奖励和轻量化历史多尺度建模后，模型综合 QoE 继续提升，说明上下文对齐和历史带宽建模对 ABR 决策具有积极作用。</w:t>
      </w:r>
    </w:p>
    <w:p>
      <w:pPr>
        <w:spacing w:line="300" w:lineRule="auto" w:before="0" w:after="0"/>
        <w:ind w:firstLine="420"/>
      </w:pPr>
      <w:r>
        <w:rPr>
          <w:rFonts w:ascii="Times New Roman" w:hAnsi="Times New Roman" w:eastAsia="Noto Serif CJK SC"/>
          <w:b w:val="0"/>
          <w:i w:val="0"/>
        </w:rPr>
        <w:t>后续工作可从三个方面展开。第一，扩大测试范围，在更多视频内容、网络 trace 和真实网络环境中评估模型泛化能力。第二，进一步优化状态语义模板和历史建模结构，分析不同模块对 bitrate、rebuf 和 smooth 的具体影响。第三，研究大模型 ABR 策略的轻量化部署和实时推理优化，使其更接近实际流媒体系统需求。</w:t>
      </w:r>
    </w:p>
    <w:p>
      <w:pPr>
        <w:pStyle w:val="Heading1"/>
        <w:spacing w:before="0" w:after="120"/>
      </w:pPr>
      <w:r>
        <w:rPr>
          <w:rFonts w:ascii="Times New Roman" w:hAnsi="Times New Roman" w:eastAsia="Noto Sans CJK SC"/>
          <w:b/>
        </w:rPr>
        <w:t>参考文献</w:t>
      </w:r>
    </w:p>
    <w:p>
      <w:pPr>
        <w:spacing w:line="300" w:lineRule="auto"/>
        <w:ind w:hanging="420" w:left="420"/>
      </w:pPr>
      <w:r>
        <w:rPr>
          <w:rFonts w:ascii="Times New Roman" w:hAnsi="Times New Roman" w:eastAsia="Noto Serif CJK SC"/>
          <w:sz w:val="21"/>
        </w:rPr>
        <w:t>[1] Seufert M, Egger S, Slanina M, et al. A survey on quality of experience of HTTP adaptive streaming[J]. IEEE Communications Surveys &amp; Tutorials, 2015, 17(1): 469-492. DOI: 10.1109/COMST.2014.2360940.</w:t>
      </w:r>
    </w:p>
    <w:p>
      <w:pPr>
        <w:spacing w:line="300" w:lineRule="auto"/>
        <w:ind w:hanging="420" w:left="420"/>
      </w:pPr>
      <w:r>
        <w:rPr>
          <w:rFonts w:ascii="Times New Roman" w:hAnsi="Times New Roman" w:eastAsia="Noto Serif CJK SC"/>
          <w:sz w:val="21"/>
        </w:rPr>
        <w:t>[2] Huang T Y, Johari R, McKeown N, et al. A buffer-based approach to rate adaptation: Evidence from a large video streaming service[C]//Proceedings of the 2014 ACM Conference on SIGCOMM. New York: ACM, 2014: 187-198. DOI: 10.1145/2619239.2626296.</w:t>
      </w:r>
    </w:p>
    <w:p>
      <w:pPr>
        <w:spacing w:line="300" w:lineRule="auto"/>
        <w:ind w:hanging="420" w:left="420"/>
      </w:pPr>
      <w:r>
        <w:rPr>
          <w:rFonts w:ascii="Times New Roman" w:hAnsi="Times New Roman" w:eastAsia="Noto Serif CJK SC"/>
          <w:sz w:val="21"/>
        </w:rPr>
        <w:t>[3] Spiteri K, Urgaonkar R, Sitaraman R K. BOLA: Near-optimal bitrate adaptation for online videos[J]. IEEE/ACM Transactions on Networking, 2020, 28(4): 1698-1711. DOI: 10.1109/TNET.2020.2996964.</w:t>
      </w:r>
    </w:p>
    <w:p>
      <w:pPr>
        <w:spacing w:line="300" w:lineRule="auto"/>
        <w:ind w:hanging="420" w:left="420"/>
      </w:pPr>
      <w:r>
        <w:rPr>
          <w:rFonts w:ascii="Times New Roman" w:hAnsi="Times New Roman" w:eastAsia="Noto Serif CJK SC"/>
          <w:sz w:val="21"/>
        </w:rPr>
        <w:t>[4] Yin X, Jindal A, Sekar V, et al. A control-theoretic approach for dynamic adaptive video streaming over HTTP[C]//Proceedings of the 2015 ACM Conference on Special Interest Group on Data Communication. New York: ACM, 2015: 325-338. DOI: 10.1145/2785956.2787486.</w:t>
      </w:r>
    </w:p>
    <w:p>
      <w:pPr>
        <w:spacing w:line="300" w:lineRule="auto"/>
        <w:ind w:hanging="420" w:left="420"/>
      </w:pPr>
      <w:r>
        <w:rPr>
          <w:rFonts w:ascii="Times New Roman" w:hAnsi="Times New Roman" w:eastAsia="Noto Serif CJK SC"/>
          <w:sz w:val="21"/>
        </w:rPr>
        <w:t>[5] Mao H, Netravali R, Alizadeh M. Neural adaptive video streaming with Pensieve[C]//Proceedings of the 2017 Conference of the ACM Special Interest Group on Data Communication. New York: ACM, 2017: 197-210. DOI: 10.1145/3098822.3098843.</w:t>
      </w:r>
    </w:p>
    <w:p>
      <w:pPr>
        <w:spacing w:line="300" w:lineRule="auto"/>
        <w:ind w:hanging="420" w:left="420"/>
      </w:pPr>
      <w:r>
        <w:rPr>
          <w:rFonts w:ascii="Times New Roman" w:hAnsi="Times New Roman" w:eastAsia="Noto Serif CJK SC"/>
          <w:sz w:val="21"/>
        </w:rPr>
        <w:t>[6] Huang T, Zhou C, Zhang R X, et al. Comyco: Quality-aware adaptive video streaming via imitation learning[C]//Proceedings of the 27th ACM International Conference on Multimedia. New York: ACM, 2019: 429-437. DOI: 10.1145/3343031.3351014.</w:t>
      </w:r>
    </w:p>
    <w:p>
      <w:pPr>
        <w:spacing w:line="300" w:lineRule="auto"/>
        <w:ind w:hanging="420" w:left="420"/>
      </w:pPr>
      <w:r>
        <w:rPr>
          <w:rFonts w:ascii="Times New Roman" w:hAnsi="Times New Roman" w:eastAsia="Noto Serif CJK SC"/>
          <w:sz w:val="21"/>
        </w:rPr>
        <w:t>[7] Xia Z, Zhou Y, Yan F Y, et al. Genet: Automatic curriculum generation for learning adaptation in networking[C]//Proceedings of the ACM SIGCOMM 2022 Conference. New York: ACM, 2022: 397-413. DOI: 10.1145/3544216.3544243.</w:t>
      </w:r>
    </w:p>
    <w:p>
      <w:pPr>
        <w:spacing w:line="300" w:lineRule="auto"/>
        <w:ind w:hanging="420" w:left="420"/>
      </w:pPr>
      <w:r>
        <w:rPr>
          <w:rFonts w:ascii="Times New Roman" w:hAnsi="Times New Roman" w:eastAsia="Noto Serif CJK SC"/>
          <w:sz w:val="21"/>
        </w:rPr>
        <w:t>[8] Wu D, Wang X, Qiao Y, et al. NetLLM: Adapting large language models for networking[C]//Proceedings of the ACM SIGCOMM 2024 Conference. New York: ACM, 2024: 661-678. DOI: 10.1145/3651890.3672268.</w:t>
      </w:r>
    </w:p>
    <w:p>
      <w:pPr>
        <w:spacing w:line="300" w:lineRule="auto"/>
        <w:ind w:hanging="420" w:left="420"/>
      </w:pPr>
      <w:r>
        <w:rPr>
          <w:rFonts w:ascii="Times New Roman" w:hAnsi="Times New Roman" w:eastAsia="Noto Serif CJK SC"/>
          <w:sz w:val="21"/>
        </w:rPr>
        <w:t>[9] Jin M, Wang S, Ma L, et al. TIME-LLM: Time series forecasting by reprogramming large language models[C]//Proceedings of the International Conference on Learning Representations. 2024.</w:t>
      </w:r>
    </w:p>
    <w:p>
      <w:pPr>
        <w:spacing w:line="300" w:lineRule="auto"/>
        <w:ind w:hanging="420" w:left="420"/>
      </w:pPr>
      <w:r>
        <w:rPr>
          <w:rFonts w:ascii="Times New Roman" w:hAnsi="Times New Roman" w:eastAsia="Noto Serif CJK SC"/>
          <w:sz w:val="21"/>
        </w:rPr>
        <w:t>[10] Nie Y, Nguyen N H, Sinthong P, et al. A time series is worth 64 words: Long-term forecasting with transformers[C]//Proceedings of the International Conference on Learning Representations. 2023.</w:t>
      </w:r>
    </w:p>
    <w:p>
      <w:pPr>
        <w:spacing w:line="300" w:lineRule="auto"/>
        <w:ind w:hanging="420" w:left="420"/>
      </w:pPr>
      <w:r>
        <w:rPr>
          <w:rFonts w:ascii="Times New Roman" w:hAnsi="Times New Roman" w:eastAsia="Noto Serif CJK SC"/>
          <w:sz w:val="21"/>
        </w:rPr>
        <w:t>[11] Vaswani A, Shazeer N, Parmar N, et al. Attention is all you need[C]//Advances in Neural Information Processing Systems 30. Red Hook: Curran Associates, 2017.</w:t>
      </w:r>
    </w:p>
    <w:p>
      <w:pPr>
        <w:spacing w:line="300" w:lineRule="auto"/>
        <w:ind w:hanging="420" w:left="420"/>
      </w:pPr>
      <w:r>
        <w:rPr>
          <w:rFonts w:ascii="Times New Roman" w:hAnsi="Times New Roman" w:eastAsia="Noto Serif CJK SC"/>
          <w:sz w:val="21"/>
        </w:rPr>
        <w:t>[12] Hu E J, Shen Y, Wallis P, et al. LoRA: Low-rank adaptation of large language models[C]//Proceedings of the International Conference on Learning Representations. 2022.</w:t>
      </w:r>
    </w:p>
    <w:p>
      <w:pPr>
        <w:spacing w:line="300" w:lineRule="auto"/>
        <w:ind w:hanging="420" w:left="420"/>
      </w:pPr>
      <w:r>
        <w:rPr>
          <w:rFonts w:ascii="Times New Roman" w:hAnsi="Times New Roman" w:eastAsia="Noto Serif CJK SC"/>
          <w:sz w:val="21"/>
        </w:rPr>
        <w:t>[13] Wang Y, Wu H, Dong J, et al. Deep time series models: A comprehensive survey and benchmark[EB/OL]. arXiv, 2024: arXiv:2407.13278. DOI: 10.48550/arXiv.2407.13278.</w:t>
      </w:r>
    </w:p>
    <w:p>
      <w:pPr>
        <w:spacing w:line="300" w:lineRule="auto"/>
        <w:ind w:hanging="420" w:left="420"/>
      </w:pPr>
      <w:r>
        <w:rPr>
          <w:rFonts w:ascii="Times New Roman" w:hAnsi="Times New Roman" w:eastAsia="Noto Serif CJK SC"/>
          <w:sz w:val="21"/>
        </w:rPr>
        <w:t>[14] 杜丽娜, 卓力, 杨硕, 等. 基于强化学习的移动视频流业务码率自适应算法研究进展[J]. 通信学报, 2021, 42(9): 205-217. DOI: 10.11959/j.issn.1000-436x.2021178.</w:t>
      </w:r>
    </w:p>
    <w:p>
      <w:pPr>
        <w:spacing w:line="300" w:lineRule="auto"/>
        <w:ind w:hanging="420" w:left="420"/>
      </w:pPr>
      <w:r>
        <w:rPr>
          <w:rFonts w:ascii="Times New Roman" w:hAnsi="Times New Roman" w:eastAsia="Noto Serif CJK SC"/>
          <w:sz w:val="21"/>
        </w:rPr>
        <w:t>[15] 肖强, 白光伟, 沈航. 强化学习在自适应视频码率控制算法中的应用[J]. 小型微型计算机系统, 2020, 41(2): 252-258.</w:t>
      </w:r>
    </w:p>
    <w:p>
      <w:pPr>
        <w:spacing w:line="300" w:lineRule="auto"/>
        <w:ind w:hanging="420" w:left="420"/>
      </w:pPr>
      <w:r>
        <w:rPr>
          <w:rFonts w:ascii="Times New Roman" w:hAnsi="Times New Roman" w:eastAsia="Noto Serif CJK SC"/>
          <w:sz w:val="21"/>
        </w:rPr>
        <w:t>[16] 宋靳锞, 张远, 王博. HTTP 自适应流媒体直播系统中的用户体验质量优化[J]. 中兴通讯技术, 2021, 27(1): 48-53. DOI: 10.12142/ZTETJ.202101011.</w:t>
      </w:r>
    </w:p>
    <w:p>
      <w:pPr>
        <w:pStyle w:val="Heading1"/>
        <w:spacing w:before="0" w:after="120"/>
      </w:pPr>
      <w:r>
        <w:rPr>
          <w:rFonts w:ascii="Times New Roman" w:hAnsi="Times New Roman" w:eastAsia="Noto Sans CJK SC"/>
          <w:b/>
        </w:rPr>
        <w:t>附录 A 运行指令与实验记录模板</w:t>
      </w:r>
    </w:p>
    <w:p>
      <w:pPr>
        <w:spacing w:line="300" w:lineRule="auto" w:before="0" w:after="0"/>
        <w:ind w:firstLine="420"/>
      </w:pPr>
      <w:r>
        <w:rPr>
          <w:rFonts w:ascii="Times New Roman" w:hAnsi="Times New Roman" w:eastAsia="Noto Serif CJK SC"/>
          <w:b w:val="0"/>
          <w:i w:val="0"/>
        </w:rPr>
        <w:t>为方便后续复现实验，可将每次运行的模型名称、随机种子、训练数据、验证集、测试集、best_return、mean_reward、bitrate、rebuf 和 smooth 记录到统一表格 thesis_results_master.csv 中。建议字段包括：method、seed、train_trace、valid_trace、test_trace、video、best_return、mean_reward、bitrate、rebuf、smooth、checkpoint 和 note。</w:t>
      </w:r>
    </w:p>
    <w:p>
      <w:pPr>
        <w:spacing w:line="300" w:lineRule="auto" w:before="0" w:after="0"/>
        <w:ind w:firstLine="420"/>
      </w:pPr>
      <w:r>
        <w:rPr>
          <w:rFonts w:ascii="Times New Roman" w:hAnsi="Times New Roman" w:eastAsia="Noto Serif CJK SC"/>
          <w:b w:val="0"/>
          <w:i w:val="0"/>
        </w:rPr>
        <w:t>实验流程可概括为：首先运行基线测试脚本获得 BBA、MPC、UDR 和 Genet 结果；其次生成经验池并构造离线训练数据；然后运行大模型训练脚本，分别测试 semantic_only、maskprevreward 和 hmix_v2lite 等配置；最后运行测试脚本并汇总多随机种子结果。具体命令应以当前仓库实际脚本参数为准。</w:t>
      </w:r>
    </w:p>
    <w:p>
      <w:pPr>
        <w:spacing w:line="300" w:lineRule="auto" w:before="0" w:after="0"/>
      </w:pPr>
      <w:r>
        <w:rPr>
          <w:rFonts w:ascii="Times New Roman" w:hAnsi="Times New Roman" w:eastAsia="Noto Serif CJK SC"/>
          <w:b w:val="0"/>
          <w:i w:val="0"/>
        </w:rPr>
        <w:t>示例：python run_baseline.py --method mpc --test_set fcc-test --video video1</w:t>
      </w:r>
    </w:p>
    <w:p>
      <w:pPr>
        <w:spacing w:line="300" w:lineRule="auto" w:before="0" w:after="0"/>
      </w:pPr>
      <w:r>
        <w:rPr>
          <w:rFonts w:ascii="Times New Roman" w:hAnsi="Times New Roman" w:eastAsia="Noto Serif CJK SC"/>
          <w:b w:val="0"/>
          <w:i w:val="0"/>
        </w:rPr>
        <w:t>示例：python generate_exp_pool.py --env abr --trace fcc-train --output exp_pool.pkl</w:t>
      </w:r>
    </w:p>
    <w:p>
      <w:pPr>
        <w:spacing w:line="300" w:lineRule="auto" w:before="0" w:after="0"/>
      </w:pPr>
      <w:r>
        <w:rPr>
          <w:rFonts w:ascii="Times New Roman" w:hAnsi="Times New Roman" w:eastAsia="Noto Serif CJK SC"/>
          <w:b w:val="0"/>
          <w:i w:val="0"/>
        </w:rPr>
        <w:t>示例：python run_plm.py --config semantic_only --model Llama-3.2-1B --seed 0</w:t>
      </w:r>
    </w:p>
    <w:p>
      <w:pPr>
        <w:pStyle w:val="Heading1"/>
        <w:spacing w:before="0" w:after="120"/>
      </w:pPr>
      <w:r>
        <w:rPr>
          <w:rFonts w:ascii="Times New Roman" w:hAnsi="Times New Roman" w:eastAsia="Noto Sans CJK SC"/>
          <w:b/>
        </w:rPr>
        <w:t>致谢</w:t>
      </w:r>
    </w:p>
    <w:p>
      <w:pPr>
        <w:spacing w:line="300" w:lineRule="auto" w:before="0" w:after="0"/>
        <w:ind w:firstLine="420"/>
      </w:pPr>
      <w:r>
        <w:rPr>
          <w:rFonts w:ascii="Times New Roman" w:hAnsi="Times New Roman" w:eastAsia="Noto Serif CJK SC"/>
          <w:b w:val="0"/>
          <w:i w:val="0"/>
        </w:rPr>
        <w:t>在本毕业设计完成过程中，指导教师在课题选题、研究思路、实验方案和论文撰写等方面给予了耐心指导和帮助，使我能够逐步明确研究重点并完成相关实验工作。在此向指导教师表示诚挚感谢。</w:t>
      </w:r>
    </w:p>
    <w:p>
      <w:pPr>
        <w:spacing w:line="300" w:lineRule="auto" w:before="0" w:after="0"/>
        <w:ind w:firstLine="420"/>
      </w:pPr>
      <w:r>
        <w:rPr>
          <w:rFonts w:ascii="Times New Roman" w:hAnsi="Times New Roman" w:eastAsia="Noto Serif CJK SC"/>
          <w:b w:val="0"/>
          <w:i w:val="0"/>
        </w:rPr>
        <w:t>同时，感谢计算机科学与技术学院提供的学习环境和课程训练，使我能够将计算机网络、机器学习、深度学习和软件工程等知识综合运用于毕业设计。感谢同学和朋友在环境配置、实验讨论和论文修改过程中给予的帮助。最后，感谢家人在学习和生活上的支持。</w:t>
      </w:r>
    </w:p>
    <w:sectPr w:rsidR="00FC693F" w:rsidRPr="0006063C" w:rsidSect="00034616">
      <w:headerReference w:type="default" r:id="rId9"/>
      <w:footerReference w:type="default" r:id="rId10"/>
      <w:pgSz w:w="11906" w:h="16838"/>
      <w:pgMar w:top="1984" w:right="1417" w:bottom="1417" w:left="1417" w:header="1417"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sz w:val="21"/>
      </w:rPr>
      <w:t>基于大语言模型微调的视频码率自适应优化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20"/>
    </w:pPr>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360" w:lineRule="auto"/>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outlineLvl w:val="1"/>
    </w:pPr>
    <w:rPr>
      <w:rFonts w:asciiTheme="majorHAnsi" w:eastAsiaTheme="majorEastAsia" w:hAnsiTheme="majorHAnsi" w:cstheme="majorBidi" w:ascii="Times New Roman" w:hAnsi="Times New Roman"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outlineLvl w:val="2"/>
    </w:pPr>
    <w:rPr>
      <w:rFonts w:asciiTheme="majorHAnsi" w:eastAsiaTheme="majorEastAsia" w:hAnsiTheme="majorHAnsi" w:cstheme="majorBidi" w:ascii="Times New Roman" w:hAnsi="Times New Roman"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