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1C0EA">
      <w:pPr>
        <w:pStyle w:val="7"/>
        <w:rPr>
          <w:rFonts w:hint="eastAsia"/>
          <w:bCs w:val="0"/>
        </w:rPr>
      </w:pPr>
      <w:r>
        <w:rPr>
          <w:rFonts w:hint="eastAsia"/>
          <w:bCs w:val="0"/>
          <w:lang w:val="en-US" w:eastAsia="zh-CN"/>
        </w:rPr>
        <w:t>5</w:t>
      </w:r>
      <w:r>
        <w:rPr>
          <w:rFonts w:hint="eastAsia"/>
          <w:bCs w:val="0"/>
        </w:rPr>
        <w:t xml:space="preserve">  实验设计与结果分析</w:t>
      </w:r>
    </w:p>
    <w:p w14:paraId="62AA8325">
      <w:pPr>
        <w:pStyle w:val="3"/>
        <w:spacing w:before="120"/>
        <w:rPr>
          <w:rFonts w:hint="eastAsia" w:ascii="Times New Roman" w:hAnsi="Times New Roman" w:eastAsia="宋体" w:cs="Times New Roman"/>
          <w:lang w:val="en-US" w:eastAsia="zh-CN"/>
        </w:rPr>
      </w:pPr>
      <w:bookmarkStart w:id="0" w:name="_Toc28595"/>
      <w:r>
        <w:rPr>
          <w:rFonts w:hint="eastAsia" w:hAnsi="Times New Roman" w:cs="Times New Roman"/>
          <w:bCs/>
          <w:lang w:val="en-US" w:eastAsia="zh-CN"/>
        </w:rPr>
        <w:t>5</w:t>
      </w:r>
      <w:r>
        <w:rPr>
          <w:rFonts w:hint="eastAsia" w:hAnsi="Times New Roman" w:cs="Times New Roman"/>
          <w:bCs/>
        </w:rPr>
        <w:t>.1  实验设置</w:t>
      </w:r>
      <w:bookmarkEnd w:id="0"/>
    </w:p>
    <w:p w14:paraId="0FBD7967">
      <w:pPr>
        <w:ind w:firstLine="480" w:firstLineChars="200"/>
        <w:jc w:val="both"/>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本章实验围绕五个问题展开：第一，本文方法相对于传统ABR方法和强化学习方法是否能够取得更高的综合QoE；第二，语义重编程、上下文预对齐和轻量化历史多尺度建模三个模块是否分别具有可解释的性能贡献；第三，多随机种子和逐轨迹统计是否支持实验结果的稳健性；第四，在同一网络数据来源的不同轨迹子集上，本文方法相对于</w:t>
      </w:r>
      <w:r>
        <w:rPr>
          <w:rFonts w:hint="eastAsia" w:ascii="Times New Roman" w:hAnsi="Times New Roman" w:eastAsia="宋体" w:cs="Times New Roman"/>
          <w:lang w:val="en-US" w:eastAsia="zh-CN"/>
        </w:rPr>
        <w:t>效果较好的</w:t>
      </w:r>
      <w:r>
        <w:rPr>
          <w:rFonts w:hint="default" w:ascii="Times New Roman" w:hAnsi="Times New Roman" w:eastAsia="宋体" w:cs="Times New Roman"/>
          <w:lang w:val="en-US" w:eastAsia="zh-CN"/>
        </w:rPr>
        <w:t>强化学习基线是否仍能保持可观察的平均收益；第五，当网络轨迹保持一致而视频分片大小分布发生变化时，最终模型是否仍能保持稳定性能。上述问题分别对应主实验结果分析、QoE组成指标分析、消融实验、分布级分析、同源子集验证和跨视频配置补充实验。</w:t>
      </w:r>
    </w:p>
    <w:p w14:paraId="4A7E9A37">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实验使用仓库中的ABR仿真环境、FCC网络轨迹和固定视频配置。训练、验证和测试分别依赖不同轨迹集合，以降低训练数据与测试环境重叠带来的偏差。主测试阶段使用固定测试子集中的100条网络轨迹，并保持轨迹顺序一致。固定顺序的作用是减少测试采样噪声，使不同方法的性能差异主要来自策略本身，而不是来自轨迹抽样差异。补充实验进一步使用同源验证子集和另一组固定视频配置，用于分析实验结论对轨迹划分和视频分片大小分布的敏感性。</w:t>
      </w:r>
    </w:p>
    <w:p w14:paraId="25B1A06B">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评价指标包括平均奖励、平均码率、重缓冲时间和平滑性惩罚。平均奖励是综合 QoE指标，按照项目既有统计口径跳过每条轨迹的第一条reward后计算；平均码率、重缓冲时间和平滑性惩罚则根据完整播放日志统计。采用这一口径的原因是第一步奖励受初始默认码率影响较大，而组成指标仍应反映完整播放过程。本文在全部图表中保持相同统计口径。</w:t>
      </w:r>
    </w:p>
    <w:p w14:paraId="5E0D091C">
      <w:pPr>
        <w:ind w:firstLine="480" w:firstLineChars="200"/>
        <w:jc w:val="both"/>
        <w:rPr>
          <w:rFonts w:hint="default" w:ascii="Times New Roman" w:hAnsi="Times New Roman" w:eastAsia="宋体" w:cs="Times New Roman"/>
          <w:lang w:val="en-US" w:eastAsia="zh-CN"/>
        </w:rPr>
      </w:pPr>
      <w:r>
        <w:t>对于包含随机性的学习型方法，本文采用多随机种子报告均值和标准差。Genet、UDR、语义重编程基线、上下文预对齐增强模型和最终轻量化多尺度历史增强模型均测试5个随机种子；原始多尺度历史混合模型目前已完成3个随机种子，seed=100004和seed=100005仍在补充实验中。BBA和MPC为确定性方法，在固定测试协议下报告单次结果。由于不同方法的随机种子数量并不完全一致，本文在相关图表中标注seed数，并在分析标准差时避免把不同seed数量下的稳定性直接等同比较。</w:t>
      </w:r>
    </w:p>
    <w:p w14:paraId="223B37E1">
      <w:pPr>
        <w:pStyle w:val="3"/>
        <w:spacing w:before="120"/>
        <w:rPr>
          <w:rFonts w:hint="eastAsia" w:hAnsi="Times New Roman" w:cs="Times New Roman"/>
          <w:bCs/>
        </w:rPr>
      </w:pPr>
      <w:bookmarkStart w:id="1" w:name="_Toc11182"/>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2</w:t>
      </w:r>
      <w:r>
        <w:rPr>
          <w:rFonts w:hint="eastAsia" w:hAnsi="Times New Roman" w:cs="Times New Roman"/>
          <w:bCs/>
        </w:rPr>
        <w:t xml:space="preserve">  对比方法与评价指标</w:t>
      </w:r>
      <w:bookmarkEnd w:id="1"/>
    </w:p>
    <w:p w14:paraId="03A55FD8">
      <w:pPr>
        <w:ind w:firstLine="480" w:firstLineChars="200"/>
        <w:jc w:val="both"/>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本文比较三类方法。第一类是传统方法，包括BBA和MPC。BBA只根据缓冲区占用选择码率，能够体现规则方法的简洁性和稳定性；MPC根据近期吞吐量估计未来带宽，并在有限预测窗口中搜索码率组合，是典型的模型预测控制方法</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_Ref32247 \r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[2</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_Ref1533 \r \h </w:instrText>
      </w:r>
      <w:r>
        <w:rPr>
          <w:rFonts w:hint="default" w:ascii="Times New Roman" w:hAnsi="Times New Roman" w:eastAsia="宋体" w:cs="Times New Roman"/>
          <w:vertAlign w:val="superscript"/>
          <w:lang w:val="en-US" w:eastAsia="zh-CN"/>
        </w:rPr>
        <w:fldChar w:fldCharType="separate"/>
      </w:r>
      <w:r>
        <w:rPr>
          <w:rFonts w:hint="eastAsia" w:ascii="Times New Roman" w:hAnsi="Times New Roman" w:eastAsia="宋体" w:cs="Times New Roman"/>
          <w:vertAlign w:val="superscript"/>
          <w:lang w:val="en-US" w:eastAsia="zh-CN"/>
        </w:rPr>
        <w:t>,</w:t>
      </w:r>
      <w:r>
        <w:rPr>
          <w:rFonts w:hint="default" w:ascii="Times New Roman" w:hAnsi="Times New Roman" w:eastAsia="宋体" w:cs="Times New Roman"/>
          <w:vertAlign w:val="superscript"/>
          <w:lang w:val="en-US" w:eastAsia="zh-CN"/>
        </w:rPr>
        <w:t>4]</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。第二类是强化学习基线，包括UDR和Genet。UDR代表在随机环境分布中训练的策略，Genet通过自动课程生成提高训练环境覆盖度，是当前仓库中较强的学习型基线</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_Ref1605 \r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[7]</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。第三类是本</w:t>
      </w:r>
      <w:r>
        <w:rPr>
          <w:rFonts w:hint="eastAsia" w:ascii="Times New Roman" w:hAnsi="Times New Roman" w:eastAsia="宋体" w:cs="Times New Roman"/>
          <w:lang w:val="en-US" w:eastAsia="zh-CN"/>
        </w:rPr>
        <w:t>文的大模型适配方法，包括语义重编程基线、上下文预对齐增强模型、原始多尺度历史混合模型和轻量化多尺度历史增强模型。</w:t>
      </w:r>
    </w:p>
    <w:p w14:paraId="47325F67">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评价指标方面，本文以平均奖励作为综合QoE指标，以平均码率、重缓冲时间和平滑性惩罚作为组成指标。平均码率反映视频清晰度收益，重缓冲时间反映播放卡顿程度，平滑性惩罚反映相邻分片码率切换带来的观看不稳定性。由于三类指标之间存在权衡关系，本文在分析中既比较综合平均奖励，也结合组成指标解释不同方法的决策取舍。</w:t>
      </w:r>
    </w:p>
    <w:p w14:paraId="65DB79B5">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于代码仓库中的部分实验目录名主要用于脚本管理，本文在正文中根据模型结构对其重新命名。例如，semantic_only记为语义重编程基线模型，maskprevreward记为上下文预对齐增强模型，hmix_v2lite记为轻量化多尺度历史增强模型。后续实验结果均采用这些论文表述名称。</w:t>
      </w:r>
    </w:p>
    <w:p w14:paraId="5945C261">
      <w:pPr>
        <w:pStyle w:val="3"/>
        <w:spacing w:before="120"/>
        <w:rPr>
          <w:rFonts w:hint="eastAsia" w:hAnsi="Times New Roman" w:cs="Times New Roman"/>
          <w:bCs/>
          <w:lang w:val="en-US" w:eastAsia="zh-CN"/>
        </w:rPr>
      </w:pPr>
      <w:bookmarkStart w:id="2" w:name="_Toc23256"/>
      <w:r>
        <w:rPr>
          <w:rFonts w:hint="eastAsia" w:hAnsi="Times New Roman" w:cs="Times New Roman"/>
          <w:bCs/>
          <w:lang w:val="en-US" w:eastAsia="zh-CN"/>
        </w:rPr>
        <w:t>5.3  主实验结果分析</w:t>
      </w:r>
      <w:bookmarkEnd w:id="2"/>
    </w:p>
    <w:p w14:paraId="0AD5E86E">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为比较不同自适应码率方法在统一测试协议下的性能，本文选取传统规则方法、预测控制方法、强化学习方法以及本文方法进行对比实验，结果如表5.1所示。</w:t>
      </w:r>
    </w:p>
    <w:p w14:paraId="7F876BBA">
      <w:pPr>
        <w:ind w:firstLine="480" w:firstLineChars="200"/>
        <w:jc w:val="both"/>
        <w:rPr>
          <w:rFonts w:hint="eastAsia" w:ascii="Times New Roman" w:hAnsi="Times New Roman" w:eastAsia="宋体" w:cs="Times New Roman"/>
          <w:lang w:val="en-US" w:eastAsia="zh-CN"/>
        </w:rPr>
      </w:pPr>
    </w:p>
    <w:p w14:paraId="535E33AD">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表5.1  主要方法在</w:t>
      </w:r>
      <w:r>
        <w:rPr>
          <w:rFonts w:hint="default" w:ascii="Times New Roman" w:hAnsi="Times New Roman" w:eastAsia="宋体" w:cs="Times New Roman"/>
          <w:lang w:val="en-US" w:eastAsia="zh-CN"/>
        </w:rPr>
        <w:t>ABR</w:t>
      </w:r>
      <w:r>
        <w:rPr>
          <w:rFonts w:hint="eastAsia" w:ascii="Times New Roman" w:hAnsi="Times New Roman" w:eastAsia="宋体" w:cs="Times New Roman"/>
          <w:lang w:val="en-US" w:eastAsia="zh-CN"/>
        </w:rPr>
        <w:t>测试集上的性能比较</w:t>
      </w:r>
    </w:p>
    <w:tbl>
      <w:tblPr>
        <w:tblStyle w:val="5"/>
        <w:tblW w:w="96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2"/>
        <w:gridCol w:w="1245"/>
        <w:gridCol w:w="735"/>
        <w:gridCol w:w="1650"/>
        <w:gridCol w:w="1425"/>
        <w:gridCol w:w="1620"/>
        <w:gridCol w:w="1644"/>
      </w:tblGrid>
      <w:tr w14:paraId="096A8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single" w:color="000000" w:sz="12" w:space="0"/>
              <w:left w:val="nil"/>
              <w:bottom w:val="single" w:color="000000" w:sz="4" w:space="0"/>
              <w:right w:val="nil"/>
              <w:tl2br w:val="nil"/>
            </w:tcBorders>
            <w:shd w:val="clear" w:color="auto" w:fill="FFFFFF"/>
            <w:noWrap w:val="0"/>
            <w:vAlign w:val="center"/>
          </w:tcPr>
          <w:p w14:paraId="2D6B567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Method</w:t>
            </w:r>
          </w:p>
        </w:tc>
        <w:tc>
          <w:tcPr>
            <w:tcW w:w="1245" w:type="dxa"/>
            <w:tcBorders>
              <w:top w:val="single" w:color="000000" w:sz="12" w:space="0"/>
              <w:left w:val="nil"/>
              <w:bottom w:val="single" w:color="000000" w:sz="4" w:space="0"/>
              <w:right w:val="nil"/>
            </w:tcBorders>
            <w:shd w:val="clear" w:color="auto" w:fill="FFFFFF"/>
            <w:noWrap w:val="0"/>
            <w:vAlign w:val="center"/>
          </w:tcPr>
          <w:p w14:paraId="3CDDD416">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Category</w:t>
            </w:r>
          </w:p>
        </w:tc>
        <w:tc>
          <w:tcPr>
            <w:tcW w:w="735" w:type="dxa"/>
            <w:tcBorders>
              <w:top w:val="single" w:color="000000" w:sz="12" w:space="0"/>
              <w:left w:val="nil"/>
              <w:bottom w:val="single" w:color="000000" w:sz="4" w:space="0"/>
              <w:right w:val="nil"/>
            </w:tcBorders>
            <w:shd w:val="clear" w:color="auto" w:fill="FFFFFF"/>
            <w:noWrap w:val="0"/>
            <w:vAlign w:val="center"/>
          </w:tcPr>
          <w:p w14:paraId="3DD1A079">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Seeds</w:t>
            </w:r>
          </w:p>
        </w:tc>
        <w:tc>
          <w:tcPr>
            <w:tcW w:w="1650" w:type="dxa"/>
            <w:tcBorders>
              <w:top w:val="single" w:color="000000" w:sz="12" w:space="0"/>
              <w:left w:val="nil"/>
              <w:bottom w:val="single" w:color="000000" w:sz="4" w:space="0"/>
              <w:right w:val="nil"/>
            </w:tcBorders>
            <w:shd w:val="clear" w:color="auto" w:fill="FFFFFF"/>
            <w:noWrap w:val="0"/>
            <w:vAlign w:val="center"/>
          </w:tcPr>
          <w:p w14:paraId="74FAD26F">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Mean reward</w:t>
            </w:r>
          </w:p>
        </w:tc>
        <w:tc>
          <w:tcPr>
            <w:tcW w:w="1425" w:type="dxa"/>
            <w:tcBorders>
              <w:top w:val="single" w:color="000000" w:sz="12" w:space="0"/>
              <w:left w:val="nil"/>
              <w:bottom w:val="single" w:color="000000" w:sz="4" w:space="0"/>
              <w:right w:val="nil"/>
            </w:tcBorders>
            <w:shd w:val="clear" w:color="auto" w:fill="FFFFFF"/>
            <w:noWrap w:val="0"/>
            <w:vAlign w:val="center"/>
          </w:tcPr>
          <w:p w14:paraId="218ED87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Bitrate</w:t>
            </w:r>
          </w:p>
        </w:tc>
        <w:tc>
          <w:tcPr>
            <w:tcW w:w="1620" w:type="dxa"/>
            <w:tcBorders>
              <w:top w:val="single" w:color="000000" w:sz="12" w:space="0"/>
              <w:left w:val="nil"/>
              <w:bottom w:val="single" w:color="000000" w:sz="4" w:space="0"/>
              <w:right w:val="nil"/>
            </w:tcBorders>
            <w:shd w:val="clear" w:color="auto" w:fill="FFFFFF"/>
            <w:noWrap w:val="0"/>
            <w:vAlign w:val="center"/>
          </w:tcPr>
          <w:p w14:paraId="2DCE2F78">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Rebuffering</w:t>
            </w:r>
          </w:p>
        </w:tc>
        <w:tc>
          <w:tcPr>
            <w:tcW w:w="1644" w:type="dxa"/>
            <w:tcBorders>
              <w:top w:val="single" w:color="000000" w:sz="12" w:space="0"/>
              <w:left w:val="nil"/>
              <w:bottom w:val="single" w:color="000000" w:sz="4" w:space="0"/>
              <w:right w:val="nil"/>
            </w:tcBorders>
            <w:shd w:val="clear" w:color="auto" w:fill="FFFFFF"/>
            <w:noWrap w:val="0"/>
            <w:vAlign w:val="center"/>
          </w:tcPr>
          <w:p w14:paraId="70690716">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Smoothness</w:t>
            </w:r>
          </w:p>
        </w:tc>
      </w:tr>
      <w:tr w14:paraId="08E6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single" w:color="000000" w:sz="4" w:space="0"/>
              <w:left w:val="nil"/>
              <w:bottom w:val="nil"/>
              <w:right w:val="nil"/>
            </w:tcBorders>
            <w:shd w:val="clear" w:color="auto" w:fill="FFFFFF"/>
            <w:noWrap w:val="0"/>
            <w:vAlign w:val="center"/>
          </w:tcPr>
          <w:p w14:paraId="60A22477">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BBA </w:t>
            </w:r>
          </w:p>
        </w:tc>
        <w:tc>
          <w:tcPr>
            <w:tcW w:w="1245" w:type="dxa"/>
            <w:tcBorders>
              <w:top w:val="single" w:color="000000" w:sz="4" w:space="0"/>
              <w:left w:val="nil"/>
              <w:bottom w:val="nil"/>
              <w:right w:val="nil"/>
            </w:tcBorders>
            <w:shd w:val="clear" w:color="auto" w:fill="FFFFFF"/>
            <w:noWrap w:val="0"/>
            <w:vAlign w:val="center"/>
          </w:tcPr>
          <w:p w14:paraId="69E8DF8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Traditional</w:t>
            </w:r>
          </w:p>
        </w:tc>
        <w:tc>
          <w:tcPr>
            <w:tcW w:w="735" w:type="dxa"/>
            <w:tcBorders>
              <w:top w:val="single" w:color="000000" w:sz="4" w:space="0"/>
              <w:left w:val="nil"/>
              <w:bottom w:val="nil"/>
              <w:right w:val="nil"/>
            </w:tcBorders>
            <w:shd w:val="clear" w:color="auto" w:fill="FFFFFF"/>
            <w:noWrap w:val="0"/>
            <w:vAlign w:val="center"/>
          </w:tcPr>
          <w:p w14:paraId="777B7D01">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w:t>
            </w:r>
          </w:p>
        </w:tc>
        <w:tc>
          <w:tcPr>
            <w:tcW w:w="1650" w:type="dxa"/>
            <w:tcBorders>
              <w:top w:val="single" w:color="000000" w:sz="4" w:space="0"/>
              <w:left w:val="nil"/>
              <w:bottom w:val="nil"/>
              <w:right w:val="nil"/>
            </w:tcBorders>
            <w:shd w:val="clear" w:color="auto" w:fill="FFFFFF"/>
            <w:noWrap w:val="0"/>
            <w:vAlign w:val="center"/>
          </w:tcPr>
          <w:p w14:paraId="08EC44A4">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0.7642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0.0000</w:t>
            </w:r>
          </w:p>
        </w:tc>
        <w:tc>
          <w:tcPr>
            <w:tcW w:w="1425" w:type="dxa"/>
            <w:tcBorders>
              <w:top w:val="single" w:color="000000" w:sz="4" w:space="0"/>
              <w:left w:val="nil"/>
              <w:bottom w:val="nil"/>
              <w:right w:val="nil"/>
            </w:tcBorders>
            <w:shd w:val="clear" w:color="auto" w:fill="FFFFFF"/>
            <w:noWrap w:val="0"/>
            <w:vAlign w:val="center"/>
          </w:tcPr>
          <w:p w14:paraId="12DD754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1183.3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w:t>
            </w:r>
          </w:p>
        </w:tc>
        <w:tc>
          <w:tcPr>
            <w:tcW w:w="1620" w:type="dxa"/>
            <w:tcBorders>
              <w:top w:val="single" w:color="000000" w:sz="4" w:space="0"/>
              <w:left w:val="nil"/>
              <w:bottom w:val="nil"/>
              <w:right w:val="nil"/>
            </w:tcBorders>
            <w:shd w:val="clear" w:color="auto" w:fill="FFFFFF"/>
            <w:noWrap w:val="0"/>
            <w:vAlign w:val="center"/>
          </w:tcPr>
          <w:p w14:paraId="49320C7E">
            <w:pPr>
              <w:spacing w:line="240" w:lineRule="auto"/>
              <w:jc w:val="center"/>
              <w:rPr>
                <w:rFonts w:hint="eastAsia" w:ascii="Times New Roman" w:hAnsi="Times New Roman" w:eastAsia="宋体" w:cs="Times New Roman"/>
                <w:b/>
                <w:bCs/>
                <w:color w:val="000000"/>
                <w:sz w:val="21"/>
                <w:szCs w:val="21"/>
                <w:lang w:val="en-US" w:eastAsia="zh-CN"/>
              </w:rPr>
            </w:pPr>
            <w:r>
              <w:rPr>
                <w:rFonts w:hint="eastAsia" w:ascii="Times New Roman" w:hAnsi="Times New Roman" w:eastAsia="宋体" w:cs="Times New Roman"/>
                <w:b/>
                <w:bCs/>
                <w:color w:val="000000"/>
                <w:sz w:val="21"/>
                <w:szCs w:val="21"/>
                <w:lang w:val="en-US" w:eastAsia="zh-CN"/>
              </w:rPr>
              <w:t xml:space="preserve">0.0472 </w:t>
            </w:r>
            <w:r>
              <w:rPr>
                <w:rFonts w:hint="default" w:ascii="Times New Roman" w:hAnsi="Times New Roman" w:eastAsia="宋体" w:cs="Times New Roman"/>
                <w:b/>
                <w:bCs/>
                <w:color w:val="000000"/>
                <w:sz w:val="21"/>
                <w:szCs w:val="21"/>
                <w:lang w:val="en-US" w:eastAsia="zh-CN"/>
              </w:rPr>
              <w:t>±</w:t>
            </w:r>
            <w:r>
              <w:rPr>
                <w:rFonts w:hint="eastAsia" w:ascii="Times New Roman" w:hAnsi="Times New Roman" w:eastAsia="宋体" w:cs="Times New Roman"/>
                <w:b/>
                <w:bCs/>
                <w:color w:val="000000"/>
                <w:sz w:val="21"/>
                <w:szCs w:val="21"/>
                <w:lang w:val="en-US" w:eastAsia="zh-CN"/>
              </w:rPr>
              <w:t xml:space="preserve"> 0.0000</w:t>
            </w:r>
          </w:p>
        </w:tc>
        <w:tc>
          <w:tcPr>
            <w:tcW w:w="1644" w:type="dxa"/>
            <w:tcBorders>
              <w:top w:val="single" w:color="000000" w:sz="4" w:space="0"/>
              <w:left w:val="nil"/>
              <w:bottom w:val="nil"/>
              <w:right w:val="nil"/>
            </w:tcBorders>
            <w:shd w:val="clear" w:color="auto" w:fill="FFFFFF"/>
            <w:noWrap w:val="0"/>
            <w:vAlign w:val="center"/>
          </w:tcPr>
          <w:p w14:paraId="14E9B01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0.3974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0.0000</w:t>
            </w:r>
          </w:p>
        </w:tc>
      </w:tr>
      <w:tr w14:paraId="755D1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nil"/>
              <w:left w:val="nil"/>
              <w:bottom w:val="nil"/>
              <w:right w:val="nil"/>
            </w:tcBorders>
            <w:shd w:val="clear" w:color="auto" w:fill="FFFFFF"/>
            <w:noWrap w:val="0"/>
            <w:vAlign w:val="center"/>
          </w:tcPr>
          <w:p w14:paraId="498A28F7">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MPC </w:t>
            </w:r>
          </w:p>
        </w:tc>
        <w:tc>
          <w:tcPr>
            <w:tcW w:w="1245" w:type="dxa"/>
            <w:tcBorders>
              <w:top w:val="nil"/>
              <w:left w:val="nil"/>
              <w:bottom w:val="nil"/>
              <w:right w:val="nil"/>
            </w:tcBorders>
            <w:shd w:val="clear" w:color="auto" w:fill="FFFFFF"/>
            <w:noWrap w:val="0"/>
            <w:vAlign w:val="center"/>
          </w:tcPr>
          <w:p w14:paraId="6DEEBFA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Traditional</w:t>
            </w:r>
          </w:p>
        </w:tc>
        <w:tc>
          <w:tcPr>
            <w:tcW w:w="735" w:type="dxa"/>
            <w:tcBorders>
              <w:top w:val="nil"/>
              <w:left w:val="nil"/>
              <w:bottom w:val="nil"/>
              <w:right w:val="nil"/>
            </w:tcBorders>
            <w:shd w:val="clear" w:color="auto" w:fill="FFFFFF"/>
            <w:noWrap w:val="0"/>
            <w:vAlign w:val="center"/>
          </w:tcPr>
          <w:p w14:paraId="5DC19FF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w:t>
            </w:r>
          </w:p>
        </w:tc>
        <w:tc>
          <w:tcPr>
            <w:tcW w:w="1650" w:type="dxa"/>
            <w:tcBorders>
              <w:top w:val="nil"/>
              <w:left w:val="nil"/>
              <w:bottom w:val="nil"/>
              <w:right w:val="nil"/>
            </w:tcBorders>
            <w:shd w:val="clear" w:color="auto" w:fill="FFFFFF"/>
            <w:noWrap w:val="0"/>
            <w:vAlign w:val="center"/>
          </w:tcPr>
          <w:p w14:paraId="7A3E8B2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0.8485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0.0000</w:t>
            </w:r>
          </w:p>
        </w:tc>
        <w:tc>
          <w:tcPr>
            <w:tcW w:w="1425" w:type="dxa"/>
            <w:tcBorders>
              <w:top w:val="nil"/>
              <w:left w:val="nil"/>
              <w:bottom w:val="nil"/>
              <w:right w:val="nil"/>
            </w:tcBorders>
            <w:shd w:val="clear" w:color="auto" w:fill="FFFFFF"/>
            <w:noWrap w:val="0"/>
            <w:vAlign w:val="center"/>
          </w:tcPr>
          <w:p w14:paraId="537BDC1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bCs/>
                <w:color w:val="000000"/>
                <w:sz w:val="21"/>
                <w:szCs w:val="21"/>
                <w:lang w:val="en-US" w:eastAsia="zh-CN"/>
              </w:rPr>
              <w:t xml:space="preserve">1212.9 </w:t>
            </w:r>
            <w:r>
              <w:rPr>
                <w:rFonts w:hint="default" w:ascii="Times New Roman" w:hAnsi="Times New Roman" w:eastAsia="宋体" w:cs="Times New Roman"/>
                <w:b/>
                <w:bCs/>
                <w:color w:val="000000"/>
                <w:sz w:val="21"/>
                <w:szCs w:val="21"/>
                <w:lang w:val="en-US" w:eastAsia="zh-CN"/>
              </w:rPr>
              <w:t>±</w:t>
            </w:r>
            <w:r>
              <w:rPr>
                <w:rFonts w:hint="eastAsia" w:ascii="Times New Roman" w:hAnsi="Times New Roman" w:eastAsia="宋体" w:cs="Times New Roman"/>
                <w:b/>
                <w:bCs/>
                <w:color w:val="000000"/>
                <w:sz w:val="21"/>
                <w:szCs w:val="21"/>
                <w:lang w:val="en-US" w:eastAsia="zh-CN"/>
              </w:rPr>
              <w:t xml:space="preserve"> 0.0</w:t>
            </w:r>
          </w:p>
        </w:tc>
        <w:tc>
          <w:tcPr>
            <w:tcW w:w="1620" w:type="dxa"/>
            <w:tcBorders>
              <w:top w:val="nil"/>
              <w:left w:val="nil"/>
              <w:bottom w:val="nil"/>
              <w:right w:val="nil"/>
            </w:tcBorders>
            <w:shd w:val="clear" w:color="auto" w:fill="FFFFFF"/>
            <w:noWrap w:val="0"/>
            <w:vAlign w:val="center"/>
          </w:tcPr>
          <w:p w14:paraId="34A31AC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0.0953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0.0000</w:t>
            </w:r>
          </w:p>
        </w:tc>
        <w:tc>
          <w:tcPr>
            <w:tcW w:w="1644" w:type="dxa"/>
            <w:tcBorders>
              <w:top w:val="nil"/>
              <w:left w:val="nil"/>
              <w:bottom w:val="nil"/>
              <w:right w:val="nil"/>
            </w:tcBorders>
            <w:shd w:val="clear" w:color="auto" w:fill="FFFFFF"/>
            <w:noWrap w:val="0"/>
            <w:vAlign w:val="center"/>
          </w:tcPr>
          <w:p w14:paraId="36BD19D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0.1375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0.0000</w:t>
            </w:r>
          </w:p>
        </w:tc>
      </w:tr>
      <w:tr w14:paraId="2F742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nil"/>
              <w:left w:val="nil"/>
              <w:bottom w:val="nil"/>
              <w:right w:val="nil"/>
            </w:tcBorders>
            <w:shd w:val="clear" w:color="auto" w:fill="FFFFFF"/>
            <w:noWrap w:val="0"/>
            <w:vAlign w:val="center"/>
          </w:tcPr>
          <w:p w14:paraId="06E5F8D3">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UDR</w:t>
            </w:r>
          </w:p>
        </w:tc>
        <w:tc>
          <w:tcPr>
            <w:tcW w:w="1245" w:type="dxa"/>
            <w:tcBorders>
              <w:top w:val="nil"/>
              <w:left w:val="nil"/>
              <w:bottom w:val="nil"/>
              <w:right w:val="nil"/>
            </w:tcBorders>
            <w:shd w:val="clear" w:color="auto" w:fill="FFFFFF"/>
            <w:noWrap w:val="0"/>
            <w:vAlign w:val="center"/>
          </w:tcPr>
          <w:p w14:paraId="45945356">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RL baseline</w:t>
            </w:r>
          </w:p>
        </w:tc>
        <w:tc>
          <w:tcPr>
            <w:tcW w:w="735" w:type="dxa"/>
            <w:tcBorders>
              <w:top w:val="nil"/>
              <w:left w:val="nil"/>
              <w:bottom w:val="nil"/>
              <w:right w:val="nil"/>
            </w:tcBorders>
            <w:shd w:val="clear" w:color="auto" w:fill="FFFFFF"/>
            <w:noWrap w:val="0"/>
            <w:vAlign w:val="center"/>
          </w:tcPr>
          <w:p w14:paraId="1CAEEDFD">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650" w:type="dxa"/>
            <w:tcBorders>
              <w:top w:val="nil"/>
              <w:left w:val="nil"/>
              <w:bottom w:val="nil"/>
              <w:right w:val="nil"/>
            </w:tcBorders>
            <w:shd w:val="clear" w:color="auto" w:fill="FFFFFF"/>
            <w:noWrap w:val="0"/>
            <w:vAlign w:val="center"/>
          </w:tcPr>
          <w:p w14:paraId="35DE2754">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0.7509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0.0347</w:t>
            </w:r>
          </w:p>
        </w:tc>
        <w:tc>
          <w:tcPr>
            <w:tcW w:w="1425" w:type="dxa"/>
            <w:tcBorders>
              <w:top w:val="nil"/>
              <w:left w:val="nil"/>
              <w:bottom w:val="nil"/>
              <w:right w:val="nil"/>
            </w:tcBorders>
            <w:shd w:val="clear" w:color="auto" w:fill="FFFFFF"/>
            <w:noWrap w:val="0"/>
            <w:vAlign w:val="center"/>
          </w:tcPr>
          <w:p w14:paraId="6A84A816">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1096.9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3.4</w:t>
            </w:r>
          </w:p>
        </w:tc>
        <w:tc>
          <w:tcPr>
            <w:tcW w:w="1620" w:type="dxa"/>
            <w:tcBorders>
              <w:top w:val="nil"/>
              <w:left w:val="nil"/>
              <w:bottom w:val="nil"/>
              <w:right w:val="nil"/>
            </w:tcBorders>
            <w:shd w:val="clear" w:color="auto" w:fill="FFFFFF"/>
            <w:noWrap w:val="0"/>
            <w:vAlign w:val="center"/>
          </w:tcPr>
          <w:p w14:paraId="24A7715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0.0834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0.0081</w:t>
            </w:r>
          </w:p>
        </w:tc>
        <w:tc>
          <w:tcPr>
            <w:tcW w:w="1644" w:type="dxa"/>
            <w:tcBorders>
              <w:top w:val="nil"/>
              <w:left w:val="nil"/>
              <w:bottom w:val="nil"/>
              <w:right w:val="nil"/>
            </w:tcBorders>
            <w:shd w:val="clear" w:color="auto" w:fill="FFFFFF"/>
            <w:noWrap w:val="0"/>
            <w:vAlign w:val="center"/>
          </w:tcPr>
          <w:p w14:paraId="02AB84F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0.1684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0.0019</w:t>
            </w:r>
          </w:p>
        </w:tc>
      </w:tr>
      <w:tr w14:paraId="48C19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nil"/>
              <w:left w:val="nil"/>
              <w:bottom w:val="nil"/>
              <w:right w:val="nil"/>
            </w:tcBorders>
            <w:shd w:val="clear" w:color="auto" w:fill="FFFFFF"/>
            <w:noWrap w:val="0"/>
            <w:vAlign w:val="center"/>
          </w:tcPr>
          <w:p w14:paraId="6107E73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Genet</w:t>
            </w:r>
          </w:p>
        </w:tc>
        <w:tc>
          <w:tcPr>
            <w:tcW w:w="1245" w:type="dxa"/>
            <w:tcBorders>
              <w:top w:val="nil"/>
              <w:left w:val="nil"/>
              <w:bottom w:val="nil"/>
              <w:right w:val="nil"/>
            </w:tcBorders>
            <w:shd w:val="clear" w:color="auto" w:fill="FFFFFF"/>
            <w:noWrap w:val="0"/>
            <w:vAlign w:val="center"/>
          </w:tcPr>
          <w:p w14:paraId="28C3D54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RL baseline</w:t>
            </w:r>
          </w:p>
        </w:tc>
        <w:tc>
          <w:tcPr>
            <w:tcW w:w="735" w:type="dxa"/>
            <w:tcBorders>
              <w:top w:val="nil"/>
              <w:left w:val="nil"/>
              <w:bottom w:val="nil"/>
              <w:right w:val="nil"/>
            </w:tcBorders>
            <w:shd w:val="clear" w:color="auto" w:fill="FFFFFF"/>
            <w:noWrap w:val="0"/>
            <w:vAlign w:val="center"/>
          </w:tcPr>
          <w:p w14:paraId="6E7A729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650" w:type="dxa"/>
            <w:tcBorders>
              <w:top w:val="nil"/>
              <w:left w:val="nil"/>
              <w:bottom w:val="nil"/>
              <w:right w:val="nil"/>
            </w:tcBorders>
            <w:shd w:val="clear" w:color="auto" w:fill="FFFFFF"/>
            <w:noWrap w:val="0"/>
            <w:vAlign w:val="center"/>
          </w:tcPr>
          <w:p w14:paraId="32FA72F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0.8587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0.0243</w:t>
            </w:r>
          </w:p>
        </w:tc>
        <w:tc>
          <w:tcPr>
            <w:tcW w:w="1425" w:type="dxa"/>
            <w:tcBorders>
              <w:top w:val="nil"/>
              <w:left w:val="nil"/>
              <w:bottom w:val="nil"/>
              <w:right w:val="nil"/>
            </w:tcBorders>
            <w:shd w:val="clear" w:color="auto" w:fill="FFFFFF"/>
            <w:noWrap w:val="0"/>
            <w:vAlign w:val="center"/>
          </w:tcPr>
          <w:p w14:paraId="18EB2468">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1104.8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6.3</w:t>
            </w:r>
          </w:p>
        </w:tc>
        <w:tc>
          <w:tcPr>
            <w:tcW w:w="1620" w:type="dxa"/>
            <w:tcBorders>
              <w:top w:val="nil"/>
              <w:left w:val="nil"/>
              <w:bottom w:val="nil"/>
              <w:right w:val="nil"/>
            </w:tcBorders>
            <w:shd w:val="clear" w:color="auto" w:fill="FFFFFF"/>
            <w:noWrap w:val="0"/>
            <w:vAlign w:val="center"/>
          </w:tcPr>
          <w:p w14:paraId="048D65D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0.0792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0.0043</w:t>
            </w:r>
          </w:p>
        </w:tc>
        <w:tc>
          <w:tcPr>
            <w:tcW w:w="1644" w:type="dxa"/>
            <w:tcBorders>
              <w:top w:val="nil"/>
              <w:left w:val="nil"/>
              <w:bottom w:val="nil"/>
              <w:right w:val="nil"/>
            </w:tcBorders>
            <w:shd w:val="clear" w:color="auto" w:fill="FFFFFF"/>
            <w:noWrap w:val="0"/>
            <w:vAlign w:val="center"/>
          </w:tcPr>
          <w:p w14:paraId="41B91857">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0.0885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0.0032</w:t>
            </w:r>
          </w:p>
        </w:tc>
      </w:tr>
      <w:tr w14:paraId="746E9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nil"/>
              <w:left w:val="nil"/>
              <w:bottom w:val="nil"/>
              <w:right w:val="nil"/>
            </w:tcBorders>
            <w:shd w:val="clear" w:color="auto" w:fill="FFFFFF"/>
            <w:noWrap w:val="0"/>
            <w:vAlign w:val="center"/>
          </w:tcPr>
          <w:p w14:paraId="694979B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Semantic reprogramming baseline</w:t>
            </w:r>
          </w:p>
        </w:tc>
        <w:tc>
          <w:tcPr>
            <w:tcW w:w="1245" w:type="dxa"/>
            <w:tcBorders>
              <w:top w:val="nil"/>
              <w:left w:val="nil"/>
              <w:bottom w:val="nil"/>
              <w:right w:val="nil"/>
            </w:tcBorders>
            <w:shd w:val="clear" w:color="auto" w:fill="FFFFFF"/>
            <w:noWrap w:val="0"/>
            <w:vAlign w:val="center"/>
          </w:tcPr>
          <w:p w14:paraId="4A947861">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This work</w:t>
            </w:r>
          </w:p>
        </w:tc>
        <w:tc>
          <w:tcPr>
            <w:tcW w:w="735" w:type="dxa"/>
            <w:tcBorders>
              <w:top w:val="nil"/>
              <w:left w:val="nil"/>
              <w:bottom w:val="nil"/>
              <w:right w:val="nil"/>
            </w:tcBorders>
            <w:shd w:val="clear" w:color="auto" w:fill="FFFFFF"/>
            <w:noWrap w:val="0"/>
            <w:vAlign w:val="center"/>
          </w:tcPr>
          <w:p w14:paraId="00452618">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650" w:type="dxa"/>
            <w:tcBorders>
              <w:top w:val="nil"/>
              <w:left w:val="nil"/>
              <w:bottom w:val="nil"/>
              <w:right w:val="nil"/>
            </w:tcBorders>
            <w:shd w:val="clear" w:color="auto" w:fill="FFFFFF"/>
            <w:noWrap w:val="0"/>
            <w:vAlign w:val="center"/>
          </w:tcPr>
          <w:p w14:paraId="124F3FA2">
            <w:pPr>
              <w:spacing w:line="240" w:lineRule="auto"/>
              <w:jc w:val="center"/>
              <w:rPr>
                <w:rFonts w:hint="eastAsia"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0.8068 ± 0.0804</w:t>
            </w:r>
          </w:p>
        </w:tc>
        <w:tc>
          <w:tcPr>
            <w:tcW w:w="1425" w:type="dxa"/>
            <w:tcBorders>
              <w:top w:val="nil"/>
              <w:left w:val="nil"/>
              <w:bottom w:val="nil"/>
              <w:right w:val="nil"/>
            </w:tcBorders>
            <w:shd w:val="clear" w:color="auto" w:fill="FFFFFF"/>
            <w:noWrap w:val="0"/>
            <w:vAlign w:val="center"/>
          </w:tcPr>
          <w:p w14:paraId="5935F4AA">
            <w:pPr>
              <w:spacing w:line="240" w:lineRule="auto"/>
              <w:jc w:val="center"/>
              <w:rPr>
                <w:rFonts w:hint="eastAsia"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1030.4 ± 69.7</w:t>
            </w:r>
          </w:p>
        </w:tc>
        <w:tc>
          <w:tcPr>
            <w:tcW w:w="1620" w:type="dxa"/>
            <w:tcBorders>
              <w:top w:val="nil"/>
              <w:left w:val="nil"/>
              <w:bottom w:val="nil"/>
              <w:right w:val="nil"/>
            </w:tcBorders>
            <w:shd w:val="clear" w:color="auto" w:fill="FFFFFF"/>
            <w:noWrap w:val="0"/>
            <w:vAlign w:val="center"/>
          </w:tcPr>
          <w:p w14:paraId="08358F5E">
            <w:pPr>
              <w:spacing w:line="240" w:lineRule="auto"/>
              <w:jc w:val="center"/>
              <w:rPr>
                <w:rFonts w:hint="eastAsia"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0.0765 ± 0.0210</w:t>
            </w:r>
          </w:p>
        </w:tc>
        <w:tc>
          <w:tcPr>
            <w:tcW w:w="1644" w:type="dxa"/>
            <w:tcBorders>
              <w:top w:val="nil"/>
              <w:left w:val="nil"/>
              <w:bottom w:val="nil"/>
              <w:right w:val="nil"/>
            </w:tcBorders>
            <w:shd w:val="clear" w:color="auto" w:fill="FFFFFF"/>
            <w:noWrap w:val="0"/>
            <w:vAlign w:val="center"/>
          </w:tcPr>
          <w:p w14:paraId="55091CD5">
            <w:pPr>
              <w:spacing w:line="240" w:lineRule="auto"/>
              <w:jc w:val="center"/>
              <w:rPr>
                <w:rFonts w:hint="eastAsia"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0.0764 ± 0.0062</w:t>
            </w:r>
          </w:p>
        </w:tc>
      </w:tr>
      <w:tr w14:paraId="4B439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nil"/>
              <w:left w:val="nil"/>
              <w:bottom w:val="nil"/>
              <w:right w:val="nil"/>
            </w:tcBorders>
            <w:shd w:val="clear" w:color="auto" w:fill="FFFFFF"/>
            <w:noWrap w:val="0"/>
            <w:vAlign w:val="center"/>
          </w:tcPr>
          <w:p w14:paraId="6E03E7B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Context pre-alignment enhanced model</w:t>
            </w:r>
          </w:p>
        </w:tc>
        <w:tc>
          <w:tcPr>
            <w:tcW w:w="1245" w:type="dxa"/>
            <w:tcBorders>
              <w:top w:val="nil"/>
              <w:left w:val="nil"/>
              <w:bottom w:val="nil"/>
              <w:right w:val="nil"/>
            </w:tcBorders>
            <w:shd w:val="clear" w:color="auto" w:fill="FFFFFF"/>
            <w:noWrap w:val="0"/>
            <w:vAlign w:val="center"/>
          </w:tcPr>
          <w:p w14:paraId="530002C1">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This work</w:t>
            </w:r>
          </w:p>
        </w:tc>
        <w:tc>
          <w:tcPr>
            <w:tcW w:w="735" w:type="dxa"/>
            <w:tcBorders>
              <w:top w:val="nil"/>
              <w:left w:val="nil"/>
              <w:bottom w:val="nil"/>
              <w:right w:val="nil"/>
            </w:tcBorders>
            <w:shd w:val="clear" w:color="auto" w:fill="FFFFFF"/>
            <w:noWrap w:val="0"/>
            <w:vAlign w:val="center"/>
          </w:tcPr>
          <w:p w14:paraId="6DD0BC5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650" w:type="dxa"/>
            <w:tcBorders>
              <w:top w:val="nil"/>
              <w:left w:val="nil"/>
              <w:bottom w:val="nil"/>
              <w:right w:val="nil"/>
            </w:tcBorders>
            <w:shd w:val="clear" w:color="auto" w:fill="FFFFFF"/>
            <w:noWrap w:val="0"/>
            <w:vAlign w:val="center"/>
          </w:tcPr>
          <w:p w14:paraId="6007AFF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0.8547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0.1000</w:t>
            </w:r>
          </w:p>
        </w:tc>
        <w:tc>
          <w:tcPr>
            <w:tcW w:w="1425" w:type="dxa"/>
            <w:tcBorders>
              <w:top w:val="nil"/>
              <w:left w:val="nil"/>
              <w:bottom w:val="nil"/>
              <w:right w:val="nil"/>
            </w:tcBorders>
            <w:shd w:val="clear" w:color="auto" w:fill="FFFFFF"/>
            <w:noWrap w:val="0"/>
            <w:vAlign w:val="center"/>
          </w:tcPr>
          <w:p w14:paraId="2EE3E5A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1015.8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26.7</w:t>
            </w:r>
          </w:p>
        </w:tc>
        <w:tc>
          <w:tcPr>
            <w:tcW w:w="1620" w:type="dxa"/>
            <w:tcBorders>
              <w:top w:val="nil"/>
              <w:left w:val="nil"/>
              <w:bottom w:val="nil"/>
              <w:right w:val="nil"/>
            </w:tcBorders>
            <w:shd w:val="clear" w:color="auto" w:fill="FFFFFF"/>
            <w:noWrap w:val="0"/>
            <w:vAlign w:val="center"/>
          </w:tcPr>
          <w:p w14:paraId="33631B99">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0.0627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0.0225</w:t>
            </w:r>
          </w:p>
        </w:tc>
        <w:tc>
          <w:tcPr>
            <w:tcW w:w="1644" w:type="dxa"/>
            <w:tcBorders>
              <w:top w:val="nil"/>
              <w:left w:val="nil"/>
              <w:bottom w:val="nil"/>
              <w:right w:val="nil"/>
            </w:tcBorders>
            <w:shd w:val="clear" w:color="auto" w:fill="FFFFFF"/>
            <w:noWrap w:val="0"/>
            <w:vAlign w:val="center"/>
          </w:tcPr>
          <w:p w14:paraId="45DEEFB7">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bCs/>
                <w:color w:val="000000"/>
                <w:sz w:val="21"/>
                <w:szCs w:val="21"/>
                <w:lang w:val="en-US" w:eastAsia="zh-CN"/>
              </w:rPr>
              <w:t xml:space="preserve">0.0746 </w:t>
            </w:r>
            <w:r>
              <w:rPr>
                <w:rFonts w:hint="default" w:ascii="Times New Roman" w:hAnsi="Times New Roman" w:eastAsia="宋体" w:cs="Times New Roman"/>
                <w:b/>
                <w:bCs/>
                <w:color w:val="000000"/>
                <w:sz w:val="21"/>
                <w:szCs w:val="21"/>
                <w:lang w:val="en-US" w:eastAsia="zh-CN"/>
              </w:rPr>
              <w:t>±</w:t>
            </w:r>
            <w:r>
              <w:rPr>
                <w:rFonts w:hint="eastAsia" w:ascii="Times New Roman" w:hAnsi="Times New Roman" w:eastAsia="宋体" w:cs="Times New Roman"/>
                <w:b/>
                <w:bCs/>
                <w:color w:val="000000"/>
                <w:sz w:val="21"/>
                <w:szCs w:val="21"/>
                <w:lang w:val="en-US" w:eastAsia="zh-CN"/>
              </w:rPr>
              <w:t xml:space="preserve"> 0.0101</w:t>
            </w:r>
          </w:p>
        </w:tc>
      </w:tr>
      <w:tr w14:paraId="3F11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2" w:type="dxa"/>
            <w:tcBorders>
              <w:top w:val="nil"/>
              <w:left w:val="nil"/>
              <w:bottom w:val="single" w:color="000000" w:sz="12" w:space="0"/>
              <w:right w:val="nil"/>
            </w:tcBorders>
            <w:shd w:val="clear" w:color="auto" w:fill="FFFFFF"/>
            <w:noWrap w:val="0"/>
            <w:vAlign w:val="center"/>
          </w:tcPr>
          <w:p w14:paraId="1E6CB56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Lightweight multi-scale history enhanced model</w:t>
            </w:r>
          </w:p>
        </w:tc>
        <w:tc>
          <w:tcPr>
            <w:tcW w:w="1245" w:type="dxa"/>
            <w:tcBorders>
              <w:top w:val="nil"/>
              <w:left w:val="nil"/>
              <w:bottom w:val="single" w:color="000000" w:sz="12" w:space="0"/>
              <w:right w:val="nil"/>
            </w:tcBorders>
            <w:shd w:val="clear" w:color="auto" w:fill="FFFFFF"/>
            <w:noWrap w:val="0"/>
            <w:vAlign w:val="center"/>
          </w:tcPr>
          <w:p w14:paraId="6CA46B21">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This work</w:t>
            </w:r>
          </w:p>
        </w:tc>
        <w:tc>
          <w:tcPr>
            <w:tcW w:w="735" w:type="dxa"/>
            <w:tcBorders>
              <w:top w:val="nil"/>
              <w:left w:val="nil"/>
              <w:bottom w:val="single" w:color="000000" w:sz="12" w:space="0"/>
              <w:right w:val="nil"/>
            </w:tcBorders>
            <w:shd w:val="clear" w:color="auto" w:fill="FFFFFF"/>
            <w:noWrap w:val="0"/>
            <w:vAlign w:val="center"/>
          </w:tcPr>
          <w:p w14:paraId="2D660D0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650" w:type="dxa"/>
            <w:tcBorders>
              <w:top w:val="nil"/>
              <w:left w:val="nil"/>
              <w:bottom w:val="single" w:color="000000" w:sz="12" w:space="0"/>
              <w:right w:val="nil"/>
            </w:tcBorders>
            <w:shd w:val="clear" w:color="auto" w:fill="FFFFFF"/>
            <w:noWrap w:val="0"/>
            <w:vAlign w:val="center"/>
          </w:tcPr>
          <w:p w14:paraId="6EA12A31">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bCs/>
                <w:color w:val="000000"/>
                <w:sz w:val="21"/>
                <w:szCs w:val="21"/>
                <w:lang w:val="en-US" w:eastAsia="zh-CN"/>
              </w:rPr>
              <w:t xml:space="preserve">0.8967 </w:t>
            </w:r>
            <w:r>
              <w:rPr>
                <w:rFonts w:hint="default" w:ascii="Times New Roman" w:hAnsi="Times New Roman" w:eastAsia="宋体" w:cs="Times New Roman"/>
                <w:b/>
                <w:bCs/>
                <w:color w:val="000000"/>
                <w:sz w:val="21"/>
                <w:szCs w:val="21"/>
                <w:lang w:val="en-US" w:eastAsia="zh-CN"/>
              </w:rPr>
              <w:t>±</w:t>
            </w:r>
            <w:r>
              <w:rPr>
                <w:rFonts w:hint="eastAsia" w:ascii="Times New Roman" w:hAnsi="Times New Roman" w:eastAsia="宋体" w:cs="Times New Roman"/>
                <w:b/>
                <w:bCs/>
                <w:color w:val="000000"/>
                <w:sz w:val="21"/>
                <w:szCs w:val="21"/>
                <w:lang w:val="en-US" w:eastAsia="zh-CN"/>
              </w:rPr>
              <w:t xml:space="preserve"> 0.0475</w:t>
            </w:r>
          </w:p>
        </w:tc>
        <w:tc>
          <w:tcPr>
            <w:tcW w:w="1425" w:type="dxa"/>
            <w:tcBorders>
              <w:top w:val="nil"/>
              <w:left w:val="nil"/>
              <w:bottom w:val="single" w:color="000000" w:sz="12" w:space="0"/>
              <w:right w:val="nil"/>
            </w:tcBorders>
            <w:shd w:val="clear" w:color="auto" w:fill="FFFFFF"/>
            <w:noWrap w:val="0"/>
            <w:vAlign w:val="center"/>
          </w:tcPr>
          <w:p w14:paraId="2A45B284">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1057.0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33.7</w:t>
            </w:r>
          </w:p>
        </w:tc>
        <w:tc>
          <w:tcPr>
            <w:tcW w:w="1620" w:type="dxa"/>
            <w:tcBorders>
              <w:top w:val="nil"/>
              <w:left w:val="nil"/>
              <w:bottom w:val="single" w:color="000000" w:sz="12" w:space="0"/>
              <w:right w:val="nil"/>
            </w:tcBorders>
            <w:shd w:val="clear" w:color="auto" w:fill="FFFFFF"/>
            <w:noWrap w:val="0"/>
            <w:vAlign w:val="center"/>
          </w:tcPr>
          <w:p w14:paraId="76DA2B1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0.0610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0.0114</w:t>
            </w:r>
          </w:p>
        </w:tc>
        <w:tc>
          <w:tcPr>
            <w:tcW w:w="1644" w:type="dxa"/>
            <w:tcBorders>
              <w:top w:val="nil"/>
              <w:left w:val="nil"/>
              <w:bottom w:val="single" w:color="000000" w:sz="12" w:space="0"/>
              <w:right w:val="nil"/>
            </w:tcBorders>
            <w:shd w:val="clear" w:color="auto" w:fill="FFFFFF"/>
            <w:noWrap w:val="0"/>
            <w:vAlign w:val="center"/>
          </w:tcPr>
          <w:p w14:paraId="7F7AE4E4">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 xml:space="preserve">0.0821 </w:t>
            </w:r>
            <w:r>
              <w:rPr>
                <w:rFonts w:hint="default" w:ascii="Times New Roman" w:hAnsi="Times New Roman" w:eastAsia="宋体" w:cs="Times New Roman"/>
                <w:b w:val="0"/>
                <w:color w:val="000000"/>
                <w:sz w:val="21"/>
                <w:szCs w:val="21"/>
                <w:lang w:val="en-US" w:eastAsia="zh-CN"/>
              </w:rPr>
              <w:t>±</w:t>
            </w:r>
            <w:r>
              <w:rPr>
                <w:rFonts w:hint="eastAsia" w:ascii="Times New Roman" w:hAnsi="Times New Roman" w:eastAsia="宋体" w:cs="Times New Roman"/>
                <w:b w:val="0"/>
                <w:color w:val="000000"/>
                <w:sz w:val="21"/>
                <w:szCs w:val="21"/>
                <w:lang w:val="en-US" w:eastAsia="zh-CN"/>
              </w:rPr>
              <w:t xml:space="preserve"> 0.0241</w:t>
            </w:r>
          </w:p>
        </w:tc>
      </w:tr>
    </w:tbl>
    <w:p w14:paraId="72D73B4F">
      <w:pPr>
        <w:ind w:firstLine="480" w:firstLineChars="200"/>
        <w:jc w:val="both"/>
        <w:rPr>
          <w:rFonts w:hint="eastAsia" w:ascii="Times New Roman" w:hAnsi="Times New Roman" w:eastAsia="宋体" w:cs="Times New Roman"/>
          <w:lang w:val="en-US" w:eastAsia="zh-CN"/>
        </w:rPr>
      </w:pPr>
    </w:p>
    <w:p w14:paraId="5BB18605">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由表5.1可知，本文最终轻量化多尺度历史增强模型在5个随机种子下的平均奖励为0.8967 </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 xml:space="preserve"> 0.0475，高于BBA的0.7642、MPC的0.8485、UDR的0.7509 </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 xml:space="preserve"> 0.0347和Genet的0.8587 </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 xml:space="preserve"> 0.0243。该结果说明，在本实验设置中，大语言模型经过任务适配后，能够在综合QoE指标上超过传统规则方法、预测控制方法和较强强化学习基线。</w:t>
      </w:r>
    </w:p>
    <w:p w14:paraId="70FDB4A0">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为更直观地展示不同方法之间的平均QoE奖励差异，本文进一步绘制了主结果柱状图，如图5.1所示。</w:t>
      </w:r>
    </w:p>
    <w:p w14:paraId="485DDB60">
      <w:pPr>
        <w:ind w:firstLine="480" w:firstLineChars="200"/>
        <w:jc w:val="both"/>
        <w:rPr>
          <w:rFonts w:hint="eastAsia" w:ascii="Times New Roman" w:hAnsi="Times New Roman" w:eastAsia="宋体" w:cs="Times New Roman"/>
          <w:lang w:val="en-US" w:eastAsia="zh-CN"/>
        </w:rPr>
      </w:pPr>
    </w:p>
    <w:p w14:paraId="4992E08E">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5394960" cy="2709545"/>
            <wp:effectExtent l="0" t="0" r="15240" b="146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5394960" cy="2709545"/>
                    </a:xfrm>
                    <a:prstGeom prst="rect">
                      <a:avLst/>
                    </a:prstGeom>
                    <a:noFill/>
                    <a:ln>
                      <a:noFill/>
                    </a:ln>
                  </pic:spPr>
                </pic:pic>
              </a:graphicData>
            </a:graphic>
          </wp:inline>
        </w:drawing>
      </w:r>
    </w:p>
    <w:p w14:paraId="135A5D69">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图5.1  不同</w:t>
      </w:r>
      <w:r>
        <w:rPr>
          <w:rFonts w:hint="default" w:ascii="Times New Roman" w:hAnsi="Times New Roman" w:eastAsia="宋体" w:cs="Times New Roman"/>
          <w:lang w:val="en-US" w:eastAsia="zh-CN"/>
        </w:rPr>
        <w:t xml:space="preserve"> ABR </w:t>
      </w:r>
      <w:r>
        <w:rPr>
          <w:rFonts w:hint="eastAsia" w:ascii="Times New Roman" w:hAnsi="Times New Roman" w:eastAsia="宋体" w:cs="Times New Roman"/>
          <w:lang w:val="en-US" w:eastAsia="zh-CN"/>
        </w:rPr>
        <w:t>方法的平均QoE奖励对比</w:t>
      </w:r>
    </w:p>
    <w:p w14:paraId="5A7C7EB5">
      <w:pPr>
        <w:ind w:firstLine="480" w:firstLineChars="200"/>
        <w:jc w:val="both"/>
        <w:rPr>
          <w:rFonts w:hint="eastAsia" w:ascii="Times New Roman" w:hAnsi="Times New Roman" w:eastAsia="宋体" w:cs="Times New Roman"/>
          <w:lang w:val="en-US" w:eastAsia="zh-CN"/>
        </w:rPr>
      </w:pPr>
    </w:p>
    <w:p w14:paraId="698963C2">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图5.1可以看出，不同方法之间呈现出较明显的性能差异。BBA受限于固定规则阈值，平均奖励相对较低；MPC借助吞吐量预测机制，性能明显优于BBA；Genet在学习型基线中表现较强；本文最终模型在平均奖励上进一步提升。需要注意的是，最终模型的标准差为0.0475，高于Genet的 0.0243，说明其平均性能虽然更高，但不同随机种子下的波动也更加明显。因此，本文结论应表述为“在 5 个随机种子的均值统计下，最终模型平均性能优于 Genet”，而不宜表述为“在所有随机种子和所有 trace 上均稳定优于 Genet”。</w:t>
      </w:r>
    </w:p>
    <w:p w14:paraId="24ACF11C">
      <w:pPr>
        <w:ind w:firstLine="480" w:firstLineChars="200"/>
        <w:jc w:val="both"/>
        <w:rPr>
          <w:rFonts w:hint="eastAsia" w:ascii="宋体" w:hAnsi="宋体" w:eastAsia="宋体" w:cs="Times New Roman"/>
          <w:sz w:val="21"/>
          <w:szCs w:val="21"/>
          <w:lang w:val="en-US" w:eastAsia="zh-CN"/>
        </w:rPr>
      </w:pPr>
      <w:r>
        <w:rPr>
          <w:rFonts w:hint="eastAsia" w:ascii="Times New Roman" w:hAnsi="Times New Roman" w:eastAsia="宋体" w:cs="Times New Roman"/>
          <w:lang w:val="en-US" w:eastAsia="zh-CN"/>
        </w:rPr>
        <w:t>从方法机理看，最终模型的优势并非来自简单提高码率。其平均码率为 1057.0 Kbps，低于 Genet 的 1104.8 Kbps，却取得了更高的综合奖励。这说明该模型在码率收益、卡顿风险和平滑性惩罚之间形成了更合理的权衡。ABR 任务的目标并不是单纯最大化视频码率，而是在动态网络环境下综合提升用户体验质量；这也解释了为什么 BBA 的平均码率较高，但综合奖励并不占优。</w:t>
      </w:r>
    </w:p>
    <w:p w14:paraId="7F6E7131">
      <w:pPr>
        <w:pStyle w:val="3"/>
        <w:spacing w:before="120"/>
        <w:rPr>
          <w:rFonts w:hint="eastAsia" w:hAnsi="Times New Roman" w:cs="Times New Roman"/>
          <w:bCs/>
        </w:rPr>
      </w:pPr>
      <w:bookmarkStart w:id="3" w:name="_Toc4468"/>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4</w:t>
      </w:r>
      <w:r>
        <w:rPr>
          <w:rFonts w:hint="eastAsia" w:hAnsi="Times New Roman" w:cs="Times New Roman"/>
          <w:bCs/>
        </w:rPr>
        <w:t xml:space="preserve">  QoE组成指标分析</w:t>
      </w:r>
      <w:bookmarkEnd w:id="3"/>
    </w:p>
    <w:p w14:paraId="3DDB1EDB">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为进一步分析不同方法在 QoE 组成项上的差异，本文比较了平均码率、重缓冲时间和平滑性惩罚三个指标，结果如图 5.2 所示。</w:t>
      </w:r>
    </w:p>
    <w:p w14:paraId="25F29C8E">
      <w:pPr>
        <w:ind w:firstLine="480" w:firstLineChars="200"/>
        <w:jc w:val="both"/>
        <w:rPr>
          <w:rFonts w:hint="eastAsia" w:ascii="Times New Roman" w:hAnsi="Times New Roman" w:eastAsia="宋体" w:cs="Times New Roman"/>
          <w:lang w:val="en-US" w:eastAsia="zh-CN"/>
        </w:rPr>
      </w:pPr>
    </w:p>
    <w:p w14:paraId="40150F69">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5486400" cy="2007870"/>
            <wp:effectExtent l="0" t="0" r="0" b="1143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5486400" cy="2007870"/>
                    </a:xfrm>
                    <a:prstGeom prst="rect">
                      <a:avLst/>
                    </a:prstGeom>
                    <a:noFill/>
                    <a:ln>
                      <a:noFill/>
                    </a:ln>
                  </pic:spPr>
                </pic:pic>
              </a:graphicData>
            </a:graphic>
          </wp:inline>
        </w:drawing>
      </w:r>
    </w:p>
    <w:p w14:paraId="0B7685A8">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图5.2  不同方法的平均码率、重缓冲时间和平滑性惩罚对比</w:t>
      </w:r>
    </w:p>
    <w:p w14:paraId="4E47FDF2">
      <w:pPr>
        <w:ind w:firstLine="480" w:firstLineChars="200"/>
        <w:jc w:val="both"/>
        <w:rPr>
          <w:rFonts w:hint="eastAsia" w:ascii="Times New Roman" w:hAnsi="Times New Roman" w:eastAsia="宋体" w:cs="Times New Roman"/>
          <w:lang w:val="en-US" w:eastAsia="zh-CN"/>
        </w:rPr>
      </w:pPr>
    </w:p>
    <w:p w14:paraId="100CE4E3">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由图 5.2 可以看出，不同方法在码率收益、卡顿控制和平滑性保持方面存在明显差异。MPC 的平均码率最高，但其重缓冲时间也相对较高，说明该方法在部分带宽波动较大的 trace 上可能采取了较为激进的码率选择策略。BBA 的平滑性惩罚明显高于其他方法，说明基于缓冲区阈值的规则策略可能导致较频繁的码率切换。相比之下，本文最终模型的平均码率低于 Genet，但重缓冲时间也低于 Genet，最终取得了更高的综合奖励。</w:t>
      </w:r>
    </w:p>
    <w:p w14:paraId="13389AAD">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这一结果说明，在 ABR 任务中仅分析单一指标是不充分的。如果只关注平均码率，MPC 和 Genet 看起来更具优势；如果只关注重缓冲时间，部分保守策略也可能表现较好。只有将码率收益、卡顿惩罚和平滑性惩罚放在统一的 QoE 框架下分析，才能更准确地解释不同策略之间的性能差异。本文方法的提升主要来自更合理的风险控制，而不是简单地选择更高码率。</w:t>
      </w:r>
    </w:p>
    <w:p w14:paraId="53228865">
      <w:pPr>
        <w:ind w:firstLine="480" w:firstLineChars="200"/>
        <w:jc w:val="both"/>
        <w:rPr>
          <w:rFonts w:hint="eastAsia"/>
        </w:rPr>
      </w:pPr>
      <w:r>
        <w:rPr>
          <w:rFonts w:hint="eastAsia" w:ascii="Times New Roman" w:hAnsi="Times New Roman" w:eastAsia="宋体" w:cs="Times New Roman"/>
          <w:lang w:val="en-US" w:eastAsia="zh-CN"/>
        </w:rPr>
        <w:t>从应用角度看，这种取舍更符合实际流媒体系统需求。用户通常对短时间重缓冲较为敏感，过高码率如果引发卡顿，反而可能降低整体体验；但过度保守又会影响视频清晰度。轻量化多尺度历史增强模型通过建模吞吐量历史变化，使策略在网络波动时能够更早感知卡顿风险，在网络相对稳定时保持较高码率，从而提高平均 QoE 奖励。</w:t>
      </w:r>
    </w:p>
    <w:p w14:paraId="00332A34">
      <w:pPr>
        <w:pStyle w:val="3"/>
        <w:spacing w:before="120"/>
        <w:rPr>
          <w:rFonts w:hint="eastAsia" w:hAnsi="Times New Roman" w:cs="Times New Roman"/>
          <w:bCs/>
        </w:rPr>
      </w:pPr>
      <w:bookmarkStart w:id="4" w:name="_Toc6402"/>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5</w:t>
      </w:r>
      <w:r>
        <w:rPr>
          <w:rFonts w:hint="eastAsia" w:hAnsi="Times New Roman" w:cs="Times New Roman"/>
          <w:bCs/>
        </w:rPr>
        <w:t xml:space="preserve">  消融实验与稳定性分析</w:t>
      </w:r>
      <w:bookmarkEnd w:id="4"/>
    </w:p>
    <w:p w14:paraId="2E45ADB4">
      <w:pPr>
        <w:ind w:firstLine="480" w:firstLineChars="200"/>
        <w:jc w:val="both"/>
        <w:rPr>
          <w:rFonts w:ascii="宋体" w:hAnsi="宋体" w:eastAsia="宋体" w:cs="宋体"/>
          <w:sz w:val="24"/>
          <w:szCs w:val="24"/>
        </w:rPr>
      </w:pPr>
      <w:r>
        <w:rPr>
          <w:rFonts w:ascii="宋体" w:hAnsi="宋体" w:eastAsia="宋体" w:cs="宋体"/>
          <w:sz w:val="24"/>
          <w:szCs w:val="24"/>
        </w:rPr>
        <w:t>为验证不同大模型适配模块对 ABR 决策性能的影响，本文对语义重编程、上下文预对齐以及多尺度历史建模模块进行了消融实验，实验结果如表 5.2 所示。</w:t>
      </w:r>
    </w:p>
    <w:p w14:paraId="1AACFE06">
      <w:pPr>
        <w:ind w:firstLine="480" w:firstLineChars="200"/>
        <w:jc w:val="both"/>
        <w:rPr>
          <w:rFonts w:hint="eastAsia" w:ascii="Times New Roman" w:hAnsi="Times New Roman" w:eastAsia="宋体" w:cs="Times New Roman"/>
          <w:lang w:val="en-US" w:eastAsia="zh-CN"/>
        </w:rPr>
      </w:pPr>
    </w:p>
    <w:p w14:paraId="09360E35">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表5.2  大模型适配模块消融结果</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1177"/>
        <w:gridCol w:w="1070"/>
        <w:gridCol w:w="1106"/>
        <w:gridCol w:w="1104"/>
        <w:gridCol w:w="1271"/>
        <w:gridCol w:w="1271"/>
      </w:tblGrid>
      <w:tr w14:paraId="736DA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single" w:color="000000" w:sz="12" w:space="0"/>
              <w:left w:val="nil"/>
              <w:bottom w:val="single" w:color="000000" w:sz="4" w:space="0"/>
              <w:right w:val="nil"/>
              <w:tl2br w:val="nil"/>
            </w:tcBorders>
            <w:shd w:val="clear" w:color="auto" w:fill="FFFFFF"/>
            <w:noWrap w:val="0"/>
            <w:vAlign w:val="center"/>
          </w:tcPr>
          <w:p w14:paraId="2ACA6AC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Method</w:t>
            </w:r>
          </w:p>
        </w:tc>
        <w:tc>
          <w:tcPr>
            <w:tcW w:w="1296" w:type="dxa"/>
            <w:tcBorders>
              <w:top w:val="single" w:color="000000" w:sz="12" w:space="0"/>
              <w:left w:val="nil"/>
              <w:bottom w:val="single" w:color="000000" w:sz="4" w:space="0"/>
              <w:right w:val="nil"/>
            </w:tcBorders>
            <w:shd w:val="clear" w:color="auto" w:fill="FFFFFF"/>
            <w:noWrap w:val="0"/>
            <w:vAlign w:val="center"/>
          </w:tcPr>
          <w:p w14:paraId="32329A53">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Category</w:t>
            </w:r>
          </w:p>
        </w:tc>
        <w:tc>
          <w:tcPr>
            <w:tcW w:w="1296" w:type="dxa"/>
            <w:tcBorders>
              <w:top w:val="single" w:color="000000" w:sz="12" w:space="0"/>
              <w:left w:val="nil"/>
              <w:bottom w:val="single" w:color="000000" w:sz="4" w:space="0"/>
              <w:right w:val="nil"/>
            </w:tcBorders>
            <w:shd w:val="clear" w:color="auto" w:fill="FFFFFF"/>
            <w:noWrap w:val="0"/>
            <w:vAlign w:val="center"/>
          </w:tcPr>
          <w:p w14:paraId="20F027E3">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Seeds</w:t>
            </w:r>
          </w:p>
        </w:tc>
        <w:tc>
          <w:tcPr>
            <w:tcW w:w="1296" w:type="dxa"/>
            <w:tcBorders>
              <w:top w:val="single" w:color="000000" w:sz="12" w:space="0"/>
              <w:left w:val="nil"/>
              <w:bottom w:val="single" w:color="000000" w:sz="4" w:space="0"/>
              <w:right w:val="nil"/>
            </w:tcBorders>
            <w:shd w:val="clear" w:color="auto" w:fill="FFFFFF"/>
            <w:noWrap w:val="0"/>
            <w:vAlign w:val="center"/>
          </w:tcPr>
          <w:p w14:paraId="7CA3C7FF">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Mean reward</w:t>
            </w:r>
          </w:p>
        </w:tc>
        <w:tc>
          <w:tcPr>
            <w:tcW w:w="1296" w:type="dxa"/>
            <w:tcBorders>
              <w:top w:val="single" w:color="000000" w:sz="12" w:space="0"/>
              <w:left w:val="nil"/>
              <w:bottom w:val="single" w:color="000000" w:sz="4" w:space="0"/>
              <w:right w:val="nil"/>
            </w:tcBorders>
            <w:shd w:val="clear" w:color="auto" w:fill="FFFFFF"/>
            <w:noWrap w:val="0"/>
            <w:vAlign w:val="center"/>
          </w:tcPr>
          <w:p w14:paraId="5A87329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Bitrate</w:t>
            </w:r>
          </w:p>
        </w:tc>
        <w:tc>
          <w:tcPr>
            <w:tcW w:w="1296" w:type="dxa"/>
            <w:tcBorders>
              <w:top w:val="single" w:color="000000" w:sz="12" w:space="0"/>
              <w:left w:val="nil"/>
              <w:bottom w:val="single" w:color="000000" w:sz="4" w:space="0"/>
              <w:right w:val="nil"/>
            </w:tcBorders>
            <w:shd w:val="clear" w:color="auto" w:fill="FFFFFF"/>
            <w:noWrap w:val="0"/>
            <w:vAlign w:val="center"/>
          </w:tcPr>
          <w:p w14:paraId="23A7FEB3">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Rebuffering</w:t>
            </w:r>
          </w:p>
        </w:tc>
        <w:tc>
          <w:tcPr>
            <w:tcW w:w="1296" w:type="dxa"/>
            <w:tcBorders>
              <w:top w:val="single" w:color="000000" w:sz="12" w:space="0"/>
              <w:left w:val="nil"/>
              <w:bottom w:val="single" w:color="000000" w:sz="4" w:space="0"/>
              <w:right w:val="nil"/>
            </w:tcBorders>
            <w:shd w:val="clear" w:color="auto" w:fill="FFFFFF"/>
            <w:noWrap w:val="0"/>
            <w:vAlign w:val="center"/>
          </w:tcPr>
          <w:p w14:paraId="6EE360FA">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Smoothness</w:t>
            </w:r>
          </w:p>
        </w:tc>
      </w:tr>
      <w:tr w14:paraId="65922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single" w:color="000000" w:sz="4" w:space="0"/>
              <w:left w:val="nil"/>
              <w:bottom w:val="nil"/>
              <w:right w:val="nil"/>
            </w:tcBorders>
            <w:shd w:val="clear" w:color="auto" w:fill="FFFFFF"/>
            <w:noWrap w:val="0"/>
            <w:vAlign w:val="center"/>
          </w:tcPr>
          <w:p w14:paraId="2487803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Semantic reprogramming baseline</w:t>
            </w:r>
          </w:p>
        </w:tc>
        <w:tc>
          <w:tcPr>
            <w:tcW w:w="1296" w:type="dxa"/>
            <w:tcBorders>
              <w:top w:val="single" w:color="000000" w:sz="4" w:space="0"/>
              <w:left w:val="nil"/>
              <w:bottom w:val="nil"/>
              <w:right w:val="nil"/>
            </w:tcBorders>
            <w:shd w:val="clear" w:color="auto" w:fill="FFFFFF"/>
            <w:noWrap w:val="0"/>
            <w:vAlign w:val="center"/>
          </w:tcPr>
          <w:p w14:paraId="560EB3C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This work</w:t>
            </w:r>
          </w:p>
        </w:tc>
        <w:tc>
          <w:tcPr>
            <w:tcW w:w="1296" w:type="dxa"/>
            <w:tcBorders>
              <w:top w:val="single" w:color="000000" w:sz="4" w:space="0"/>
              <w:left w:val="nil"/>
              <w:bottom w:val="nil"/>
              <w:right w:val="nil"/>
            </w:tcBorders>
            <w:shd w:val="clear" w:color="auto" w:fill="FFFFFF"/>
            <w:noWrap w:val="0"/>
            <w:vAlign w:val="center"/>
          </w:tcPr>
          <w:p w14:paraId="577F3141">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3</w:t>
            </w:r>
          </w:p>
        </w:tc>
        <w:tc>
          <w:tcPr>
            <w:tcW w:w="1296" w:type="dxa"/>
            <w:tcBorders>
              <w:top w:val="single" w:color="000000" w:sz="4" w:space="0"/>
              <w:left w:val="nil"/>
              <w:bottom w:val="nil"/>
              <w:right w:val="nil"/>
            </w:tcBorders>
            <w:shd w:val="clear" w:color="auto" w:fill="FFFFFF"/>
            <w:noWrap w:val="0"/>
            <w:vAlign w:val="center"/>
          </w:tcPr>
          <w:p w14:paraId="42F0287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0.8547 ± 0.0622</w:t>
            </w:r>
          </w:p>
        </w:tc>
        <w:tc>
          <w:tcPr>
            <w:tcW w:w="1296" w:type="dxa"/>
            <w:tcBorders>
              <w:top w:val="single" w:color="000000" w:sz="4" w:space="0"/>
              <w:left w:val="nil"/>
              <w:bottom w:val="nil"/>
              <w:right w:val="nil"/>
            </w:tcBorders>
            <w:shd w:val="clear" w:color="auto" w:fill="FFFFFF"/>
            <w:noWrap w:val="0"/>
            <w:vAlign w:val="center"/>
          </w:tcPr>
          <w:p w14:paraId="4AFA0C8A">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1009.9 ± 89.4</w:t>
            </w:r>
          </w:p>
        </w:tc>
        <w:tc>
          <w:tcPr>
            <w:tcW w:w="1296" w:type="dxa"/>
            <w:tcBorders>
              <w:top w:val="single" w:color="000000" w:sz="4" w:space="0"/>
              <w:left w:val="nil"/>
              <w:bottom w:val="nil"/>
              <w:right w:val="nil"/>
            </w:tcBorders>
            <w:shd w:val="clear" w:color="auto" w:fill="FFFFFF"/>
            <w:noWrap w:val="0"/>
            <w:vAlign w:val="center"/>
          </w:tcPr>
          <w:p w14:paraId="25B785B9">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0.0617 ± 0.0071</w:t>
            </w:r>
          </w:p>
        </w:tc>
        <w:tc>
          <w:tcPr>
            <w:tcW w:w="1296" w:type="dxa"/>
            <w:tcBorders>
              <w:top w:val="single" w:color="000000" w:sz="4" w:space="0"/>
              <w:left w:val="nil"/>
              <w:bottom w:val="nil"/>
              <w:right w:val="nil"/>
            </w:tcBorders>
            <w:shd w:val="clear" w:color="auto" w:fill="FFFFFF"/>
            <w:noWrap w:val="0"/>
            <w:vAlign w:val="center"/>
          </w:tcPr>
          <w:p w14:paraId="1ECA3E4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0.0727 ± 0.0048</w:t>
            </w:r>
          </w:p>
        </w:tc>
      </w:tr>
      <w:tr w14:paraId="59178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nil"/>
              <w:left w:val="nil"/>
              <w:bottom w:val="nil"/>
              <w:right w:val="nil"/>
            </w:tcBorders>
            <w:shd w:val="clear" w:color="auto" w:fill="FFFFFF"/>
            <w:noWrap w:val="0"/>
            <w:vAlign w:val="center"/>
          </w:tcPr>
          <w:p w14:paraId="4634C45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Context pre-alignment enhanced model</w:t>
            </w:r>
          </w:p>
        </w:tc>
        <w:tc>
          <w:tcPr>
            <w:tcW w:w="1296" w:type="dxa"/>
            <w:tcBorders>
              <w:top w:val="nil"/>
              <w:left w:val="nil"/>
              <w:bottom w:val="nil"/>
              <w:right w:val="nil"/>
            </w:tcBorders>
            <w:shd w:val="clear" w:color="auto" w:fill="FFFFFF"/>
            <w:noWrap w:val="0"/>
            <w:vAlign w:val="center"/>
          </w:tcPr>
          <w:p w14:paraId="7D6EA46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This work</w:t>
            </w:r>
          </w:p>
        </w:tc>
        <w:tc>
          <w:tcPr>
            <w:tcW w:w="1296" w:type="dxa"/>
            <w:tcBorders>
              <w:top w:val="nil"/>
              <w:left w:val="nil"/>
              <w:bottom w:val="nil"/>
              <w:right w:val="nil"/>
            </w:tcBorders>
            <w:shd w:val="clear" w:color="auto" w:fill="FFFFFF"/>
            <w:noWrap w:val="0"/>
            <w:vAlign w:val="center"/>
          </w:tcPr>
          <w:p w14:paraId="7C9E2227">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296" w:type="dxa"/>
            <w:tcBorders>
              <w:top w:val="nil"/>
              <w:left w:val="nil"/>
              <w:bottom w:val="nil"/>
              <w:right w:val="nil"/>
            </w:tcBorders>
            <w:shd w:val="clear" w:color="auto" w:fill="FFFFFF"/>
            <w:noWrap w:val="0"/>
            <w:vAlign w:val="center"/>
          </w:tcPr>
          <w:p w14:paraId="55FA4310">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0.8547 ± 0.1000</w:t>
            </w:r>
          </w:p>
        </w:tc>
        <w:tc>
          <w:tcPr>
            <w:tcW w:w="1296" w:type="dxa"/>
            <w:tcBorders>
              <w:top w:val="nil"/>
              <w:left w:val="nil"/>
              <w:bottom w:val="nil"/>
              <w:right w:val="nil"/>
            </w:tcBorders>
            <w:shd w:val="clear" w:color="auto" w:fill="FFFFFF"/>
            <w:noWrap w:val="0"/>
            <w:vAlign w:val="center"/>
          </w:tcPr>
          <w:p w14:paraId="4DE2ED9C">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1015.8 ± 26.7</w:t>
            </w:r>
          </w:p>
        </w:tc>
        <w:tc>
          <w:tcPr>
            <w:tcW w:w="1296" w:type="dxa"/>
            <w:tcBorders>
              <w:top w:val="nil"/>
              <w:left w:val="nil"/>
              <w:bottom w:val="nil"/>
              <w:right w:val="nil"/>
            </w:tcBorders>
            <w:shd w:val="clear" w:color="auto" w:fill="FFFFFF"/>
            <w:noWrap w:val="0"/>
            <w:vAlign w:val="center"/>
          </w:tcPr>
          <w:p w14:paraId="5AB0FAA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0.0627 ± 0.0225</w:t>
            </w:r>
          </w:p>
        </w:tc>
        <w:tc>
          <w:tcPr>
            <w:tcW w:w="1296" w:type="dxa"/>
            <w:tcBorders>
              <w:top w:val="nil"/>
              <w:left w:val="nil"/>
              <w:bottom w:val="nil"/>
              <w:right w:val="nil"/>
            </w:tcBorders>
            <w:shd w:val="clear" w:color="auto" w:fill="FFFFFF"/>
            <w:noWrap w:val="0"/>
            <w:vAlign w:val="center"/>
          </w:tcPr>
          <w:p w14:paraId="33E4B278">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0.0746 ± 0.0101</w:t>
            </w:r>
          </w:p>
        </w:tc>
      </w:tr>
      <w:tr w14:paraId="07B3D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nil"/>
              <w:left w:val="nil"/>
              <w:bottom w:val="nil"/>
              <w:right w:val="nil"/>
            </w:tcBorders>
            <w:shd w:val="clear" w:color="auto" w:fill="FFFFFF"/>
            <w:noWrap w:val="0"/>
            <w:vAlign w:val="center"/>
          </w:tcPr>
          <w:p w14:paraId="4449D108">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Original multi-scale history mixer</w:t>
            </w:r>
          </w:p>
        </w:tc>
        <w:tc>
          <w:tcPr>
            <w:tcW w:w="1296" w:type="dxa"/>
            <w:tcBorders>
              <w:top w:val="nil"/>
              <w:left w:val="nil"/>
              <w:bottom w:val="nil"/>
              <w:right w:val="nil"/>
            </w:tcBorders>
            <w:shd w:val="clear" w:color="auto" w:fill="FFFFFF"/>
            <w:noWrap w:val="0"/>
            <w:vAlign w:val="center"/>
          </w:tcPr>
          <w:p w14:paraId="58C04CD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This work</w:t>
            </w:r>
          </w:p>
        </w:tc>
        <w:tc>
          <w:tcPr>
            <w:tcW w:w="1296" w:type="dxa"/>
            <w:tcBorders>
              <w:top w:val="nil"/>
              <w:left w:val="nil"/>
              <w:bottom w:val="nil"/>
              <w:right w:val="nil"/>
            </w:tcBorders>
            <w:shd w:val="clear" w:color="auto" w:fill="FFFFFF"/>
            <w:noWrap w:val="0"/>
            <w:vAlign w:val="center"/>
          </w:tcPr>
          <w:p w14:paraId="4281CEC8">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3</w:t>
            </w:r>
          </w:p>
        </w:tc>
        <w:tc>
          <w:tcPr>
            <w:tcW w:w="1296" w:type="dxa"/>
            <w:tcBorders>
              <w:top w:val="nil"/>
              <w:left w:val="nil"/>
              <w:bottom w:val="nil"/>
              <w:right w:val="nil"/>
            </w:tcBorders>
            <w:shd w:val="clear" w:color="auto" w:fill="FFFFFF"/>
            <w:noWrap w:val="0"/>
            <w:vAlign w:val="center"/>
          </w:tcPr>
          <w:p w14:paraId="33F4AF26">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0.8683 ± 0.0505</w:t>
            </w:r>
          </w:p>
        </w:tc>
        <w:tc>
          <w:tcPr>
            <w:tcW w:w="1296" w:type="dxa"/>
            <w:tcBorders>
              <w:top w:val="nil"/>
              <w:left w:val="nil"/>
              <w:bottom w:val="nil"/>
              <w:right w:val="nil"/>
            </w:tcBorders>
            <w:shd w:val="clear" w:color="auto" w:fill="FFFFFF"/>
            <w:noWrap w:val="0"/>
            <w:vAlign w:val="center"/>
          </w:tcPr>
          <w:p w14:paraId="144E2BE2">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1040.7 ± 37.7</w:t>
            </w:r>
          </w:p>
        </w:tc>
        <w:tc>
          <w:tcPr>
            <w:tcW w:w="1296" w:type="dxa"/>
            <w:tcBorders>
              <w:top w:val="nil"/>
              <w:left w:val="nil"/>
              <w:bottom w:val="nil"/>
              <w:right w:val="nil"/>
            </w:tcBorders>
            <w:shd w:val="clear" w:color="auto" w:fill="FFFFFF"/>
            <w:noWrap w:val="0"/>
            <w:vAlign w:val="center"/>
          </w:tcPr>
          <w:p w14:paraId="7D0240D8">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0.0627 ± 0.0165</w:t>
            </w:r>
          </w:p>
        </w:tc>
        <w:tc>
          <w:tcPr>
            <w:tcW w:w="1296" w:type="dxa"/>
            <w:tcBorders>
              <w:top w:val="nil"/>
              <w:left w:val="nil"/>
              <w:bottom w:val="nil"/>
              <w:right w:val="nil"/>
            </w:tcBorders>
            <w:shd w:val="clear" w:color="auto" w:fill="FFFFFF"/>
            <w:noWrap w:val="0"/>
            <w:vAlign w:val="center"/>
          </w:tcPr>
          <w:p w14:paraId="396493D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0.0859 ± 0.0144</w:t>
            </w:r>
          </w:p>
        </w:tc>
      </w:tr>
      <w:tr w14:paraId="1612D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nil"/>
              <w:left w:val="nil"/>
              <w:bottom w:val="single" w:color="000000" w:sz="12" w:space="0"/>
              <w:right w:val="nil"/>
            </w:tcBorders>
            <w:shd w:val="clear" w:color="auto" w:fill="FFFFFF"/>
            <w:noWrap w:val="0"/>
            <w:vAlign w:val="center"/>
          </w:tcPr>
          <w:p w14:paraId="4776BF0B">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Lightweight multi-scale history enhanced model</w:t>
            </w:r>
          </w:p>
        </w:tc>
        <w:tc>
          <w:tcPr>
            <w:tcW w:w="1296" w:type="dxa"/>
            <w:tcBorders>
              <w:top w:val="nil"/>
              <w:left w:val="nil"/>
              <w:bottom w:val="single" w:color="000000" w:sz="12" w:space="0"/>
              <w:right w:val="nil"/>
            </w:tcBorders>
            <w:shd w:val="clear" w:color="auto" w:fill="FFFFFF"/>
            <w:noWrap w:val="0"/>
            <w:vAlign w:val="center"/>
          </w:tcPr>
          <w:p w14:paraId="10BADC74">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This work</w:t>
            </w:r>
          </w:p>
        </w:tc>
        <w:tc>
          <w:tcPr>
            <w:tcW w:w="1296" w:type="dxa"/>
            <w:tcBorders>
              <w:top w:val="nil"/>
              <w:left w:val="nil"/>
              <w:bottom w:val="single" w:color="000000" w:sz="12" w:space="0"/>
              <w:right w:val="nil"/>
            </w:tcBorders>
            <w:shd w:val="clear" w:color="auto" w:fill="FFFFFF"/>
            <w:noWrap w:val="0"/>
            <w:vAlign w:val="center"/>
          </w:tcPr>
          <w:p w14:paraId="31180216">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w:t>
            </w:r>
          </w:p>
        </w:tc>
        <w:tc>
          <w:tcPr>
            <w:tcW w:w="1296" w:type="dxa"/>
            <w:tcBorders>
              <w:top w:val="nil"/>
              <w:left w:val="nil"/>
              <w:bottom w:val="single" w:color="000000" w:sz="12" w:space="0"/>
              <w:right w:val="nil"/>
            </w:tcBorders>
            <w:shd w:val="clear" w:color="auto" w:fill="FFFFFF"/>
            <w:noWrap w:val="0"/>
            <w:vAlign w:val="center"/>
          </w:tcPr>
          <w:p w14:paraId="58D28D27">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0.8967 ± 0.0475</w:t>
            </w:r>
          </w:p>
        </w:tc>
        <w:tc>
          <w:tcPr>
            <w:tcW w:w="1296" w:type="dxa"/>
            <w:tcBorders>
              <w:top w:val="nil"/>
              <w:left w:val="nil"/>
              <w:bottom w:val="single" w:color="000000" w:sz="12" w:space="0"/>
              <w:right w:val="nil"/>
            </w:tcBorders>
            <w:shd w:val="clear" w:color="auto" w:fill="FFFFFF"/>
            <w:noWrap w:val="0"/>
            <w:vAlign w:val="center"/>
          </w:tcPr>
          <w:p w14:paraId="478FBC49">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1057.0 ± 33.7</w:t>
            </w:r>
          </w:p>
        </w:tc>
        <w:tc>
          <w:tcPr>
            <w:tcW w:w="1296" w:type="dxa"/>
            <w:tcBorders>
              <w:top w:val="nil"/>
              <w:left w:val="nil"/>
              <w:bottom w:val="single" w:color="000000" w:sz="12" w:space="0"/>
              <w:right w:val="nil"/>
            </w:tcBorders>
            <w:shd w:val="clear" w:color="auto" w:fill="FFFFFF"/>
            <w:noWrap w:val="0"/>
            <w:vAlign w:val="center"/>
          </w:tcPr>
          <w:p w14:paraId="21FB760A">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0.0610 ± 0.0114</w:t>
            </w:r>
          </w:p>
        </w:tc>
        <w:tc>
          <w:tcPr>
            <w:tcW w:w="1296" w:type="dxa"/>
            <w:tcBorders>
              <w:top w:val="nil"/>
              <w:left w:val="nil"/>
              <w:bottom w:val="single" w:color="000000" w:sz="12" w:space="0"/>
              <w:right w:val="nil"/>
            </w:tcBorders>
            <w:shd w:val="clear" w:color="auto" w:fill="FFFFFF"/>
            <w:noWrap w:val="0"/>
            <w:vAlign w:val="center"/>
          </w:tcPr>
          <w:p w14:paraId="220487DE">
            <w:pPr>
              <w:spacing w:line="240" w:lineRule="auto"/>
              <w:jc w:val="center"/>
              <w:rPr>
                <w:rFonts w:hint="eastAsia"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0.0821 ± 0.0241</w:t>
            </w:r>
          </w:p>
        </w:tc>
      </w:tr>
    </w:tbl>
    <w:p w14:paraId="47331E9D">
      <w:pPr>
        <w:jc w:val="both"/>
        <w:rPr>
          <w:rFonts w:hint="eastAsia" w:ascii="宋体" w:hAnsi="宋体" w:eastAsia="宋体" w:cs="宋体"/>
          <w:sz w:val="24"/>
          <w:szCs w:val="24"/>
          <w:lang w:val="en-US" w:eastAsia="zh-CN"/>
        </w:rPr>
      </w:pPr>
    </w:p>
    <w:p>
      <w:r>
        <w:t>【待更新】表5.2和图5.3暂未同步更新。语义重编程基线已补充至5个随机种子，结果应更新为0.8068±0.0804；原始多尺度历史混合模型的seed=100004和seed=100005仍在运行，完成后需要统一更新表5.2、图5.3及对应文字分析。</w:t>
      </w:r>
    </w:p>
    <w:p w14:paraId="24B26A4A">
      <w:pPr>
        <w:ind w:firstLine="480" w:firstLineChars="200"/>
        <w:jc w:val="both"/>
        <w:rPr>
          <w:rFonts w:hint="eastAsia" w:ascii="Times New Roman" w:hAnsi="Times New Roman" w:eastAsia="宋体" w:cs="Times New Roman"/>
          <w:lang w:val="en-US" w:eastAsia="zh-CN"/>
        </w:rPr>
      </w:pPr>
      <w:r>
        <w:t>结合已补充的语义重编程实验结果可知，语义重编程基线模型补充seed=100004和seed=100005后，5个随机种子下的平均奖励为0.8068±0.0804，仍明显高于直接数值接入版本，说明将ABR数值状态映射到更具任务语义的表示空间，有助于提升大语言模型对码率决策状态的理解能力。上下文预对齐增强模型在5个随机种子下的平均奖励为0.8547±0.1000，高于语义重编程基线，但标准差也更大，表明引入历史动作和历史奖励后，模型在部分随机种子下能够获得性能提升，整体稳定性仍有不足。因此，预对齐机制需要结合稳定性约束或更合理的特征融合方式进行评价。</w:t>
      </w:r>
    </w:p>
    <w:p w14:paraId="404C90A8">
      <w:pPr>
        <w:ind w:firstLine="480" w:firstLineChars="200"/>
        <w:jc w:val="both"/>
        <w:rPr>
          <w:rFonts w:hint="eastAsia" w:ascii="Times New Roman" w:hAnsi="Times New Roman" w:eastAsia="宋体" w:cs="Times New Roman"/>
          <w:lang w:val="en-US" w:eastAsia="zh-CN"/>
        </w:rPr>
      </w:pPr>
      <w:r>
        <w:t>原始多尺度历史混合模型目前基于3个已完成随机种子统计，平均奖励为0.8683±0.0505。该结果说明多尺度历史信息能够在一定程度上增强模型对网络状态变化趋势的建模能力，但由于seed=100004和seed=100005仍在运行，当前结果主要作为早期中间消融对照使用。结合训练日志和逐seed结果来看，原始多尺度结构虽然具有提升性能上限的潜力，但也会增加模型复杂度，并带来一定的随机敏感性。若直接采用该结构作为最终模型，可能难以充分保证不同随机初始化条件下的性能稳定性。</w:t>
      </w:r>
    </w:p>
    <w:p w14:paraId="09E533E1">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为更直观地展示各消融模型之间的性能差异，本文进一步绘制了平均奖励对比图，如图 5.3 所示。</w:t>
      </w:r>
    </w:p>
    <w:p w14:paraId="2E2AF3DC">
      <w:pPr>
        <w:ind w:firstLine="480" w:firstLineChars="200"/>
        <w:jc w:val="both"/>
        <w:rPr>
          <w:rFonts w:hint="eastAsia" w:ascii="Times New Roman" w:hAnsi="Times New Roman" w:eastAsia="宋体" w:cs="Times New Roman"/>
          <w:lang w:val="en-US" w:eastAsia="zh-CN"/>
        </w:rPr>
      </w:pPr>
    </w:p>
    <w:p w14:paraId="7B1721F4">
      <w:pPr>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4428490" cy="2457450"/>
            <wp:effectExtent l="0" t="0" r="1016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
                    <a:stretch>
                      <a:fillRect/>
                    </a:stretch>
                  </pic:blipFill>
                  <pic:spPr>
                    <a:xfrm>
                      <a:off x="0" y="0"/>
                      <a:ext cx="4428490" cy="2457450"/>
                    </a:xfrm>
                    <a:prstGeom prst="rect">
                      <a:avLst/>
                    </a:prstGeom>
                    <a:noFill/>
                    <a:ln>
                      <a:noFill/>
                    </a:ln>
                  </pic:spPr>
                </pic:pic>
              </a:graphicData>
            </a:graphic>
          </wp:inline>
        </w:drawing>
      </w:r>
    </w:p>
    <w:p w14:paraId="01250112">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图5.3  大模型适配模块消融实验</w:t>
      </w:r>
    </w:p>
    <w:p w14:paraId="42517F39">
      <w:pPr>
        <w:ind w:firstLine="480" w:firstLineChars="200"/>
        <w:jc w:val="both"/>
        <w:rPr>
          <w:rFonts w:hint="eastAsia" w:ascii="Times New Roman" w:hAnsi="Times New Roman" w:eastAsia="宋体" w:cs="Times New Roman"/>
          <w:lang w:val="en-US" w:eastAsia="zh-CN"/>
        </w:rPr>
      </w:pPr>
    </w:p>
    <w:p w14:paraId="7127A83F">
      <w:pPr>
        <w:ind w:firstLine="480" w:firstLineChars="200"/>
        <w:jc w:val="both"/>
        <w:rPr>
          <w:rFonts w:hint="eastAsia" w:ascii="Times New Roman" w:hAnsi="Times New Roman" w:eastAsia="宋体" w:cs="Times New Roman"/>
          <w:lang w:val="en-US" w:eastAsia="zh-CN"/>
        </w:rPr>
      </w:pPr>
      <w:r>
        <w:t>从当前消融结果看，轻量化多尺度历史增强模型的平均奖励达到0.8967±0.0475，是当前消融实验中平均性能最高的模型。该结果表明，针对吞吐量历史这一关键时间序列特征进行轻量化多尺度建模，并通过门控机制保守注入历史增强特征，能够在保留历史趋势建模能力的同时降低结构复杂度。与目前3个随机种子下的原始多尺度历史混合模型相比，该方法在平均奖励和标准差方面均表现更优，初步说明本文提出的结构收缩策略能够提升模型性能和稳定性；原始多尺度历史混合模型补充seed=100004和seed=100005后，需要同步更新表5.2、图5.3和本段统计结论。</w:t>
      </w:r>
    </w:p>
    <w:p w14:paraId="790F7D54">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为了进一步分析模型在不同随机种子下的稳定性，本文对 Genet、上下文预对齐增强模型和轻量化多尺度历史增强模型的平均奖励分布进行比较，结果如图 5.4 所示。</w:t>
      </w:r>
    </w:p>
    <w:p w14:paraId="5677A858">
      <w:pPr>
        <w:jc w:val="both"/>
        <w:rPr>
          <w:rFonts w:hint="eastAsia" w:ascii="Times New Roman" w:hAnsi="Times New Roman" w:eastAsia="宋体" w:cs="Times New Roman"/>
          <w:lang w:val="en-US" w:eastAsia="zh-CN"/>
        </w:rPr>
      </w:pPr>
    </w:p>
    <w:p w14:paraId="46321462">
      <w:pPr>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3905250" cy="2582545"/>
            <wp:effectExtent l="0" t="0" r="0" b="825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3905250" cy="2582545"/>
                    </a:xfrm>
                    <a:prstGeom prst="rect">
                      <a:avLst/>
                    </a:prstGeom>
                    <a:noFill/>
                    <a:ln>
                      <a:noFill/>
                    </a:ln>
                  </pic:spPr>
                </pic:pic>
              </a:graphicData>
            </a:graphic>
          </wp:inline>
        </w:drawing>
      </w:r>
    </w:p>
    <w:p w14:paraId="708D617E">
      <w:pPr>
        <w:pStyle w:val="8"/>
        <w:ind w:firstLine="0" w:firstLineChars="0"/>
        <w:rPr>
          <w:rFonts w:hint="eastAsia" w:ascii="宋体" w:hAnsi="宋体" w:eastAsia="宋体" w:cs="宋体"/>
          <w:sz w:val="24"/>
          <w:szCs w:val="24"/>
          <w:lang w:val="en-US" w:eastAsia="zh-CN"/>
        </w:rPr>
      </w:pPr>
      <w:r>
        <w:rPr>
          <w:rFonts w:hint="eastAsia" w:ascii="Times New Roman" w:hAnsi="Times New Roman" w:eastAsia="宋体" w:cs="Times New Roman"/>
          <w:lang w:val="en-US" w:eastAsia="zh-CN"/>
        </w:rPr>
        <w:t>图5.4  多随机种子下的平均奖励稳定性</w:t>
      </w:r>
    </w:p>
    <w:p w14:paraId="308C13E6">
      <w:pPr>
        <w:ind w:firstLine="480" w:firstLineChars="200"/>
        <w:jc w:val="both"/>
        <w:rPr>
          <w:rFonts w:hint="eastAsia" w:ascii="Times New Roman" w:hAnsi="Times New Roman" w:eastAsia="宋体" w:cs="Times New Roman"/>
          <w:lang w:val="en-US" w:eastAsia="zh-CN"/>
        </w:rPr>
      </w:pPr>
      <w:r>
        <w:rPr>
          <w:rFonts w:ascii="宋体" w:hAnsi="宋体" w:eastAsia="宋体" w:cs="宋体"/>
          <w:sz w:val="24"/>
          <w:szCs w:val="24"/>
        </w:rPr>
        <w:t>由图 5.4 可以看出</w:t>
      </w:r>
      <w:r>
        <w:rPr>
          <w:rFonts w:hint="eastAsia" w:ascii="Times New Roman" w:hAnsi="Times New Roman" w:eastAsia="宋体" w:cs="Times New Roman"/>
          <w:lang w:val="en-US" w:eastAsia="zh-CN"/>
        </w:rPr>
        <w:t>，Genet 的标准差为 0.0243，说明其在当前测试协议下具有较好的稳定性；上下文预对齐增强模型的标准差为 0.1000，表明该模块单独使用时对随机初始化或训练过程较为敏感；轻量化多尺度历史增强模型的标准差为 0.0475，介于二者之间，说明其在一定程度上缓解了上下文预对齐增强模型带来的性能波动。</w:t>
      </w:r>
    </w:p>
    <w:p w14:paraId="3C12F48A">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上述结果表明，在分析模型性能提升时，需要同时考虑平均性能和稳定性。虽然轻量化多尺度历史增强模型的平均奖励高于 Genet，但其标准差仍大于 Genet，因此不宜将本文方法表述为在所有随机种子和所有测试轨迹上均稳定优于基线模型。更严谨的结论是：在 5 个随机种子的均值统计下，本文最终模型取得了最高平均奖励，体现出较好的平均 QoE 提升效果；同时，模型稳定性仍有进一步优化空间。</w:t>
      </w:r>
    </w:p>
    <w:p w14:paraId="5C80E64E">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从方法角度看，轻量化多尺度历史增强模型降低了上下文预对齐增强模型的波动，但尚未完全消除随机性影响。后续工作可从正则化约束、早停策略、随机种子集成以及更稳定的门控初始化等方面进一步降低模型方差，提高不同训练条件下的性能一致性。</w:t>
      </w:r>
    </w:p>
    <w:p w14:paraId="7999E2A5">
      <w:pPr>
        <w:pStyle w:val="3"/>
        <w:spacing w:before="120"/>
        <w:rPr>
          <w:rFonts w:hint="eastAsia" w:hAnsi="Times New Roman" w:cs="Times New Roman"/>
          <w:bCs/>
        </w:rPr>
      </w:pPr>
      <w:bookmarkStart w:id="5" w:name="_Toc22821"/>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6</w:t>
      </w:r>
      <w:r>
        <w:rPr>
          <w:rFonts w:hint="eastAsia" w:hAnsi="Times New Roman" w:cs="Times New Roman"/>
          <w:bCs/>
        </w:rPr>
        <w:t xml:space="preserve">  分布级与逐轨迹分析</w:t>
      </w:r>
      <w:bookmarkEnd w:id="5"/>
    </w:p>
    <w:p w14:paraId="0DE29985">
      <w:pPr>
        <w:ind w:firstLine="480" w:firstLineChars="200"/>
        <w:jc w:val="both"/>
        <w:rPr>
          <w:rFonts w:ascii="宋体" w:hAnsi="宋体" w:eastAsia="宋体" w:cs="宋体"/>
          <w:sz w:val="24"/>
          <w:szCs w:val="24"/>
        </w:rPr>
      </w:pPr>
      <w:r>
        <w:rPr>
          <w:rFonts w:ascii="宋体" w:hAnsi="宋体" w:eastAsia="宋体" w:cs="宋体"/>
          <w:sz w:val="24"/>
          <w:szCs w:val="24"/>
        </w:rPr>
        <w:t>为了进一步判断平均奖励提升的来源，本文对不同方法在各条测试 trace 上的平均奖励分布进行统计，并绘制 per-trace 平均奖励的 CDF 曲线，结果如图 5.5 所示。</w:t>
      </w:r>
    </w:p>
    <w:p w14:paraId="01F91640">
      <w:pPr>
        <w:ind w:firstLine="480" w:firstLineChars="200"/>
        <w:jc w:val="both"/>
        <w:rPr>
          <w:rFonts w:hint="eastAsia" w:ascii="宋体" w:hAnsi="宋体" w:eastAsia="宋体" w:cs="宋体"/>
          <w:sz w:val="24"/>
          <w:szCs w:val="24"/>
          <w:lang w:val="en-US" w:eastAsia="zh-CN"/>
        </w:rPr>
      </w:pPr>
    </w:p>
    <w:p w14:paraId="62AC58ED">
      <w:pPr>
        <w:jc w:val="center"/>
        <w:rPr>
          <w:rFonts w:hint="eastAsia" w:ascii="Times New Roman" w:hAnsi="Times New Roman" w:eastAsia="宋体" w:cs="Times New Roman"/>
          <w:lang w:val="en-US" w:eastAsia="zh-CN"/>
        </w:rPr>
      </w:pPr>
      <w:r>
        <w:drawing>
          <wp:inline distT="0" distB="0" distL="114300" distR="114300">
            <wp:extent cx="4274820" cy="2867660"/>
            <wp:effectExtent l="0" t="0" r="11430" b="889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
                    <a:stretch>
                      <a:fillRect/>
                    </a:stretch>
                  </pic:blipFill>
                  <pic:spPr>
                    <a:xfrm>
                      <a:off x="0" y="0"/>
                      <a:ext cx="4274820" cy="2867660"/>
                    </a:xfrm>
                    <a:prstGeom prst="rect">
                      <a:avLst/>
                    </a:prstGeom>
                    <a:noFill/>
                    <a:ln>
                      <a:noFill/>
                    </a:ln>
                  </pic:spPr>
                </pic:pic>
              </a:graphicData>
            </a:graphic>
          </wp:inline>
        </w:drawing>
      </w:r>
    </w:p>
    <w:p w14:paraId="78A16FB0">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图5.5  不同方法在测试trace上的平均奖励CDF</w:t>
      </w:r>
    </w:p>
    <w:p w14:paraId="640EEE1B">
      <w:pPr>
        <w:ind w:firstLine="480" w:firstLineChars="200"/>
        <w:jc w:val="both"/>
        <w:rPr>
          <w:rFonts w:hint="eastAsia" w:ascii="Times New Roman" w:hAnsi="Times New Roman" w:eastAsia="宋体" w:cs="Times New Roman"/>
          <w:lang w:val="en-US" w:eastAsia="zh-CN"/>
        </w:rPr>
      </w:pPr>
    </w:p>
    <w:p w14:paraId="02C67111">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由图 5.5 可以看出，CDF 分布图能够反映模型性能提升是来自整体分布右移，还是主要由少数网络轨迹上的较大收益带来。轻量化多尺度历史增强模型相对于 Genet 在高奖励区间表现更突出，但在部分 trace 上并未取得优势。这说明本文最终模型的平均奖励提升并不是对所有网络轨迹的全面覆盖，而是主要来自部分适合历史趋势建模的 trace 上的较大收益。</w:t>
      </w:r>
    </w:p>
    <w:p w14:paraId="0DF1D5C5">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为进一步量化最终模型相对于 Genet 在逐 trace 层面的差异，本文统计了两种方法在公共测试 trace 上的奖励差值，结果如图 5.6 所示。</w:t>
      </w:r>
    </w:p>
    <w:p w14:paraId="266A26A7">
      <w:pPr>
        <w:ind w:firstLine="480" w:firstLineChars="200"/>
        <w:jc w:val="both"/>
        <w:rPr>
          <w:rFonts w:hint="eastAsia" w:ascii="Times New Roman" w:hAnsi="Times New Roman" w:eastAsia="宋体" w:cs="Times New Roman"/>
          <w:lang w:val="en-US" w:eastAsia="zh-CN"/>
        </w:rPr>
      </w:pPr>
    </w:p>
    <w:p w14:paraId="3CB322CD">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5394960" cy="2336800"/>
            <wp:effectExtent l="0" t="0" r="15240" b="635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11"/>
                    <a:stretch>
                      <a:fillRect/>
                    </a:stretch>
                  </pic:blipFill>
                  <pic:spPr>
                    <a:xfrm>
                      <a:off x="0" y="0"/>
                      <a:ext cx="5394960" cy="2336800"/>
                    </a:xfrm>
                    <a:prstGeom prst="rect">
                      <a:avLst/>
                    </a:prstGeom>
                    <a:noFill/>
                    <a:ln>
                      <a:noFill/>
                    </a:ln>
                  </pic:spPr>
                </pic:pic>
              </a:graphicData>
            </a:graphic>
          </wp:inline>
        </w:drawing>
      </w:r>
    </w:p>
    <w:p w14:paraId="097C8CF8">
      <w:pPr>
        <w:pStyle w:val="8"/>
        <w:keepNext w:val="0"/>
        <w:keepLines w:val="0"/>
        <w:pageBreakBefore w:val="0"/>
        <w:widowControl/>
        <w:kinsoku/>
        <w:wordWrap/>
        <w:overflowPunct/>
        <w:topLinePunct w:val="0"/>
        <w:autoSpaceDE/>
        <w:autoSpaceDN/>
        <w:bidi w:val="0"/>
        <w:adjustRightInd/>
        <w:snapToGrid w:val="0"/>
        <w:ind w:firstLine="0" w:firstLineChars="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图5.6  轻量化多尺度历史增强模型相对Genet的逐trace奖励增益</w:t>
      </w:r>
    </w:p>
    <w:p w14:paraId="43DE4764">
      <w:pPr>
        <w:ind w:firstLine="480" w:firstLineChars="200"/>
        <w:jc w:val="both"/>
        <w:rPr>
          <w:rFonts w:hint="eastAsia" w:ascii="Times New Roman" w:hAnsi="Times New Roman" w:eastAsia="宋体" w:cs="Times New Roman"/>
          <w:lang w:val="en-US" w:eastAsia="zh-CN"/>
        </w:rPr>
      </w:pPr>
    </w:p>
    <w:p w14:paraId="11811B7C">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由图 5.6 可以看出，最终模型在 100 条公共 trace 中的胜率为 39.0%，平均奖励增益为 0.0380，中位数增益为 -0.0096。该结果看似与“最终模型平均奖励更高”的结论存在一定张力，但实际上反映了模型收益的分布特征：最终模型并不是在多数 trace 上均取得小幅领先，而是在部分 trace 上获得了较大的正向增益，从而拉高了整体平均奖励。</w:t>
      </w:r>
    </w:p>
    <w:p w14:paraId="7E5A52CC">
      <w:pPr>
        <w:ind w:firstLine="48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这一发现需要在实验分析中明确说明，因为它直接影响对方法适用性的判断。若目标是提高多数网络轨迹下的稳定收益，仅依赖当前模型仍然不充分；若目标是提升总体平均 QoE，轻量化多尺度历史增强模型已经表现出一定优势。因此，本文将最终结论限定为“在平均 QoE 指标上取得改善”，而不是“在逐轨迹层面普遍优于基线”。这种限定能够使实验结论更加严谨，也为后续从稳定性优化和跨轨迹泛化能力提升等方向继续改进提供依据。</w:t>
      </w:r>
      <w:bookmarkStart w:id="6" w:name="_Toc18824"/>
    </w:p>
    <w:p w14:paraId="3DE32C68">
      <w:pPr>
        <w:pStyle w:val="3"/>
        <w:spacing w:before="120"/>
        <w:rPr>
          <w:rFonts w:hint="eastAsia" w:hAnsi="Times New Roman" w:cs="Times New Roman"/>
          <w:bCs/>
        </w:rPr>
      </w:pPr>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7</w:t>
      </w:r>
      <w:r>
        <w:rPr>
          <w:rFonts w:hint="eastAsia" w:hAnsi="Times New Roman" w:cs="Times New Roman"/>
          <w:bCs/>
        </w:rPr>
        <w:t xml:space="preserve">  同源网络轨迹验证子集补充实验</w:t>
      </w:r>
      <w:bookmarkEnd w:id="6"/>
    </w:p>
    <w:p w14:paraId="7425A76F">
      <w:pPr>
        <w:ind w:firstLine="480" w:firstLineChars="200"/>
        <w:jc w:val="both"/>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主实验基于固定测试子集进行评估，能够比较不同方法在相同测试条件下的平均性能，但仍可能受到具体轨迹划分的影响。为检验结论是否过度依赖主测试子集，本文进一步选取与主测试集来源相同、但轨迹划分不同的验证子集进行补充实验。该实验的目的不是验证跨数据源泛化能力，而是检查方法在同一网络数据来源内部是否仍能保持可观察的平均收益。</w:t>
      </w:r>
    </w:p>
    <w:p w14:paraId="58A45AAF">
      <w:pPr>
        <w:ind w:firstLine="480" w:firstLineChars="200"/>
        <w:jc w:val="both"/>
        <w:rPr>
          <w:rFonts w:ascii="宋体" w:hAnsi="宋体" w:eastAsia="宋体" w:cs="宋体"/>
          <w:sz w:val="24"/>
          <w:szCs w:val="24"/>
        </w:rPr>
      </w:pPr>
      <w:r>
        <w:rPr>
          <w:rFonts w:hint="default" w:ascii="Times New Roman" w:hAnsi="Times New Roman" w:eastAsia="宋体" w:cs="Times New Roman"/>
          <w:lang w:val="en-US" w:eastAsia="zh-CN"/>
        </w:rPr>
        <w:t>实验设置保持与主实验一致：视频配置、评价指标和统计口径不变，仅将网络轨迹替换为同源验证子集。本文分别测试 Genet 和最终轻量化多尺度历史增强模型，每种方法均采用 5 个随机种子，并在 100 条网络轨迹上统计平均奖励、平均码率、重缓冲时间和平滑性惩罚。这样的设计能够尽量隔离</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轨迹划分变化</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这一因素，使结果更适合用于判断主实验结论的稳健性</w:t>
      </w:r>
      <w:r>
        <w:rPr>
          <w:rFonts w:hint="eastAsia" w:ascii="Times New Roman" w:hAnsi="Times New Roman" w:eastAsia="宋体" w:cs="Times New Roman"/>
          <w:lang w:val="en-US" w:eastAsia="zh-CN"/>
        </w:rPr>
        <w:t>，</w:t>
      </w:r>
      <w:r>
        <w:rPr>
          <w:rFonts w:ascii="宋体" w:hAnsi="宋体" w:eastAsia="宋体" w:cs="宋体"/>
          <w:sz w:val="24"/>
          <w:szCs w:val="24"/>
        </w:rPr>
        <w:t>结果如表 5.3 所示。</w:t>
      </w:r>
    </w:p>
    <w:p w14:paraId="66A15F56">
      <w:pPr>
        <w:ind w:firstLine="480" w:firstLineChars="200"/>
        <w:jc w:val="both"/>
        <w:rPr>
          <w:rFonts w:hint="default" w:ascii="宋体" w:hAnsi="宋体" w:eastAsia="宋体" w:cs="宋体"/>
          <w:sz w:val="24"/>
          <w:szCs w:val="24"/>
          <w:lang w:val="en-US" w:eastAsia="zh-CN"/>
        </w:rPr>
      </w:pPr>
    </w:p>
    <w:p w14:paraId="05B2C6C6">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表5.3  FCC验证集上的补充实验结果</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0"/>
        <w:gridCol w:w="1736"/>
        <w:gridCol w:w="1662"/>
        <w:gridCol w:w="1737"/>
        <w:gridCol w:w="1737"/>
      </w:tblGrid>
      <w:tr w14:paraId="1B42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single" w:color="000000" w:sz="12" w:space="0"/>
              <w:left w:val="nil"/>
              <w:bottom w:val="single" w:color="000000" w:sz="4" w:space="0"/>
              <w:right w:val="nil"/>
              <w:tl2br w:val="nil"/>
            </w:tcBorders>
            <w:shd w:val="clear" w:color="auto" w:fill="FFFFFF"/>
            <w:noWrap w:val="0"/>
            <w:vAlign w:val="center"/>
          </w:tcPr>
          <w:p w14:paraId="3B7D368D">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Method</w:t>
            </w:r>
          </w:p>
        </w:tc>
        <w:tc>
          <w:tcPr>
            <w:tcW w:w="1872" w:type="dxa"/>
            <w:tcBorders>
              <w:top w:val="single" w:color="000000" w:sz="12" w:space="0"/>
              <w:left w:val="nil"/>
              <w:bottom w:val="single" w:color="000000" w:sz="4" w:space="0"/>
              <w:right w:val="nil"/>
            </w:tcBorders>
            <w:shd w:val="clear" w:color="auto" w:fill="FFFFFF"/>
            <w:noWrap w:val="0"/>
            <w:vAlign w:val="center"/>
          </w:tcPr>
          <w:p w14:paraId="4E1681CA">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Mean reward</w:t>
            </w:r>
          </w:p>
        </w:tc>
        <w:tc>
          <w:tcPr>
            <w:tcW w:w="1872" w:type="dxa"/>
            <w:tcBorders>
              <w:top w:val="single" w:color="000000" w:sz="12" w:space="0"/>
              <w:left w:val="nil"/>
              <w:bottom w:val="single" w:color="000000" w:sz="4" w:space="0"/>
              <w:right w:val="nil"/>
            </w:tcBorders>
            <w:shd w:val="clear" w:color="auto" w:fill="FFFFFF"/>
            <w:noWrap w:val="0"/>
            <w:vAlign w:val="center"/>
          </w:tcPr>
          <w:p w14:paraId="41665E28">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Bitrate</w:t>
            </w:r>
          </w:p>
        </w:tc>
        <w:tc>
          <w:tcPr>
            <w:tcW w:w="1872" w:type="dxa"/>
            <w:tcBorders>
              <w:top w:val="single" w:color="000000" w:sz="12" w:space="0"/>
              <w:left w:val="nil"/>
              <w:bottom w:val="single" w:color="000000" w:sz="4" w:space="0"/>
              <w:right w:val="nil"/>
            </w:tcBorders>
            <w:shd w:val="clear" w:color="auto" w:fill="FFFFFF"/>
            <w:noWrap w:val="0"/>
            <w:vAlign w:val="center"/>
          </w:tcPr>
          <w:p w14:paraId="3B570205">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Rebuffering</w:t>
            </w:r>
          </w:p>
        </w:tc>
        <w:tc>
          <w:tcPr>
            <w:tcW w:w="1872" w:type="dxa"/>
            <w:tcBorders>
              <w:top w:val="single" w:color="000000" w:sz="12" w:space="0"/>
              <w:left w:val="nil"/>
              <w:bottom w:val="single" w:color="000000" w:sz="4" w:space="0"/>
              <w:right w:val="nil"/>
            </w:tcBorders>
            <w:shd w:val="clear" w:color="auto" w:fill="FFFFFF"/>
            <w:noWrap w:val="0"/>
            <w:vAlign w:val="center"/>
          </w:tcPr>
          <w:p w14:paraId="19E0FEC7">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Smoothness</w:t>
            </w:r>
          </w:p>
        </w:tc>
      </w:tr>
      <w:tr w14:paraId="0FE01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single" w:color="000000" w:sz="4" w:space="0"/>
              <w:left w:val="nil"/>
              <w:bottom w:val="nil"/>
              <w:right w:val="nil"/>
            </w:tcBorders>
            <w:shd w:val="clear" w:color="auto" w:fill="FFFFFF"/>
            <w:noWrap w:val="0"/>
            <w:vAlign w:val="center"/>
          </w:tcPr>
          <w:p w14:paraId="59765C22">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Genet</w:t>
            </w:r>
          </w:p>
        </w:tc>
        <w:tc>
          <w:tcPr>
            <w:tcW w:w="1872" w:type="dxa"/>
            <w:tcBorders>
              <w:top w:val="single" w:color="000000" w:sz="4" w:space="0"/>
              <w:left w:val="nil"/>
              <w:bottom w:val="nil"/>
              <w:right w:val="nil"/>
            </w:tcBorders>
            <w:shd w:val="clear" w:color="auto" w:fill="FFFFFF"/>
            <w:noWrap w:val="0"/>
            <w:vAlign w:val="center"/>
          </w:tcPr>
          <w:p w14:paraId="47B8541F">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0.7355±0.0327</w:t>
            </w:r>
          </w:p>
        </w:tc>
        <w:tc>
          <w:tcPr>
            <w:tcW w:w="1872" w:type="dxa"/>
            <w:tcBorders>
              <w:top w:val="single" w:color="000000" w:sz="4" w:space="0"/>
              <w:left w:val="nil"/>
              <w:bottom w:val="nil"/>
              <w:right w:val="nil"/>
            </w:tcBorders>
            <w:shd w:val="clear" w:color="auto" w:fill="FFFFFF"/>
            <w:noWrap w:val="0"/>
            <w:vAlign w:val="center"/>
          </w:tcPr>
          <w:p w14:paraId="1B7BCD0C">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1081.2±4.6</w:t>
            </w:r>
          </w:p>
        </w:tc>
        <w:tc>
          <w:tcPr>
            <w:tcW w:w="1872" w:type="dxa"/>
            <w:tcBorders>
              <w:top w:val="single" w:color="000000" w:sz="4" w:space="0"/>
              <w:left w:val="nil"/>
              <w:bottom w:val="nil"/>
              <w:right w:val="nil"/>
            </w:tcBorders>
            <w:shd w:val="clear" w:color="auto" w:fill="FFFFFF"/>
            <w:noWrap w:val="0"/>
            <w:vAlign w:val="center"/>
          </w:tcPr>
          <w:p w14:paraId="5B0DB33A">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0.1012±0.0069</w:t>
            </w:r>
          </w:p>
        </w:tc>
        <w:tc>
          <w:tcPr>
            <w:tcW w:w="1872" w:type="dxa"/>
            <w:tcBorders>
              <w:top w:val="single" w:color="000000" w:sz="4" w:space="0"/>
              <w:left w:val="nil"/>
              <w:bottom w:val="nil"/>
              <w:right w:val="nil"/>
            </w:tcBorders>
            <w:shd w:val="clear" w:color="auto" w:fill="FFFFFF"/>
            <w:noWrap w:val="0"/>
            <w:vAlign w:val="center"/>
          </w:tcPr>
          <w:p w14:paraId="0897AEF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0.0848±0.0020</w:t>
            </w:r>
          </w:p>
        </w:tc>
      </w:tr>
      <w:tr w14:paraId="0A6EC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nil"/>
              <w:left w:val="nil"/>
              <w:bottom w:val="single" w:color="000000" w:sz="12" w:space="0"/>
              <w:right w:val="nil"/>
            </w:tcBorders>
            <w:shd w:val="clear" w:color="auto" w:fill="FFFFFF"/>
            <w:noWrap w:val="0"/>
            <w:vAlign w:val="center"/>
          </w:tcPr>
          <w:p w14:paraId="24A6DE3E">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Lightweight multi-scale history enhanced model</w:t>
            </w:r>
          </w:p>
        </w:tc>
        <w:tc>
          <w:tcPr>
            <w:tcW w:w="1872" w:type="dxa"/>
            <w:tcBorders>
              <w:top w:val="nil"/>
              <w:left w:val="nil"/>
              <w:bottom w:val="single" w:color="000000" w:sz="12" w:space="0"/>
              <w:right w:val="nil"/>
            </w:tcBorders>
            <w:shd w:val="clear" w:color="auto" w:fill="FFFFFF"/>
            <w:noWrap w:val="0"/>
            <w:vAlign w:val="center"/>
          </w:tcPr>
          <w:p w14:paraId="5151D95F">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0.7410±0.0663</w:t>
            </w:r>
          </w:p>
        </w:tc>
        <w:tc>
          <w:tcPr>
            <w:tcW w:w="1872" w:type="dxa"/>
            <w:tcBorders>
              <w:top w:val="nil"/>
              <w:left w:val="nil"/>
              <w:bottom w:val="single" w:color="000000" w:sz="12" w:space="0"/>
              <w:right w:val="nil"/>
            </w:tcBorders>
            <w:shd w:val="clear" w:color="auto" w:fill="FFFFFF"/>
            <w:noWrap w:val="0"/>
            <w:vAlign w:val="center"/>
          </w:tcPr>
          <w:p w14:paraId="0522E301">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1020.3±31.5</w:t>
            </w:r>
          </w:p>
        </w:tc>
        <w:tc>
          <w:tcPr>
            <w:tcW w:w="1872" w:type="dxa"/>
            <w:tcBorders>
              <w:top w:val="nil"/>
              <w:left w:val="nil"/>
              <w:bottom w:val="single" w:color="000000" w:sz="12" w:space="0"/>
              <w:right w:val="nil"/>
            </w:tcBorders>
            <w:shd w:val="clear" w:color="auto" w:fill="FFFFFF"/>
            <w:noWrap w:val="0"/>
            <w:vAlign w:val="center"/>
          </w:tcPr>
          <w:p w14:paraId="231E3F79">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0.0868±0.0146</w:t>
            </w:r>
          </w:p>
        </w:tc>
        <w:tc>
          <w:tcPr>
            <w:tcW w:w="1872" w:type="dxa"/>
            <w:tcBorders>
              <w:top w:val="nil"/>
              <w:left w:val="nil"/>
              <w:bottom w:val="single" w:color="000000" w:sz="12" w:space="0"/>
              <w:right w:val="nil"/>
            </w:tcBorders>
            <w:shd w:val="clear" w:color="auto" w:fill="FFFFFF"/>
            <w:noWrap w:val="0"/>
            <w:vAlign w:val="center"/>
          </w:tcPr>
          <w:p w14:paraId="6475079D">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0.0804±0.0243</w:t>
            </w:r>
          </w:p>
        </w:tc>
      </w:tr>
    </w:tbl>
    <w:p w14:paraId="3EDC9A01">
      <w:pPr>
        <w:ind w:firstLine="480" w:firstLineChars="200"/>
        <w:jc w:val="both"/>
        <w:rPr>
          <w:rFonts w:hint="default" w:ascii="Times New Roman" w:hAnsi="Times New Roman" w:eastAsia="宋体" w:cs="Times New Roman"/>
          <w:lang w:val="en-US" w:eastAsia="zh-CN"/>
        </w:rPr>
      </w:pPr>
    </w:p>
    <w:p w14:paraId="1F672C0A">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从表 5.3 可以看出，最终模型在验证子集上的平均奖励为 0.7410，高于 Genet 的 0.7355，绝对提升为 0.0055，相对提升约 0.75%。该结果说明，最终模型在同源验证子集上仍保持小幅均值优势。进一步观察 QoE 组成项可知，最终模型的平均码率从 1081.2 Kbps 降至 1020.3 Kbps，但重缓冲时间从 0.1012 降至 0.0868，约下降 14.2%，平滑性惩罚也略有下降。这表明该子集上的收益主要来自更保守的码率选择和更低卡顿风险，而不是来自更高平均码率。</w:t>
      </w:r>
    </w:p>
    <w:p w14:paraId="67C1C119">
      <w:pPr>
        <w:ind w:firstLine="480" w:firstLineChars="200"/>
        <w:jc w:val="both"/>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需要注意的是，该子集上的平均增益明显小于主测试中的 0.0380，说明模型优势对网络轨迹划分具有一定敏感性。因此，该实验应被解释为对主实验结论的补充支持，而不是强泛化结论。更准确地说，本文方法在主测试配置下表现出较明显的平均 QoE 提升，在同源验证子集上保持小幅优势，但尚不能证明其在所有同源轨迹或更广泛网络环境下稳定领先。</w:t>
      </w:r>
    </w:p>
    <w:p w14:paraId="31BF6693">
      <w:pPr>
        <w:pStyle w:val="3"/>
        <w:spacing w:before="120"/>
        <w:rPr>
          <w:rFonts w:hint="eastAsia" w:hAnsi="Times New Roman" w:cs="Times New Roman"/>
          <w:bCs/>
        </w:rPr>
      </w:pPr>
      <w:bookmarkStart w:id="7" w:name="_Toc1641"/>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8</w:t>
      </w:r>
      <w:r>
        <w:rPr>
          <w:rFonts w:hint="eastAsia" w:hAnsi="Times New Roman" w:cs="Times New Roman"/>
          <w:bCs/>
        </w:rPr>
        <w:t xml:space="preserve">  </w:t>
      </w:r>
      <w:r>
        <w:t>跨视频配置补充实验</w:t>
      </w:r>
      <w:bookmarkEnd w:id="7"/>
    </w:p>
    <w:p w14:paraId="324C3514">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为进一步分析模型对视频分片大小分布变化的适应能力，本文在保持网络轨迹不变的条件下，将主实验中的视频配置替换为另一组固定视频配置进行补充测试。ABR 决策中的下载时间同时受到网络吞吐量和视频分片大小影响；即使网络轨迹完全相同，不同视频内容也会改变各码率档位对应的下载成本，进而影响缓冲区演化、重缓冲风险和码率切换代价。因此，该实验主要用于检验最终模型是否对主视频配置存在过度适应，而不是用于验证跨网络来源泛化能力。</w:t>
      </w:r>
      <w:r>
        <w:rPr>
          <w:rFonts w:ascii="宋体" w:hAnsi="宋体" w:eastAsia="宋体" w:cs="宋体"/>
          <w:sz w:val="24"/>
          <w:szCs w:val="24"/>
        </w:rPr>
        <w:t>两组视频配置的分片大小分布如图 5.7 所示。</w:t>
      </w:r>
    </w:p>
    <w:p w14:paraId="5E5ED145">
      <w:pPr>
        <w:ind w:firstLine="480" w:firstLineChars="200"/>
        <w:jc w:val="both"/>
        <w:rPr>
          <w:rFonts w:hint="default" w:ascii="Times New Roman" w:hAnsi="Times New Roman" w:eastAsia="宋体" w:cs="Times New Roman"/>
          <w:lang w:val="en-US" w:eastAsia="zh-CN"/>
        </w:rPr>
      </w:pPr>
    </w:p>
    <w:p w14:paraId="5BD77655">
      <w:pPr>
        <w:jc w:val="center"/>
      </w:pPr>
      <w:r>
        <w:drawing>
          <wp:inline distT="0" distB="0" distL="114300" distR="114300">
            <wp:extent cx="4890135" cy="1995805"/>
            <wp:effectExtent l="0" t="0" r="5715" b="4445"/>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2"/>
                    <a:stretch>
                      <a:fillRect/>
                    </a:stretch>
                  </pic:blipFill>
                  <pic:spPr>
                    <a:xfrm>
                      <a:off x="0" y="0"/>
                      <a:ext cx="4890135" cy="1995805"/>
                    </a:xfrm>
                    <a:prstGeom prst="rect">
                      <a:avLst/>
                    </a:prstGeom>
                    <a:noFill/>
                    <a:ln>
                      <a:noFill/>
                    </a:ln>
                  </pic:spPr>
                </pic:pic>
              </a:graphicData>
            </a:graphic>
          </wp:inline>
        </w:drawing>
      </w:r>
    </w:p>
    <w:p w14:paraId="0E251C8C">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图5.7  主视频配置与补充视频配置的分片大小分布对比</w:t>
      </w:r>
    </w:p>
    <w:p w14:paraId="1F849322">
      <w:pPr>
        <w:pStyle w:val="8"/>
        <w:ind w:firstLine="0" w:firstLineChars="0"/>
        <w:rPr>
          <w:rFonts w:hint="default" w:eastAsia="宋体" w:cs="Times New Roman"/>
          <w:lang w:val="en-US" w:eastAsia="zh-CN"/>
        </w:rPr>
      </w:pPr>
    </w:p>
    <w:p w14:paraId="73CB9BE4">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由图 5.7 可见，补充视频配置在各码率档位下的分片大小整体高于主视频配置，平均分片大小约为主视频配置的 1.20 倍。这意味着在相同网络吞吐条件下，选择相同码率动作时，补充视频配置通常需要更长下载时间，并更容易消耗缓冲区。该差异为后续性能变化提供了直接解释：若模型未能充分感知分片大小增大带来的下载风险，就可能在较高码率选择下产生更多重缓冲。</w:t>
      </w:r>
    </w:p>
    <w:p w14:paraId="4F3E716D">
      <w:pPr>
        <w:ind w:firstLine="480" w:firstLineChars="200"/>
        <w:jc w:val="both"/>
        <w:rPr>
          <w:rFonts w:hint="default" w:ascii="Times New Roman" w:hAnsi="Times New Roman" w:eastAsia="宋体" w:cs="Times New Roman"/>
          <w:lang w:val="en-US" w:eastAsia="zh-CN"/>
        </w:rPr>
      </w:pPr>
      <w:r>
        <w:rPr>
          <w:rFonts w:ascii="宋体" w:hAnsi="宋体" w:eastAsia="宋体" w:cs="宋体"/>
          <w:sz w:val="24"/>
          <w:szCs w:val="24"/>
        </w:rPr>
        <w:t>跨视频配置下的补充实验结果如表 5.4 所示。</w:t>
      </w:r>
    </w:p>
    <w:p w14:paraId="73D8510C">
      <w:pPr>
        <w:ind w:firstLine="480" w:firstLineChars="200"/>
        <w:jc w:val="both"/>
        <w:rPr>
          <w:rFonts w:hint="default" w:ascii="Times New Roman" w:hAnsi="Times New Roman" w:eastAsia="宋体" w:cs="Times New Roman"/>
          <w:lang w:val="en-US" w:eastAsia="zh-CN"/>
        </w:rPr>
      </w:pPr>
    </w:p>
    <w:p w14:paraId="0B203244">
      <w:pPr>
        <w:pStyle w:val="8"/>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表5.4  跨视频配置下 Genet 与最终模型的补充实验结果</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1157"/>
        <w:gridCol w:w="1526"/>
        <w:gridCol w:w="1377"/>
        <w:gridCol w:w="1526"/>
        <w:gridCol w:w="1526"/>
      </w:tblGrid>
      <w:tr w14:paraId="60864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single" w:color="000000" w:sz="12" w:space="0"/>
              <w:left w:val="nil"/>
              <w:bottom w:val="single" w:color="000000" w:sz="4" w:space="0"/>
              <w:right w:val="nil"/>
              <w:tl2br w:val="nil"/>
            </w:tcBorders>
            <w:shd w:val="clear" w:color="auto" w:fill="FFFFFF"/>
            <w:noWrap w:val="0"/>
            <w:vAlign w:val="center"/>
          </w:tcPr>
          <w:p w14:paraId="65981018">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Method</w:t>
            </w:r>
          </w:p>
        </w:tc>
        <w:tc>
          <w:tcPr>
            <w:tcW w:w="1560" w:type="dxa"/>
            <w:tcBorders>
              <w:top w:val="single" w:color="000000" w:sz="12" w:space="0"/>
              <w:left w:val="nil"/>
              <w:bottom w:val="single" w:color="000000" w:sz="4" w:space="0"/>
              <w:right w:val="nil"/>
            </w:tcBorders>
            <w:shd w:val="clear" w:color="auto" w:fill="FFFFFF"/>
            <w:noWrap w:val="0"/>
            <w:vAlign w:val="center"/>
          </w:tcPr>
          <w:p w14:paraId="05B5E15F">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Seeds</w:t>
            </w:r>
          </w:p>
        </w:tc>
        <w:tc>
          <w:tcPr>
            <w:tcW w:w="1560" w:type="dxa"/>
            <w:tcBorders>
              <w:top w:val="single" w:color="000000" w:sz="12" w:space="0"/>
              <w:left w:val="nil"/>
              <w:bottom w:val="single" w:color="000000" w:sz="4" w:space="0"/>
              <w:right w:val="nil"/>
            </w:tcBorders>
            <w:shd w:val="clear" w:color="auto" w:fill="FFFFFF"/>
            <w:noWrap w:val="0"/>
            <w:vAlign w:val="center"/>
          </w:tcPr>
          <w:p w14:paraId="3A39413B">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Mean reward</w:t>
            </w:r>
          </w:p>
        </w:tc>
        <w:tc>
          <w:tcPr>
            <w:tcW w:w="1560" w:type="dxa"/>
            <w:tcBorders>
              <w:top w:val="single" w:color="000000" w:sz="12" w:space="0"/>
              <w:left w:val="nil"/>
              <w:bottom w:val="single" w:color="000000" w:sz="4" w:space="0"/>
              <w:right w:val="nil"/>
            </w:tcBorders>
            <w:shd w:val="clear" w:color="auto" w:fill="FFFFFF"/>
            <w:noWrap w:val="0"/>
            <w:vAlign w:val="center"/>
          </w:tcPr>
          <w:p w14:paraId="3E6C5A36">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Bitrate</w:t>
            </w:r>
          </w:p>
        </w:tc>
        <w:tc>
          <w:tcPr>
            <w:tcW w:w="1560" w:type="dxa"/>
            <w:tcBorders>
              <w:top w:val="single" w:color="000000" w:sz="12" w:space="0"/>
              <w:left w:val="nil"/>
              <w:bottom w:val="single" w:color="000000" w:sz="4" w:space="0"/>
              <w:right w:val="nil"/>
            </w:tcBorders>
            <w:shd w:val="clear" w:color="auto" w:fill="FFFFFF"/>
            <w:noWrap w:val="0"/>
            <w:vAlign w:val="center"/>
          </w:tcPr>
          <w:p w14:paraId="3496B415">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Rebuffering</w:t>
            </w:r>
          </w:p>
        </w:tc>
        <w:tc>
          <w:tcPr>
            <w:tcW w:w="1560" w:type="dxa"/>
            <w:tcBorders>
              <w:top w:val="single" w:color="000000" w:sz="12" w:space="0"/>
              <w:left w:val="nil"/>
              <w:bottom w:val="single" w:color="000000" w:sz="4" w:space="0"/>
              <w:right w:val="nil"/>
            </w:tcBorders>
            <w:shd w:val="clear" w:color="auto" w:fill="FFFFFF"/>
            <w:noWrap w:val="0"/>
            <w:vAlign w:val="center"/>
          </w:tcPr>
          <w:p w14:paraId="48C8B8BC">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Smoothness</w:t>
            </w:r>
          </w:p>
        </w:tc>
      </w:tr>
      <w:tr w14:paraId="54F37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single" w:color="000000" w:sz="4" w:space="0"/>
              <w:left w:val="nil"/>
              <w:bottom w:val="nil"/>
              <w:right w:val="nil"/>
            </w:tcBorders>
            <w:shd w:val="clear" w:color="auto" w:fill="FFFFFF"/>
            <w:noWrap w:val="0"/>
            <w:vAlign w:val="center"/>
          </w:tcPr>
          <w:p w14:paraId="6CC8592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Genet</w:t>
            </w:r>
          </w:p>
        </w:tc>
        <w:tc>
          <w:tcPr>
            <w:tcW w:w="1560" w:type="dxa"/>
            <w:tcBorders>
              <w:top w:val="single" w:color="000000" w:sz="4" w:space="0"/>
              <w:left w:val="nil"/>
              <w:bottom w:val="nil"/>
              <w:right w:val="nil"/>
            </w:tcBorders>
            <w:shd w:val="clear" w:color="auto" w:fill="FFFFFF"/>
            <w:noWrap w:val="0"/>
            <w:vAlign w:val="center"/>
          </w:tcPr>
          <w:p w14:paraId="5675A892">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5</w:t>
            </w:r>
          </w:p>
        </w:tc>
        <w:tc>
          <w:tcPr>
            <w:tcW w:w="1560" w:type="dxa"/>
            <w:tcBorders>
              <w:top w:val="single" w:color="000000" w:sz="4" w:space="0"/>
              <w:left w:val="nil"/>
              <w:bottom w:val="nil"/>
              <w:right w:val="nil"/>
            </w:tcBorders>
            <w:shd w:val="clear" w:color="auto" w:fill="FFFFFF"/>
            <w:noWrap w:val="0"/>
            <w:vAlign w:val="center"/>
          </w:tcPr>
          <w:p w14:paraId="6860F3F6">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0.6659±0.0274</w:t>
            </w:r>
          </w:p>
        </w:tc>
        <w:tc>
          <w:tcPr>
            <w:tcW w:w="1560" w:type="dxa"/>
            <w:tcBorders>
              <w:top w:val="single" w:color="000000" w:sz="4" w:space="0"/>
              <w:left w:val="nil"/>
              <w:bottom w:val="nil"/>
              <w:right w:val="nil"/>
            </w:tcBorders>
            <w:shd w:val="clear" w:color="auto" w:fill="FFFFFF"/>
            <w:noWrap w:val="0"/>
            <w:vAlign w:val="center"/>
          </w:tcPr>
          <w:p w14:paraId="0221B1D7">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900.8±5.9</w:t>
            </w:r>
          </w:p>
        </w:tc>
        <w:tc>
          <w:tcPr>
            <w:tcW w:w="1560" w:type="dxa"/>
            <w:tcBorders>
              <w:top w:val="single" w:color="000000" w:sz="4" w:space="0"/>
              <w:left w:val="nil"/>
              <w:bottom w:val="nil"/>
              <w:right w:val="nil"/>
            </w:tcBorders>
            <w:shd w:val="clear" w:color="auto" w:fill="FFFFFF"/>
            <w:noWrap w:val="0"/>
            <w:vAlign w:val="center"/>
          </w:tcPr>
          <w:p w14:paraId="4E7DEFC8">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0.0750±0.0065</w:t>
            </w:r>
          </w:p>
        </w:tc>
        <w:tc>
          <w:tcPr>
            <w:tcW w:w="1560" w:type="dxa"/>
            <w:tcBorders>
              <w:top w:val="single" w:color="000000" w:sz="4" w:space="0"/>
              <w:left w:val="nil"/>
              <w:bottom w:val="nil"/>
              <w:right w:val="nil"/>
            </w:tcBorders>
            <w:shd w:val="clear" w:color="auto" w:fill="FFFFFF"/>
            <w:noWrap w:val="0"/>
            <w:vAlign w:val="center"/>
          </w:tcPr>
          <w:p w14:paraId="1027DD6F">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0.0681±0.0030</w:t>
            </w:r>
          </w:p>
        </w:tc>
      </w:tr>
      <w:tr w14:paraId="2817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single" w:color="000000" w:sz="12" w:space="0"/>
              <w:right w:val="nil"/>
            </w:tcBorders>
            <w:shd w:val="clear" w:color="auto" w:fill="FFFFFF"/>
            <w:noWrap w:val="0"/>
            <w:vAlign w:val="center"/>
          </w:tcPr>
          <w:p w14:paraId="59AF6651">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Lightweight multi-scale history enhanced model</w:t>
            </w:r>
          </w:p>
        </w:tc>
        <w:tc>
          <w:tcPr>
            <w:tcW w:w="1560" w:type="dxa"/>
            <w:tcBorders>
              <w:top w:val="nil"/>
              <w:left w:val="nil"/>
              <w:bottom w:val="single" w:color="000000" w:sz="12" w:space="0"/>
              <w:right w:val="nil"/>
            </w:tcBorders>
            <w:shd w:val="clear" w:color="auto" w:fill="FFFFFF"/>
            <w:noWrap w:val="0"/>
            <w:vAlign w:val="center"/>
          </w:tcPr>
          <w:p w14:paraId="0AEAF86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5</w:t>
            </w:r>
          </w:p>
        </w:tc>
        <w:tc>
          <w:tcPr>
            <w:tcW w:w="1560" w:type="dxa"/>
            <w:tcBorders>
              <w:top w:val="nil"/>
              <w:left w:val="nil"/>
              <w:bottom w:val="single" w:color="000000" w:sz="12" w:space="0"/>
              <w:right w:val="nil"/>
            </w:tcBorders>
            <w:shd w:val="clear" w:color="auto" w:fill="FFFFFF"/>
            <w:noWrap w:val="0"/>
            <w:vAlign w:val="center"/>
          </w:tcPr>
          <w:p w14:paraId="5825BC07">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0.6218±0.1510</w:t>
            </w:r>
          </w:p>
        </w:tc>
        <w:tc>
          <w:tcPr>
            <w:tcW w:w="1560" w:type="dxa"/>
            <w:tcBorders>
              <w:top w:val="nil"/>
              <w:left w:val="nil"/>
              <w:bottom w:val="single" w:color="000000" w:sz="12" w:space="0"/>
              <w:right w:val="nil"/>
            </w:tcBorders>
            <w:shd w:val="clear" w:color="auto" w:fill="FFFFFF"/>
            <w:noWrap w:val="0"/>
            <w:vAlign w:val="center"/>
          </w:tcPr>
          <w:p w14:paraId="6F985046">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945.7±26.8</w:t>
            </w:r>
          </w:p>
        </w:tc>
        <w:tc>
          <w:tcPr>
            <w:tcW w:w="1560" w:type="dxa"/>
            <w:tcBorders>
              <w:top w:val="nil"/>
              <w:left w:val="nil"/>
              <w:bottom w:val="single" w:color="000000" w:sz="12" w:space="0"/>
              <w:right w:val="nil"/>
            </w:tcBorders>
            <w:shd w:val="clear" w:color="auto" w:fill="FFFFFF"/>
            <w:noWrap w:val="0"/>
            <w:vAlign w:val="center"/>
          </w:tcPr>
          <w:p w14:paraId="44B42FCB">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0.0930±0.0368</w:t>
            </w:r>
          </w:p>
        </w:tc>
        <w:tc>
          <w:tcPr>
            <w:tcW w:w="1560" w:type="dxa"/>
            <w:tcBorders>
              <w:top w:val="nil"/>
              <w:left w:val="nil"/>
              <w:bottom w:val="single" w:color="000000" w:sz="12" w:space="0"/>
              <w:right w:val="nil"/>
            </w:tcBorders>
            <w:shd w:val="clear" w:color="auto" w:fill="FFFFFF"/>
            <w:noWrap w:val="0"/>
            <w:vAlign w:val="center"/>
          </w:tcPr>
          <w:p w14:paraId="756D3456">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0.0789±0.0176</w:t>
            </w:r>
          </w:p>
        </w:tc>
      </w:tr>
    </w:tbl>
    <w:p w14:paraId="61221A4B">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从表 5.4 可以看出，在跨视频配置下，最终模型的平均奖励为 0.6218，低于 Genet 的 0.6659，绝对差值为 -0.0441。该结果与主视频配置下的正向增益不同，说明本文方法在跨视频配置下尚未形成稳定优势。进一步观察 QoE 组成项可知，最终模型的平均码率高于 Genet，但重缓冲时间和平滑性惩罚也同时升高，说明其在分片大小整体增大的情况下更倾向于激进码率选择，而较高码率带来的画质收益未能抵消卡顿和平滑性损失。</w:t>
      </w:r>
    </w:p>
    <w:p w14:paraId="07DE3B40">
      <w:pPr>
        <w:ind w:firstLine="480" w:firstLineChars="200"/>
        <w:jc w:val="both"/>
        <w:rPr>
          <w:rFonts w:hint="eastAsia" w:ascii="宋体" w:hAnsi="宋体" w:eastAsia="宋体" w:cs="宋体"/>
          <w:sz w:val="24"/>
          <w:szCs w:val="24"/>
          <w:lang w:eastAsia="zh-CN"/>
        </w:rPr>
      </w:pPr>
      <w:r>
        <w:rPr>
          <w:rFonts w:ascii="宋体" w:hAnsi="宋体" w:eastAsia="宋体" w:cs="宋体"/>
          <w:sz w:val="24"/>
          <w:szCs w:val="24"/>
        </w:rPr>
        <w:t>五个随机种子下的奖励差异如表 5.5 所示。</w:t>
      </w:r>
    </w:p>
    <w:p w14:paraId="5EFFCCBE">
      <w:pPr>
        <w:ind w:firstLine="480" w:firstLineChars="200"/>
        <w:jc w:val="both"/>
        <w:rPr>
          <w:rFonts w:hint="eastAsia" w:ascii="宋体" w:hAnsi="宋体" w:eastAsia="宋体" w:cs="宋体"/>
          <w:sz w:val="24"/>
          <w:szCs w:val="24"/>
          <w:lang w:val="en-US" w:eastAsia="zh-CN"/>
        </w:rPr>
      </w:pPr>
    </w:p>
    <w:p w14:paraId="56189ADD">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表5.5  跨视频配置下五个随机种子的奖励差异</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2"/>
        <w:gridCol w:w="1704"/>
        <w:gridCol w:w="1704"/>
        <w:gridCol w:w="1722"/>
        <w:gridCol w:w="1680"/>
      </w:tblGrid>
      <w:tr w14:paraId="7655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single" w:color="000000" w:sz="12" w:space="0"/>
              <w:left w:val="nil"/>
              <w:bottom w:val="single" w:color="000000" w:sz="4" w:space="0"/>
              <w:right w:val="nil"/>
              <w:tl2br w:val="nil"/>
            </w:tcBorders>
            <w:shd w:val="clear" w:color="auto" w:fill="FFFFFF"/>
            <w:noWrap w:val="0"/>
            <w:vAlign w:val="center"/>
          </w:tcPr>
          <w:p w14:paraId="49A376CB">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Seed</w:t>
            </w:r>
          </w:p>
        </w:tc>
        <w:tc>
          <w:tcPr>
            <w:tcW w:w="1872" w:type="dxa"/>
            <w:tcBorders>
              <w:top w:val="single" w:color="000000" w:sz="12" w:space="0"/>
              <w:left w:val="nil"/>
              <w:bottom w:val="single" w:color="000000" w:sz="4" w:space="0"/>
              <w:right w:val="nil"/>
            </w:tcBorders>
            <w:shd w:val="clear" w:color="auto" w:fill="FFFFFF"/>
            <w:noWrap w:val="0"/>
            <w:vAlign w:val="center"/>
          </w:tcPr>
          <w:p w14:paraId="30562AC6">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Genet 平均奖励</w:t>
            </w:r>
          </w:p>
        </w:tc>
        <w:tc>
          <w:tcPr>
            <w:tcW w:w="1872" w:type="dxa"/>
            <w:tcBorders>
              <w:top w:val="single" w:color="000000" w:sz="12" w:space="0"/>
              <w:left w:val="nil"/>
              <w:bottom w:val="single" w:color="000000" w:sz="4" w:space="0"/>
              <w:right w:val="nil"/>
            </w:tcBorders>
            <w:shd w:val="clear" w:color="auto" w:fill="FFFFFF"/>
            <w:noWrap w:val="0"/>
            <w:vAlign w:val="center"/>
          </w:tcPr>
          <w:p w14:paraId="081C5FD3">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最终模型平均奖励</w:t>
            </w:r>
          </w:p>
        </w:tc>
        <w:tc>
          <w:tcPr>
            <w:tcW w:w="1872" w:type="dxa"/>
            <w:tcBorders>
              <w:top w:val="single" w:color="000000" w:sz="12" w:space="0"/>
              <w:left w:val="nil"/>
              <w:bottom w:val="single" w:color="000000" w:sz="4" w:space="0"/>
              <w:right w:val="nil"/>
            </w:tcBorders>
            <w:shd w:val="clear" w:color="auto" w:fill="FFFFFF"/>
            <w:noWrap w:val="0"/>
            <w:vAlign w:val="center"/>
          </w:tcPr>
          <w:p w14:paraId="679E9A18">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差值</w:t>
            </w:r>
          </w:p>
        </w:tc>
        <w:tc>
          <w:tcPr>
            <w:tcW w:w="1872" w:type="dxa"/>
            <w:tcBorders>
              <w:top w:val="single" w:color="000000" w:sz="12" w:space="0"/>
              <w:left w:val="nil"/>
              <w:bottom w:val="single" w:color="000000" w:sz="4" w:space="0"/>
              <w:right w:val="nil"/>
            </w:tcBorders>
            <w:shd w:val="clear" w:color="auto" w:fill="FFFFFF"/>
            <w:noWrap w:val="0"/>
            <w:vAlign w:val="center"/>
          </w:tcPr>
          <w:p w14:paraId="5404F93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结果解释</w:t>
            </w:r>
          </w:p>
        </w:tc>
      </w:tr>
      <w:tr w14:paraId="51146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single" w:color="000000" w:sz="4" w:space="0"/>
              <w:left w:val="nil"/>
              <w:bottom w:val="nil"/>
              <w:right w:val="nil"/>
            </w:tcBorders>
            <w:shd w:val="clear" w:color="auto" w:fill="FFFFFF"/>
            <w:noWrap w:val="0"/>
            <w:vAlign w:val="center"/>
          </w:tcPr>
          <w:p w14:paraId="52530C27">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100001</w:t>
            </w:r>
          </w:p>
        </w:tc>
        <w:tc>
          <w:tcPr>
            <w:tcW w:w="1872" w:type="dxa"/>
            <w:tcBorders>
              <w:top w:val="single" w:color="000000" w:sz="4" w:space="0"/>
              <w:left w:val="nil"/>
              <w:bottom w:val="nil"/>
              <w:right w:val="nil"/>
            </w:tcBorders>
            <w:shd w:val="clear" w:color="auto" w:fill="FFFFFF"/>
            <w:noWrap w:val="0"/>
            <w:vAlign w:val="center"/>
          </w:tcPr>
          <w:p w14:paraId="7A7B8BCD">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0.6617</w:t>
            </w:r>
          </w:p>
        </w:tc>
        <w:tc>
          <w:tcPr>
            <w:tcW w:w="1872" w:type="dxa"/>
            <w:tcBorders>
              <w:top w:val="single" w:color="000000" w:sz="4" w:space="0"/>
              <w:left w:val="nil"/>
              <w:bottom w:val="nil"/>
              <w:right w:val="nil"/>
            </w:tcBorders>
            <w:shd w:val="clear" w:color="auto" w:fill="FFFFFF"/>
            <w:noWrap w:val="0"/>
            <w:vAlign w:val="center"/>
          </w:tcPr>
          <w:p w14:paraId="6C3C9D03">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0.7713</w:t>
            </w:r>
          </w:p>
        </w:tc>
        <w:tc>
          <w:tcPr>
            <w:tcW w:w="1872" w:type="dxa"/>
            <w:tcBorders>
              <w:top w:val="single" w:color="000000" w:sz="4" w:space="0"/>
              <w:left w:val="nil"/>
              <w:bottom w:val="nil"/>
              <w:right w:val="nil"/>
            </w:tcBorders>
            <w:shd w:val="clear" w:color="auto" w:fill="FFFFFF"/>
            <w:noWrap w:val="0"/>
            <w:vAlign w:val="center"/>
          </w:tcPr>
          <w:p w14:paraId="6BB3B091">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+0.1096</w:t>
            </w:r>
          </w:p>
        </w:tc>
        <w:tc>
          <w:tcPr>
            <w:tcW w:w="1872" w:type="dxa"/>
            <w:tcBorders>
              <w:top w:val="single" w:color="000000" w:sz="4" w:space="0"/>
              <w:left w:val="nil"/>
              <w:bottom w:val="nil"/>
              <w:right w:val="nil"/>
            </w:tcBorders>
            <w:shd w:val="clear" w:color="auto" w:fill="FFFFFF"/>
            <w:noWrap w:val="0"/>
            <w:vAlign w:val="center"/>
          </w:tcPr>
          <w:p w14:paraId="0FF42D6B">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码率略高且重缓冲下降，明显提升</w:t>
            </w:r>
          </w:p>
        </w:tc>
      </w:tr>
      <w:tr w14:paraId="60D3A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nil"/>
              <w:left w:val="nil"/>
              <w:bottom w:val="nil"/>
              <w:right w:val="nil"/>
            </w:tcBorders>
            <w:shd w:val="clear" w:color="auto" w:fill="FFFFFF"/>
            <w:noWrap w:val="0"/>
            <w:vAlign w:val="center"/>
          </w:tcPr>
          <w:p w14:paraId="719543B8">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100002</w:t>
            </w:r>
          </w:p>
        </w:tc>
        <w:tc>
          <w:tcPr>
            <w:tcW w:w="1872" w:type="dxa"/>
            <w:tcBorders>
              <w:top w:val="nil"/>
              <w:left w:val="nil"/>
              <w:bottom w:val="nil"/>
              <w:right w:val="nil"/>
            </w:tcBorders>
            <w:shd w:val="clear" w:color="auto" w:fill="FFFFFF"/>
            <w:noWrap w:val="0"/>
            <w:vAlign w:val="center"/>
          </w:tcPr>
          <w:p w14:paraId="33DC61F1">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0.7078</w:t>
            </w:r>
          </w:p>
        </w:tc>
        <w:tc>
          <w:tcPr>
            <w:tcW w:w="1872" w:type="dxa"/>
            <w:tcBorders>
              <w:top w:val="nil"/>
              <w:left w:val="nil"/>
              <w:bottom w:val="nil"/>
              <w:right w:val="nil"/>
            </w:tcBorders>
            <w:shd w:val="clear" w:color="auto" w:fill="FFFFFF"/>
            <w:noWrap w:val="0"/>
            <w:vAlign w:val="center"/>
          </w:tcPr>
          <w:p w14:paraId="24C11DEF">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0.6192</w:t>
            </w:r>
          </w:p>
        </w:tc>
        <w:tc>
          <w:tcPr>
            <w:tcW w:w="1872" w:type="dxa"/>
            <w:tcBorders>
              <w:top w:val="nil"/>
              <w:left w:val="nil"/>
              <w:bottom w:val="nil"/>
              <w:right w:val="nil"/>
            </w:tcBorders>
            <w:shd w:val="clear" w:color="auto" w:fill="FFFFFF"/>
            <w:noWrap w:val="0"/>
            <w:vAlign w:val="center"/>
          </w:tcPr>
          <w:p w14:paraId="45AB9B3D">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-0.0886</w:t>
            </w:r>
          </w:p>
        </w:tc>
        <w:tc>
          <w:tcPr>
            <w:tcW w:w="1872" w:type="dxa"/>
            <w:tcBorders>
              <w:top w:val="nil"/>
              <w:left w:val="nil"/>
              <w:bottom w:val="nil"/>
              <w:right w:val="nil"/>
            </w:tcBorders>
            <w:shd w:val="clear" w:color="auto" w:fill="FFFFFF"/>
            <w:noWrap w:val="0"/>
            <w:vAlign w:val="center"/>
          </w:tcPr>
          <w:p w14:paraId="51C78F4D">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码率升高导致重缓冲增加，奖励下降</w:t>
            </w:r>
          </w:p>
        </w:tc>
      </w:tr>
      <w:tr w14:paraId="6FF3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nil"/>
              <w:left w:val="nil"/>
              <w:bottom w:val="nil"/>
              <w:right w:val="nil"/>
            </w:tcBorders>
            <w:shd w:val="clear" w:color="auto" w:fill="FFFFFF"/>
            <w:noWrap w:val="0"/>
            <w:vAlign w:val="center"/>
          </w:tcPr>
          <w:p w14:paraId="675454FF">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100003</w:t>
            </w:r>
          </w:p>
        </w:tc>
        <w:tc>
          <w:tcPr>
            <w:tcW w:w="1872" w:type="dxa"/>
            <w:tcBorders>
              <w:top w:val="nil"/>
              <w:left w:val="nil"/>
              <w:bottom w:val="nil"/>
              <w:right w:val="nil"/>
            </w:tcBorders>
            <w:shd w:val="clear" w:color="auto" w:fill="FFFFFF"/>
            <w:noWrap w:val="0"/>
            <w:vAlign w:val="center"/>
          </w:tcPr>
          <w:p w14:paraId="7A345B4B">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0.6347</w:t>
            </w:r>
          </w:p>
        </w:tc>
        <w:tc>
          <w:tcPr>
            <w:tcW w:w="1872" w:type="dxa"/>
            <w:tcBorders>
              <w:top w:val="nil"/>
              <w:left w:val="nil"/>
              <w:bottom w:val="nil"/>
              <w:right w:val="nil"/>
            </w:tcBorders>
            <w:shd w:val="clear" w:color="auto" w:fill="FFFFFF"/>
            <w:noWrap w:val="0"/>
            <w:vAlign w:val="center"/>
          </w:tcPr>
          <w:p w14:paraId="3A8BB719">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0.7174</w:t>
            </w:r>
          </w:p>
        </w:tc>
        <w:tc>
          <w:tcPr>
            <w:tcW w:w="1872" w:type="dxa"/>
            <w:tcBorders>
              <w:top w:val="nil"/>
              <w:left w:val="nil"/>
              <w:bottom w:val="nil"/>
              <w:right w:val="nil"/>
            </w:tcBorders>
            <w:shd w:val="clear" w:color="auto" w:fill="FFFFFF"/>
            <w:noWrap w:val="0"/>
            <w:vAlign w:val="center"/>
          </w:tcPr>
          <w:p w14:paraId="6E10543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+0.0827</w:t>
            </w:r>
          </w:p>
        </w:tc>
        <w:tc>
          <w:tcPr>
            <w:tcW w:w="1872" w:type="dxa"/>
            <w:tcBorders>
              <w:top w:val="nil"/>
              <w:left w:val="nil"/>
              <w:bottom w:val="nil"/>
              <w:right w:val="nil"/>
            </w:tcBorders>
            <w:shd w:val="clear" w:color="auto" w:fill="FFFFFF"/>
            <w:noWrap w:val="0"/>
            <w:vAlign w:val="center"/>
          </w:tcPr>
          <w:p w14:paraId="402FBDCC">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码率提升同时控制了卡顿，表现较好</w:t>
            </w:r>
          </w:p>
        </w:tc>
      </w:tr>
      <w:tr w14:paraId="66B9D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nil"/>
              <w:left w:val="nil"/>
              <w:bottom w:val="nil"/>
              <w:right w:val="nil"/>
            </w:tcBorders>
            <w:shd w:val="clear" w:color="auto" w:fill="FFFFFF"/>
            <w:noWrap w:val="0"/>
            <w:vAlign w:val="center"/>
          </w:tcPr>
          <w:p w14:paraId="17334831">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100004</w:t>
            </w:r>
          </w:p>
        </w:tc>
        <w:tc>
          <w:tcPr>
            <w:tcW w:w="1872" w:type="dxa"/>
            <w:tcBorders>
              <w:top w:val="nil"/>
              <w:left w:val="nil"/>
              <w:bottom w:val="nil"/>
              <w:right w:val="nil"/>
            </w:tcBorders>
            <w:shd w:val="clear" w:color="auto" w:fill="FFFFFF"/>
            <w:noWrap w:val="0"/>
            <w:vAlign w:val="center"/>
          </w:tcPr>
          <w:p w14:paraId="4890F752">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0.6736</w:t>
            </w:r>
          </w:p>
        </w:tc>
        <w:tc>
          <w:tcPr>
            <w:tcW w:w="1872" w:type="dxa"/>
            <w:tcBorders>
              <w:top w:val="nil"/>
              <w:left w:val="nil"/>
              <w:bottom w:val="nil"/>
              <w:right w:val="nil"/>
            </w:tcBorders>
            <w:shd w:val="clear" w:color="auto" w:fill="FFFFFF"/>
            <w:noWrap w:val="0"/>
            <w:vAlign w:val="center"/>
          </w:tcPr>
          <w:p w14:paraId="7FA49DEB">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0.6237</w:t>
            </w:r>
          </w:p>
        </w:tc>
        <w:tc>
          <w:tcPr>
            <w:tcW w:w="1872" w:type="dxa"/>
            <w:tcBorders>
              <w:top w:val="nil"/>
              <w:left w:val="nil"/>
              <w:bottom w:val="nil"/>
              <w:right w:val="nil"/>
            </w:tcBorders>
            <w:shd w:val="clear" w:color="auto" w:fill="FFFFFF"/>
            <w:noWrap w:val="0"/>
            <w:vAlign w:val="center"/>
          </w:tcPr>
          <w:p w14:paraId="26D8690A">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-0.0499</w:t>
            </w:r>
          </w:p>
        </w:tc>
        <w:tc>
          <w:tcPr>
            <w:tcW w:w="1872" w:type="dxa"/>
            <w:tcBorders>
              <w:top w:val="nil"/>
              <w:left w:val="nil"/>
              <w:bottom w:val="nil"/>
              <w:right w:val="nil"/>
            </w:tcBorders>
            <w:shd w:val="clear" w:color="auto" w:fill="FFFFFF"/>
            <w:noWrap w:val="0"/>
            <w:vAlign w:val="center"/>
          </w:tcPr>
          <w:p w14:paraId="61085213">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卡顿增加抵消平滑性收益</w:t>
            </w:r>
          </w:p>
        </w:tc>
      </w:tr>
      <w:tr w14:paraId="6B7F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nil"/>
              <w:left w:val="nil"/>
              <w:bottom w:val="single" w:color="000000" w:sz="12" w:space="0"/>
              <w:right w:val="nil"/>
            </w:tcBorders>
            <w:shd w:val="clear" w:color="auto" w:fill="FFFFFF"/>
            <w:noWrap w:val="0"/>
            <w:vAlign w:val="center"/>
          </w:tcPr>
          <w:p w14:paraId="518E75F0">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100005</w:t>
            </w:r>
          </w:p>
        </w:tc>
        <w:tc>
          <w:tcPr>
            <w:tcW w:w="1872" w:type="dxa"/>
            <w:tcBorders>
              <w:top w:val="nil"/>
              <w:left w:val="nil"/>
              <w:bottom w:val="single" w:color="000000" w:sz="12" w:space="0"/>
              <w:right w:val="nil"/>
            </w:tcBorders>
            <w:shd w:val="clear" w:color="auto" w:fill="FFFFFF"/>
            <w:noWrap w:val="0"/>
            <w:vAlign w:val="center"/>
          </w:tcPr>
          <w:p w14:paraId="582326D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0.6519</w:t>
            </w:r>
          </w:p>
        </w:tc>
        <w:tc>
          <w:tcPr>
            <w:tcW w:w="1872" w:type="dxa"/>
            <w:tcBorders>
              <w:top w:val="nil"/>
              <w:left w:val="nil"/>
              <w:bottom w:val="single" w:color="000000" w:sz="12" w:space="0"/>
              <w:right w:val="nil"/>
            </w:tcBorders>
            <w:shd w:val="clear" w:color="auto" w:fill="FFFFFF"/>
            <w:noWrap w:val="0"/>
            <w:vAlign w:val="center"/>
          </w:tcPr>
          <w:p w14:paraId="3D498FDC">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0.3774</w:t>
            </w:r>
          </w:p>
        </w:tc>
        <w:tc>
          <w:tcPr>
            <w:tcW w:w="1872" w:type="dxa"/>
            <w:tcBorders>
              <w:top w:val="nil"/>
              <w:left w:val="nil"/>
              <w:bottom w:val="single" w:color="000000" w:sz="12" w:space="0"/>
              <w:right w:val="nil"/>
            </w:tcBorders>
            <w:shd w:val="clear" w:color="auto" w:fill="FFFFFF"/>
            <w:noWrap w:val="0"/>
            <w:vAlign w:val="center"/>
          </w:tcPr>
          <w:p w14:paraId="0F896109">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-0.2745</w:t>
            </w:r>
          </w:p>
        </w:tc>
        <w:tc>
          <w:tcPr>
            <w:tcW w:w="1872" w:type="dxa"/>
            <w:tcBorders>
              <w:top w:val="nil"/>
              <w:left w:val="nil"/>
              <w:bottom w:val="single" w:color="000000" w:sz="12" w:space="0"/>
              <w:right w:val="nil"/>
            </w:tcBorders>
            <w:shd w:val="clear" w:color="auto" w:fill="FFFFFF"/>
            <w:noWrap w:val="0"/>
            <w:vAlign w:val="center"/>
          </w:tcPr>
          <w:p w14:paraId="50822394">
            <w:pPr>
              <w:spacing w:after="200" w:line="240" w:lineRule="auto"/>
              <w:jc w:val="center"/>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策略过激，重缓冲和平滑惩罚均显著增加</w:t>
            </w:r>
          </w:p>
        </w:tc>
      </w:tr>
    </w:tbl>
    <w:p w14:paraId="49CC5943">
      <w:pPr>
        <w:ind w:firstLine="480" w:firstLineChars="200"/>
        <w:jc w:val="both"/>
        <w:rPr>
          <w:rFonts w:hint="default" w:ascii="Times New Roman" w:hAnsi="Times New Roman" w:eastAsia="宋体" w:cs="Times New Roman"/>
          <w:lang w:val="en-US" w:eastAsia="zh-CN"/>
        </w:rPr>
      </w:pPr>
    </w:p>
    <w:p w14:paraId="71CCA95E">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 5.5 进一步给出了不同随机种子下的结果。最终模型并非在所有随机种子上同时退化，其中部分种子仍取得正向增益；但也存在个别种子退化明显，导致整体平均性能下降。这说明最终模型在跨视频配置下仍具有一定性能潜力，但训练稳定性不足，对视频分片大小分布变化较为敏感。换言之，当前模型的问题不是完全无法适应新的固定视频配置，而是在部分初始化条件下容易形成偏激进策略，从而放大重缓冲风险。</w:t>
      </w:r>
    </w:p>
    <w:p w14:paraId="4D4E5106">
      <w:pPr>
        <w:ind w:firstLine="480" w:firstLineChars="200"/>
        <w:jc w:val="both"/>
        <w:rPr>
          <w:rFonts w:hint="default" w:ascii="Times New Roman" w:hAnsi="Times New Roman" w:eastAsia="宋体" w:cs="Times New Roman"/>
          <w:lang w:val="en-US" w:eastAsia="zh-CN"/>
        </w:rPr>
      </w:pPr>
      <w:r>
        <w:rPr>
          <w:rFonts w:ascii="宋体" w:hAnsi="宋体" w:eastAsia="宋体" w:cs="宋体"/>
          <w:sz w:val="24"/>
          <w:szCs w:val="24"/>
        </w:rPr>
        <w:t>典型失败轨迹案例如图 5.8 所示。</w:t>
      </w:r>
    </w:p>
    <w:p w14:paraId="78FC2A96">
      <w:pPr>
        <w:ind w:firstLine="480" w:firstLineChars="200"/>
        <w:jc w:val="both"/>
      </w:pPr>
      <w:r>
        <w:drawing>
          <wp:inline distT="0" distB="0" distL="114300" distR="114300">
            <wp:extent cx="4875530" cy="4020185"/>
            <wp:effectExtent l="0" t="0" r="1270" b="18415"/>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13"/>
                    <a:stretch>
                      <a:fillRect/>
                    </a:stretch>
                  </pic:blipFill>
                  <pic:spPr>
                    <a:xfrm>
                      <a:off x="0" y="0"/>
                      <a:ext cx="4875530" cy="4020185"/>
                    </a:xfrm>
                    <a:prstGeom prst="rect">
                      <a:avLst/>
                    </a:prstGeom>
                    <a:noFill/>
                    <a:ln>
                      <a:noFill/>
                    </a:ln>
                  </pic:spPr>
                </pic:pic>
              </a:graphicData>
            </a:graphic>
          </wp:inline>
        </w:drawing>
      </w:r>
    </w:p>
    <w:p w14:paraId="3010F9D6">
      <w:pPr>
        <w:pStyle w:val="8"/>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图5.8  跨视频配置下典型失败轨迹案例分析</w:t>
      </w:r>
    </w:p>
    <w:p w14:paraId="71B6F736">
      <w:pPr>
        <w:ind w:firstLine="480" w:firstLineChars="200"/>
        <w:jc w:val="both"/>
        <w:rPr>
          <w:rFonts w:hint="default"/>
          <w:lang w:val="en-US" w:eastAsia="zh-CN"/>
        </w:rPr>
      </w:pPr>
    </w:p>
    <w:p w14:paraId="12406920">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 5.8 展示了退化最明显的案例。在该 trace 中，最终模型在前中段更早提升码率，导致缓冲区余量持续低于 Genet；当后续分片下载压力增大时，低缓冲状态使模型更容易产生集中重缓冲，最终造成平均奖励显著下降。该案例说明，跨视频配置下的性能下降并非来自单一步骤错误，而是由连续偏激进码率选择、缓冲区消耗和后续重缓冲累积共同造成。</w:t>
      </w:r>
    </w:p>
    <w:p w14:paraId="117DF683">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从逐轨迹统计看，跨视频配置中最终模型相对 Genet 的胜率为 49.0%，接近一半；但平均增益为 -0.0441，中位数增益为 -0.0020。这表明模型并非在绝大多数轨迹上失效，而是在部分失败轨迹上的损失幅度大于成功轨迹上的收益幅度。因此，本文对该实验的结论应限定为：最终模型在主视频配置下能够提升平均 QoE，但在视频分片大小分布发生变化时稳定性不足，尚不能证明其具有可靠的跨视频配置泛化能力。</w:t>
      </w:r>
    </w:p>
    <w:p w14:paraId="193DDDBF">
      <w:pPr>
        <w:ind w:firstLine="480" w:firstLineChars="200"/>
        <w:jc w:val="both"/>
        <w:rPr>
          <w:rFonts w:hint="eastAsia"/>
          <w:lang w:val="en-US" w:eastAsia="zh-CN"/>
        </w:rPr>
      </w:pPr>
      <w:r>
        <w:rPr>
          <w:rFonts w:hint="default" w:ascii="Times New Roman" w:hAnsi="Times New Roman" w:eastAsia="宋体" w:cs="Times New Roman"/>
          <w:lang w:val="en-US" w:eastAsia="zh-CN"/>
        </w:rPr>
        <w:t>该实验也为后续改进提供了方向。首先，训练经验池可以引入多视频配置，使模型接触更丰富的分片大小分布，降低对单一视频配置的适应偏差。其次，状态编码中可以加强下一分片大小与可选码率动作之间的显式交互，使模型在高码率分片下载成本较大时更容易识别风险。最后，模型选择不宜只依赖单一验证配置下的最高回报，可以考虑加入多视频验证或风险敏感选模指标，以降低个别随机种子下策略过激的问题。</w:t>
      </w:r>
    </w:p>
    <w:p w14:paraId="18EAF507">
      <w:pPr>
        <w:pStyle w:val="3"/>
        <w:spacing w:before="120"/>
        <w:rPr>
          <w:rFonts w:hint="eastAsia"/>
        </w:rPr>
      </w:pPr>
      <w:bookmarkStart w:id="8" w:name="_Toc1117"/>
      <w:r>
        <w:rPr>
          <w:rFonts w:hint="eastAsia" w:hAnsi="Times New Roman" w:cs="Times New Roman"/>
          <w:bCs/>
          <w:lang w:val="en-US" w:eastAsia="zh-CN"/>
        </w:rPr>
        <w:t>5</w:t>
      </w:r>
      <w:r>
        <w:rPr>
          <w:rFonts w:hint="eastAsia" w:hAnsi="Times New Roman" w:cs="Times New Roman"/>
          <w:bCs/>
        </w:rPr>
        <w:t>.</w:t>
      </w:r>
      <w:r>
        <w:rPr>
          <w:rFonts w:hint="eastAsia" w:hAnsi="Times New Roman" w:cs="Times New Roman"/>
          <w:bCs/>
          <w:lang w:val="en-US" w:eastAsia="zh-CN"/>
        </w:rPr>
        <w:t>9</w:t>
      </w:r>
      <w:r>
        <w:rPr>
          <w:rFonts w:hint="eastAsia" w:hAnsi="Times New Roman" w:cs="Times New Roman"/>
          <w:bCs/>
        </w:rPr>
        <w:t xml:space="preserve">  实验局限与方法论反思</w:t>
      </w:r>
      <w:bookmarkEnd w:id="8"/>
    </w:p>
    <w:p w14:paraId="02E7A052">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为进一步检验实验结论的稳定性，本文使用公共网络轨迹作为配对单位，对最终模型相对 Genet 的平均奖励增益进行 bootstrap 重采样，结果如表 5.6 所示。</w:t>
      </w:r>
    </w:p>
    <w:p w14:paraId="56F78C32">
      <w:pPr>
        <w:ind w:firstLine="480" w:firstLineChars="200"/>
        <w:jc w:val="both"/>
        <w:rPr>
          <w:rFonts w:hint="default" w:ascii="Times New Roman" w:hAnsi="Times New Roman" w:eastAsia="宋体" w:cs="Times New Roman"/>
          <w:lang w:val="en-US" w:eastAsia="zh-CN"/>
        </w:rPr>
      </w:pPr>
    </w:p>
    <w:p w14:paraId="64C2C902">
      <w:pPr>
        <w:pStyle w:val="8"/>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表5.6  最终模型相对Genet的配对Bootstrap奖励增益置信区间</w:t>
      </w:r>
    </w:p>
    <w:tbl>
      <w:tblPr>
        <w:tblStyle w:val="5"/>
        <w:tblW w:w="90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0"/>
        <w:gridCol w:w="1043"/>
        <w:gridCol w:w="840"/>
        <w:gridCol w:w="1121"/>
        <w:gridCol w:w="1080"/>
        <w:gridCol w:w="1634"/>
        <w:gridCol w:w="1528"/>
        <w:gridCol w:w="661"/>
      </w:tblGrid>
      <w:tr w14:paraId="7A320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10" w:type="dxa"/>
            <w:tcBorders>
              <w:top w:val="single" w:color="000000" w:sz="12" w:space="0"/>
              <w:left w:val="nil"/>
              <w:bottom w:val="single" w:color="000000" w:sz="4" w:space="0"/>
              <w:right w:val="nil"/>
              <w:tl2br w:val="nil"/>
            </w:tcBorders>
            <w:shd w:val="clear" w:color="auto" w:fill="FFFFFF"/>
            <w:noWrap w:val="0"/>
            <w:vAlign w:val="center"/>
          </w:tcPr>
          <w:p w14:paraId="36786404">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实验配置</w:t>
            </w:r>
          </w:p>
        </w:tc>
        <w:tc>
          <w:tcPr>
            <w:tcW w:w="1043" w:type="dxa"/>
            <w:tcBorders>
              <w:top w:val="single" w:color="000000" w:sz="12" w:space="0"/>
              <w:left w:val="nil"/>
              <w:bottom w:val="single" w:color="000000" w:sz="4" w:space="0"/>
              <w:right w:val="nil"/>
            </w:tcBorders>
            <w:shd w:val="clear" w:color="auto" w:fill="FFFFFF"/>
            <w:noWrap w:val="0"/>
            <w:vAlign w:val="center"/>
          </w:tcPr>
          <w:p w14:paraId="0541E005">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trace数量n</w:t>
            </w:r>
          </w:p>
        </w:tc>
        <w:tc>
          <w:tcPr>
            <w:tcW w:w="840" w:type="dxa"/>
            <w:tcBorders>
              <w:top w:val="single" w:color="000000" w:sz="12" w:space="0"/>
              <w:left w:val="nil"/>
              <w:bottom w:val="single" w:color="000000" w:sz="4" w:space="0"/>
              <w:right w:val="nil"/>
            </w:tcBorders>
            <w:shd w:val="clear" w:color="auto" w:fill="FFFFFF"/>
            <w:noWrap w:val="0"/>
            <w:vAlign w:val="center"/>
          </w:tcPr>
          <w:p w14:paraId="430476C1">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Genet</w:t>
            </w:r>
          </w:p>
        </w:tc>
        <w:tc>
          <w:tcPr>
            <w:tcW w:w="1121" w:type="dxa"/>
            <w:tcBorders>
              <w:top w:val="single" w:color="000000" w:sz="12" w:space="0"/>
              <w:left w:val="nil"/>
              <w:bottom w:val="single" w:color="000000" w:sz="4" w:space="0"/>
              <w:right w:val="nil"/>
            </w:tcBorders>
            <w:shd w:val="clear" w:color="auto" w:fill="FFFFFF"/>
            <w:noWrap w:val="0"/>
            <w:vAlign w:val="center"/>
          </w:tcPr>
          <w:p w14:paraId="36F5838C">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最终模型</w:t>
            </w:r>
          </w:p>
        </w:tc>
        <w:tc>
          <w:tcPr>
            <w:tcW w:w="1080" w:type="dxa"/>
            <w:tcBorders>
              <w:top w:val="single" w:color="000000" w:sz="12" w:space="0"/>
              <w:left w:val="nil"/>
              <w:bottom w:val="single" w:color="000000" w:sz="4" w:space="0"/>
              <w:right w:val="nil"/>
            </w:tcBorders>
            <w:shd w:val="clear" w:color="auto" w:fill="FFFFFF"/>
            <w:noWrap w:val="0"/>
            <w:vAlign w:val="center"/>
          </w:tcPr>
          <w:p w14:paraId="3E192863">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平均增益</w:t>
            </w:r>
          </w:p>
        </w:tc>
        <w:tc>
          <w:tcPr>
            <w:tcW w:w="1634" w:type="dxa"/>
            <w:tcBorders>
              <w:top w:val="single" w:color="000000" w:sz="12" w:space="0"/>
              <w:left w:val="nil"/>
              <w:bottom w:val="single" w:color="000000" w:sz="4" w:space="0"/>
              <w:right w:val="nil"/>
            </w:tcBorders>
            <w:shd w:val="clear" w:color="auto" w:fill="FFFFFF"/>
            <w:noWrap w:val="0"/>
            <w:vAlign w:val="center"/>
          </w:tcPr>
          <w:p w14:paraId="20860E2B">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95%CI</w:t>
            </w:r>
          </w:p>
        </w:tc>
        <w:tc>
          <w:tcPr>
            <w:tcW w:w="1528" w:type="dxa"/>
            <w:tcBorders>
              <w:top w:val="single" w:color="000000" w:sz="12" w:space="0"/>
              <w:left w:val="nil"/>
              <w:bottom w:val="single" w:color="000000" w:sz="4" w:space="0"/>
              <w:right w:val="nil"/>
            </w:tcBorders>
            <w:shd w:val="clear" w:color="auto" w:fill="FFFFFF"/>
            <w:noWrap w:val="0"/>
            <w:vAlign w:val="center"/>
          </w:tcPr>
          <w:p w14:paraId="1CDC2624">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P（增益&gt;0）</w:t>
            </w:r>
          </w:p>
        </w:tc>
        <w:tc>
          <w:tcPr>
            <w:tcW w:w="661" w:type="dxa"/>
            <w:tcBorders>
              <w:top w:val="single" w:color="000000" w:sz="12" w:space="0"/>
              <w:left w:val="nil"/>
              <w:bottom w:val="single" w:color="000000" w:sz="4" w:space="0"/>
              <w:right w:val="nil"/>
            </w:tcBorders>
            <w:shd w:val="clear" w:color="auto" w:fill="FFFFFF"/>
            <w:noWrap w:val="0"/>
            <w:vAlign w:val="center"/>
          </w:tcPr>
          <w:p w14:paraId="25AE14EA">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胜率</w:t>
            </w:r>
          </w:p>
        </w:tc>
      </w:tr>
      <w:tr w14:paraId="0592B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10" w:type="dxa"/>
            <w:tcBorders>
              <w:top w:val="single" w:color="000000" w:sz="4" w:space="0"/>
              <w:left w:val="nil"/>
              <w:bottom w:val="nil"/>
              <w:right w:val="nil"/>
            </w:tcBorders>
            <w:shd w:val="clear" w:color="auto" w:fill="FFFFFF"/>
            <w:noWrap w:val="0"/>
            <w:vAlign w:val="center"/>
          </w:tcPr>
          <w:p w14:paraId="2B37ACE7">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FCC-test + video1</w:t>
            </w:r>
          </w:p>
        </w:tc>
        <w:tc>
          <w:tcPr>
            <w:tcW w:w="1043" w:type="dxa"/>
            <w:tcBorders>
              <w:top w:val="single" w:color="000000" w:sz="4" w:space="0"/>
              <w:left w:val="nil"/>
              <w:bottom w:val="nil"/>
              <w:right w:val="nil"/>
            </w:tcBorders>
            <w:shd w:val="clear" w:color="auto" w:fill="FFFFFF"/>
            <w:noWrap w:val="0"/>
            <w:vAlign w:val="center"/>
          </w:tcPr>
          <w:p w14:paraId="66BA5743">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100</w:t>
            </w:r>
          </w:p>
        </w:tc>
        <w:tc>
          <w:tcPr>
            <w:tcW w:w="840" w:type="dxa"/>
            <w:tcBorders>
              <w:top w:val="single" w:color="000000" w:sz="4" w:space="0"/>
              <w:left w:val="nil"/>
              <w:bottom w:val="nil"/>
              <w:right w:val="nil"/>
            </w:tcBorders>
            <w:shd w:val="clear" w:color="auto" w:fill="FFFFFF"/>
            <w:noWrap w:val="0"/>
            <w:vAlign w:val="center"/>
          </w:tcPr>
          <w:p w14:paraId="61A5BA9F">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0.8587</w:t>
            </w:r>
          </w:p>
        </w:tc>
        <w:tc>
          <w:tcPr>
            <w:tcW w:w="1121" w:type="dxa"/>
            <w:tcBorders>
              <w:top w:val="single" w:color="000000" w:sz="4" w:space="0"/>
              <w:left w:val="nil"/>
              <w:bottom w:val="nil"/>
              <w:right w:val="nil"/>
            </w:tcBorders>
            <w:shd w:val="clear" w:color="auto" w:fill="FFFFFF"/>
            <w:noWrap w:val="0"/>
            <w:vAlign w:val="center"/>
          </w:tcPr>
          <w:p w14:paraId="638D914A">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0.8967</w:t>
            </w:r>
          </w:p>
        </w:tc>
        <w:tc>
          <w:tcPr>
            <w:tcW w:w="1080" w:type="dxa"/>
            <w:tcBorders>
              <w:top w:val="single" w:color="000000" w:sz="4" w:space="0"/>
              <w:left w:val="nil"/>
              <w:bottom w:val="nil"/>
              <w:right w:val="nil"/>
            </w:tcBorders>
            <w:shd w:val="clear" w:color="auto" w:fill="FFFFFF"/>
            <w:noWrap w:val="0"/>
            <w:vAlign w:val="center"/>
          </w:tcPr>
          <w:p w14:paraId="7940D8AE">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0.0380</w:t>
            </w:r>
          </w:p>
        </w:tc>
        <w:tc>
          <w:tcPr>
            <w:tcW w:w="1634" w:type="dxa"/>
            <w:tcBorders>
              <w:top w:val="single" w:color="000000" w:sz="4" w:space="0"/>
              <w:left w:val="nil"/>
              <w:bottom w:val="nil"/>
              <w:right w:val="nil"/>
            </w:tcBorders>
            <w:shd w:val="clear" w:color="auto" w:fill="FFFFFF"/>
            <w:noWrap w:val="0"/>
            <w:vAlign w:val="center"/>
          </w:tcPr>
          <w:p w14:paraId="7E05109A">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[-0.0278,0.1106]</w:t>
            </w:r>
          </w:p>
        </w:tc>
        <w:tc>
          <w:tcPr>
            <w:tcW w:w="1528" w:type="dxa"/>
            <w:tcBorders>
              <w:top w:val="single" w:color="000000" w:sz="4" w:space="0"/>
              <w:left w:val="nil"/>
              <w:bottom w:val="nil"/>
              <w:right w:val="nil"/>
            </w:tcBorders>
            <w:shd w:val="clear" w:color="auto" w:fill="FFFFFF"/>
            <w:noWrap w:val="0"/>
            <w:vAlign w:val="center"/>
          </w:tcPr>
          <w:p w14:paraId="1CFC5A04">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85.8%</w:t>
            </w:r>
          </w:p>
        </w:tc>
        <w:tc>
          <w:tcPr>
            <w:tcW w:w="661" w:type="dxa"/>
            <w:tcBorders>
              <w:top w:val="single" w:color="000000" w:sz="4" w:space="0"/>
              <w:left w:val="nil"/>
              <w:bottom w:val="nil"/>
              <w:right w:val="nil"/>
            </w:tcBorders>
            <w:shd w:val="clear" w:color="auto" w:fill="FFFFFF"/>
            <w:noWrap w:val="0"/>
            <w:vAlign w:val="center"/>
          </w:tcPr>
          <w:p w14:paraId="396C681D">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39%</w:t>
            </w:r>
          </w:p>
        </w:tc>
      </w:tr>
      <w:tr w14:paraId="0B4F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10" w:type="dxa"/>
            <w:tcBorders>
              <w:top w:val="nil"/>
              <w:left w:val="nil"/>
              <w:bottom w:val="nil"/>
              <w:right w:val="nil"/>
            </w:tcBorders>
            <w:shd w:val="clear" w:color="auto" w:fill="FFFFFF"/>
            <w:noWrap w:val="0"/>
            <w:vAlign w:val="center"/>
          </w:tcPr>
          <w:p w14:paraId="6B2F0B51">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FCC-valid + video1</w:t>
            </w:r>
          </w:p>
        </w:tc>
        <w:tc>
          <w:tcPr>
            <w:tcW w:w="1043" w:type="dxa"/>
            <w:tcBorders>
              <w:top w:val="nil"/>
              <w:left w:val="nil"/>
              <w:bottom w:val="nil"/>
              <w:right w:val="nil"/>
            </w:tcBorders>
            <w:shd w:val="clear" w:color="auto" w:fill="FFFFFF"/>
            <w:noWrap w:val="0"/>
            <w:vAlign w:val="center"/>
          </w:tcPr>
          <w:p w14:paraId="629EA473">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100</w:t>
            </w:r>
          </w:p>
        </w:tc>
        <w:tc>
          <w:tcPr>
            <w:tcW w:w="840" w:type="dxa"/>
            <w:tcBorders>
              <w:top w:val="nil"/>
              <w:left w:val="nil"/>
              <w:bottom w:val="nil"/>
              <w:right w:val="nil"/>
            </w:tcBorders>
            <w:shd w:val="clear" w:color="auto" w:fill="FFFFFF"/>
            <w:noWrap w:val="0"/>
            <w:vAlign w:val="center"/>
          </w:tcPr>
          <w:p w14:paraId="7442B3F8">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0.7410</w:t>
            </w:r>
          </w:p>
        </w:tc>
        <w:tc>
          <w:tcPr>
            <w:tcW w:w="1121" w:type="dxa"/>
            <w:tcBorders>
              <w:top w:val="nil"/>
              <w:left w:val="nil"/>
              <w:bottom w:val="nil"/>
              <w:right w:val="nil"/>
            </w:tcBorders>
            <w:shd w:val="clear" w:color="auto" w:fill="FFFFFF"/>
            <w:noWrap w:val="0"/>
            <w:vAlign w:val="center"/>
          </w:tcPr>
          <w:p w14:paraId="55F3C8FE">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0.7410</w:t>
            </w:r>
          </w:p>
        </w:tc>
        <w:tc>
          <w:tcPr>
            <w:tcW w:w="1080" w:type="dxa"/>
            <w:tcBorders>
              <w:top w:val="nil"/>
              <w:left w:val="nil"/>
              <w:bottom w:val="nil"/>
              <w:right w:val="nil"/>
            </w:tcBorders>
            <w:shd w:val="clear" w:color="auto" w:fill="FFFFFF"/>
            <w:noWrap w:val="0"/>
            <w:vAlign w:val="center"/>
          </w:tcPr>
          <w:p w14:paraId="0A09B90A">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0.0055</w:t>
            </w:r>
          </w:p>
        </w:tc>
        <w:tc>
          <w:tcPr>
            <w:tcW w:w="1634" w:type="dxa"/>
            <w:tcBorders>
              <w:top w:val="nil"/>
              <w:left w:val="nil"/>
              <w:bottom w:val="nil"/>
              <w:right w:val="nil"/>
            </w:tcBorders>
            <w:shd w:val="clear" w:color="auto" w:fill="FFFFFF"/>
            <w:noWrap w:val="0"/>
            <w:vAlign w:val="center"/>
          </w:tcPr>
          <w:p w14:paraId="7E389B30">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[-0.0810,0.1052]</w:t>
            </w:r>
          </w:p>
        </w:tc>
        <w:tc>
          <w:tcPr>
            <w:tcW w:w="1528" w:type="dxa"/>
            <w:tcBorders>
              <w:top w:val="nil"/>
              <w:left w:val="nil"/>
              <w:bottom w:val="nil"/>
              <w:right w:val="nil"/>
            </w:tcBorders>
            <w:shd w:val="clear" w:color="auto" w:fill="FFFFFF"/>
            <w:noWrap w:val="0"/>
            <w:vAlign w:val="center"/>
          </w:tcPr>
          <w:p w14:paraId="78AA18BA">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52.2%</w:t>
            </w:r>
          </w:p>
        </w:tc>
        <w:tc>
          <w:tcPr>
            <w:tcW w:w="661" w:type="dxa"/>
            <w:tcBorders>
              <w:top w:val="nil"/>
              <w:left w:val="nil"/>
              <w:bottom w:val="nil"/>
              <w:right w:val="nil"/>
            </w:tcBorders>
            <w:shd w:val="clear" w:color="auto" w:fill="FFFFFF"/>
            <w:noWrap w:val="0"/>
            <w:vAlign w:val="center"/>
          </w:tcPr>
          <w:p w14:paraId="220B4D25">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41%</w:t>
            </w:r>
          </w:p>
        </w:tc>
      </w:tr>
      <w:tr w14:paraId="78A1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10" w:type="dxa"/>
            <w:tcBorders>
              <w:top w:val="nil"/>
              <w:left w:val="nil"/>
              <w:bottom w:val="single" w:color="000000" w:sz="12" w:space="0"/>
              <w:right w:val="nil"/>
            </w:tcBorders>
            <w:shd w:val="clear" w:color="auto" w:fill="FFFFFF"/>
            <w:noWrap w:val="0"/>
            <w:vAlign w:val="center"/>
          </w:tcPr>
          <w:p w14:paraId="4E99A71A">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FCC-test + video2</w:t>
            </w:r>
          </w:p>
        </w:tc>
        <w:tc>
          <w:tcPr>
            <w:tcW w:w="1043" w:type="dxa"/>
            <w:tcBorders>
              <w:top w:val="nil"/>
              <w:left w:val="nil"/>
              <w:bottom w:val="single" w:color="000000" w:sz="12" w:space="0"/>
              <w:right w:val="nil"/>
            </w:tcBorders>
            <w:shd w:val="clear" w:color="auto" w:fill="FFFFFF"/>
            <w:noWrap w:val="0"/>
            <w:vAlign w:val="center"/>
          </w:tcPr>
          <w:p w14:paraId="214F903B">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100</w:t>
            </w:r>
          </w:p>
        </w:tc>
        <w:tc>
          <w:tcPr>
            <w:tcW w:w="840" w:type="dxa"/>
            <w:tcBorders>
              <w:top w:val="nil"/>
              <w:left w:val="nil"/>
              <w:bottom w:val="single" w:color="000000" w:sz="12" w:space="0"/>
              <w:right w:val="nil"/>
            </w:tcBorders>
            <w:shd w:val="clear" w:color="auto" w:fill="FFFFFF"/>
            <w:noWrap w:val="0"/>
            <w:vAlign w:val="center"/>
          </w:tcPr>
          <w:p w14:paraId="184BCA82">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0.6218</w:t>
            </w:r>
          </w:p>
        </w:tc>
        <w:tc>
          <w:tcPr>
            <w:tcW w:w="1121" w:type="dxa"/>
            <w:tcBorders>
              <w:top w:val="nil"/>
              <w:left w:val="nil"/>
              <w:bottom w:val="single" w:color="000000" w:sz="12" w:space="0"/>
              <w:right w:val="nil"/>
            </w:tcBorders>
            <w:shd w:val="clear" w:color="auto" w:fill="FFFFFF"/>
            <w:noWrap w:val="0"/>
            <w:vAlign w:val="center"/>
          </w:tcPr>
          <w:p w14:paraId="6FDE54C2">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0.6218</w:t>
            </w:r>
          </w:p>
        </w:tc>
        <w:tc>
          <w:tcPr>
            <w:tcW w:w="1080" w:type="dxa"/>
            <w:tcBorders>
              <w:top w:val="nil"/>
              <w:left w:val="nil"/>
              <w:bottom w:val="single" w:color="000000" w:sz="12" w:space="0"/>
              <w:right w:val="nil"/>
            </w:tcBorders>
            <w:shd w:val="clear" w:color="auto" w:fill="FFFFFF"/>
            <w:noWrap w:val="0"/>
            <w:vAlign w:val="center"/>
          </w:tcPr>
          <w:p w14:paraId="684960F1">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-0.0441</w:t>
            </w:r>
          </w:p>
        </w:tc>
        <w:tc>
          <w:tcPr>
            <w:tcW w:w="1634" w:type="dxa"/>
            <w:tcBorders>
              <w:top w:val="nil"/>
              <w:left w:val="nil"/>
              <w:bottom w:val="single" w:color="000000" w:sz="12" w:space="0"/>
              <w:right w:val="nil"/>
            </w:tcBorders>
            <w:shd w:val="clear" w:color="auto" w:fill="FFFFFF"/>
            <w:noWrap w:val="0"/>
            <w:vAlign w:val="center"/>
          </w:tcPr>
          <w:p w14:paraId="279CB2FD">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[-0.1103,0.0219]</w:t>
            </w:r>
          </w:p>
        </w:tc>
        <w:tc>
          <w:tcPr>
            <w:tcW w:w="1528" w:type="dxa"/>
            <w:tcBorders>
              <w:top w:val="nil"/>
              <w:left w:val="nil"/>
              <w:bottom w:val="single" w:color="000000" w:sz="12" w:space="0"/>
              <w:right w:val="nil"/>
            </w:tcBorders>
            <w:shd w:val="clear" w:color="auto" w:fill="FFFFFF"/>
            <w:noWrap w:val="0"/>
            <w:vAlign w:val="center"/>
          </w:tcPr>
          <w:p w14:paraId="59170257">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9.4%</w:t>
            </w:r>
          </w:p>
        </w:tc>
        <w:tc>
          <w:tcPr>
            <w:tcW w:w="661" w:type="dxa"/>
            <w:tcBorders>
              <w:top w:val="nil"/>
              <w:left w:val="nil"/>
              <w:bottom w:val="single" w:color="000000" w:sz="12" w:space="0"/>
              <w:right w:val="nil"/>
            </w:tcBorders>
            <w:shd w:val="clear" w:color="auto" w:fill="FFFFFF"/>
            <w:noWrap w:val="0"/>
            <w:vAlign w:val="center"/>
          </w:tcPr>
          <w:p w14:paraId="78A84657">
            <w:pPr>
              <w:snapToGrid w:val="0"/>
              <w:spacing w:after="200" w:line="240" w:lineRule="auto"/>
              <w:ind w:left="0" w:leftChars="0" w:right="0" w:rightChars="0" w:firstLine="0" w:firstLineChars="0"/>
              <w:jc w:val="center"/>
              <w:rPr>
                <w:rFonts w:hint="default" w:ascii="Times New Roman" w:hAnsi="Times New Roman" w:eastAsia="宋体" w:cs="Times New Roman"/>
                <w:b w:val="0"/>
                <w:color w:val="000000"/>
                <w:sz w:val="21"/>
                <w:szCs w:val="21"/>
                <w:lang w:val="en-US" w:eastAsia="zh-CN"/>
              </w:rPr>
            </w:pPr>
            <w:r>
              <w:rPr>
                <w:rFonts w:hint="eastAsia" w:ascii="Times New Roman" w:hAnsi="Times New Roman" w:eastAsia="宋体" w:cs="Times New Roman"/>
                <w:b w:val="0"/>
                <w:color w:val="000000"/>
                <w:sz w:val="21"/>
                <w:szCs w:val="21"/>
                <w:lang w:val="en-US" w:eastAsia="zh-CN"/>
              </w:rPr>
              <w:t>49%</w:t>
            </w:r>
          </w:p>
        </w:tc>
      </w:tr>
    </w:tbl>
    <w:p w14:paraId="19AD5FFD">
      <w:pPr>
        <w:jc w:val="both"/>
        <w:rPr>
          <w:rFonts w:hint="default" w:ascii="Times New Roman" w:hAnsi="Times New Roman" w:eastAsia="宋体" w:cs="Times New Roman"/>
          <w:lang w:val="en-US" w:eastAsia="zh-CN"/>
        </w:rPr>
      </w:pPr>
    </w:p>
    <w:p w14:paraId="258BD0B8">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由表 5.6 可知，在主测试配置下，最终模型的平均增益为 0.0380，但 95% 置信区间为 [-0.0278, 0.1106]，说明均值提升具有可观察趋势，同时仍存在轨迹级不确定性。在同源验证子集上，平均增益仅为 0.0055，P(增益&gt;0) 为 52.2%，接近统计不确定状态。在跨视频配置下，平均增益为 -0.0441，P(增益&gt;0) 为 9.4%，说明当前模型在视频分片大小分布变化时稳定性不足。</w:t>
      </w:r>
    </w:p>
    <w:p w14:paraId="0FDB9401">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基于上述结果，本文实验仍存在以下局限。第一，本文所有网络轨迹均来自同一数据来源，虽然覆盖了主测试子集、同源验证子集和跨视频配置，但尚未覆盖更多网络来源、移动场景、长尾弱网条件和真实播放器部署环境。第二，跨视频配置结果表明，最终模型对视频分片大小分布和随机种子较敏感，说明当前经验池构造和验证选模流程可能仍偏向主视频配置。第三，本文主要关注离线训练和仿真测试，尚未系统评估真实播放器中的推理时延、显存占用、能耗和端侧部署成本。第四，最终模型虽然在主测试配置下取得更高平均奖励，但逐轨迹胜率、同源验证子集的小幅增益和跨视频配置退化共同表明，其稳定性仍不足以支持</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全面优于强基线</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的结论。</w:t>
      </w:r>
    </w:p>
    <w:p w14:paraId="0E8D05C3">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上述局限并不否定本文工作，而是限定了结论边界。本文能够证明的是：在当前仿真环境、数据划分和测试协议下，基于大语言模型适配的轻量化多尺度历史增强模型能够提升主测试配置下的平均 QoE；本文尚不能证明的是：该方法在所有视频内容、所有网络环境和所有部署约束下均优于强化学习基线。将这两类结论区分开，有助于保证实验论证的严谨性。</w:t>
      </w:r>
    </w:p>
    <w:p w14:paraId="5DA0124C">
      <w:p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后续研究可以从三个方向改进。首先，在更多视频配置和网络轨迹来源上补充泛化实验，尤其是跨视频、跨网络来源和长尾弱网场景。其次，针对逐轨迹失败样本分析模型决策失误原因，判断问题来自吞吐历史建模不足、奖励权重设置不充分，还是验证选模目标与测试 QoE 不完全一致。最后，可以结合更轻量的基座模型、模型蒸馏或推理加速方法，降低大模型 ABR 策略的部署成本，使其更接近实际流媒体系统需求。</w:t>
      </w:r>
    </w:p>
    <w:p w14:paraId="53858378">
      <w:bookmarkStart w:id="9" w:name="_GoBack"/>
      <w:bookmarkEnd w:id="9"/>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066E1"/>
    <w:rsid w:val="005A2C9F"/>
    <w:rsid w:val="00D212A0"/>
    <w:rsid w:val="00DE4D06"/>
    <w:rsid w:val="00EE6D96"/>
    <w:rsid w:val="01D90CF6"/>
    <w:rsid w:val="026F3D50"/>
    <w:rsid w:val="030518BB"/>
    <w:rsid w:val="043E3AAB"/>
    <w:rsid w:val="046E7F89"/>
    <w:rsid w:val="04CF45BE"/>
    <w:rsid w:val="04F56189"/>
    <w:rsid w:val="05547239"/>
    <w:rsid w:val="068176BD"/>
    <w:rsid w:val="07C0102B"/>
    <w:rsid w:val="08345513"/>
    <w:rsid w:val="08467321"/>
    <w:rsid w:val="08E602F7"/>
    <w:rsid w:val="0A887B45"/>
    <w:rsid w:val="0C5C523A"/>
    <w:rsid w:val="0CE66E80"/>
    <w:rsid w:val="0FE16D0F"/>
    <w:rsid w:val="1002041D"/>
    <w:rsid w:val="100C6DA1"/>
    <w:rsid w:val="11BA793A"/>
    <w:rsid w:val="128D61F7"/>
    <w:rsid w:val="13EE7E12"/>
    <w:rsid w:val="169C7128"/>
    <w:rsid w:val="16C15D3A"/>
    <w:rsid w:val="16DC4E3D"/>
    <w:rsid w:val="16E75D71"/>
    <w:rsid w:val="17202CA2"/>
    <w:rsid w:val="19946F79"/>
    <w:rsid w:val="19EC040D"/>
    <w:rsid w:val="19FF5E4F"/>
    <w:rsid w:val="1A44723C"/>
    <w:rsid w:val="1AFE2C2A"/>
    <w:rsid w:val="1B325767"/>
    <w:rsid w:val="1BFA1A53"/>
    <w:rsid w:val="1CE67C6B"/>
    <w:rsid w:val="1D482603"/>
    <w:rsid w:val="1DC256AB"/>
    <w:rsid w:val="1E7519B9"/>
    <w:rsid w:val="1EA53100"/>
    <w:rsid w:val="1EAC6868"/>
    <w:rsid w:val="1F593560"/>
    <w:rsid w:val="1F5E7203"/>
    <w:rsid w:val="2000702C"/>
    <w:rsid w:val="202D04AD"/>
    <w:rsid w:val="2128107A"/>
    <w:rsid w:val="219A5085"/>
    <w:rsid w:val="2266283C"/>
    <w:rsid w:val="23D37FCC"/>
    <w:rsid w:val="24B93C4E"/>
    <w:rsid w:val="24F53402"/>
    <w:rsid w:val="25575C84"/>
    <w:rsid w:val="272963A5"/>
    <w:rsid w:val="27567D73"/>
    <w:rsid w:val="29250036"/>
    <w:rsid w:val="2DB043E7"/>
    <w:rsid w:val="2DBB5BA6"/>
    <w:rsid w:val="2E3E7260"/>
    <w:rsid w:val="2E5549E7"/>
    <w:rsid w:val="2E561ED3"/>
    <w:rsid w:val="2EB46A04"/>
    <w:rsid w:val="2F675649"/>
    <w:rsid w:val="303C4F32"/>
    <w:rsid w:val="31D8182F"/>
    <w:rsid w:val="31F9181A"/>
    <w:rsid w:val="33271912"/>
    <w:rsid w:val="33B72DF3"/>
    <w:rsid w:val="344145EA"/>
    <w:rsid w:val="34B04469"/>
    <w:rsid w:val="34C874F9"/>
    <w:rsid w:val="352556BE"/>
    <w:rsid w:val="354C4FFC"/>
    <w:rsid w:val="35572E64"/>
    <w:rsid w:val="35EE1917"/>
    <w:rsid w:val="36445382"/>
    <w:rsid w:val="36E1327E"/>
    <w:rsid w:val="387B5E35"/>
    <w:rsid w:val="38B7144F"/>
    <w:rsid w:val="394713D0"/>
    <w:rsid w:val="39E51549"/>
    <w:rsid w:val="3A7C5D24"/>
    <w:rsid w:val="3AA2245B"/>
    <w:rsid w:val="3B020A8C"/>
    <w:rsid w:val="3B4951FA"/>
    <w:rsid w:val="3B536163"/>
    <w:rsid w:val="3C512CD8"/>
    <w:rsid w:val="3CCD5185"/>
    <w:rsid w:val="3CE23C59"/>
    <w:rsid w:val="3D314067"/>
    <w:rsid w:val="3DA03CFA"/>
    <w:rsid w:val="3E1511E9"/>
    <w:rsid w:val="3E7F19F3"/>
    <w:rsid w:val="3E94560B"/>
    <w:rsid w:val="3F694BD8"/>
    <w:rsid w:val="3F75355D"/>
    <w:rsid w:val="3F9562E7"/>
    <w:rsid w:val="4056752A"/>
    <w:rsid w:val="42342EE1"/>
    <w:rsid w:val="426B59C4"/>
    <w:rsid w:val="42CE2CD4"/>
    <w:rsid w:val="42E47C90"/>
    <w:rsid w:val="43212C92"/>
    <w:rsid w:val="43F45D3F"/>
    <w:rsid w:val="44125F38"/>
    <w:rsid w:val="457219C0"/>
    <w:rsid w:val="45AF3583"/>
    <w:rsid w:val="46CB5E4E"/>
    <w:rsid w:val="46E84133"/>
    <w:rsid w:val="4700508A"/>
    <w:rsid w:val="4831522C"/>
    <w:rsid w:val="496E58E1"/>
    <w:rsid w:val="4B3851E4"/>
    <w:rsid w:val="4B881658"/>
    <w:rsid w:val="4BA51176"/>
    <w:rsid w:val="4BA6467C"/>
    <w:rsid w:val="4C7545C3"/>
    <w:rsid w:val="4D0040BD"/>
    <w:rsid w:val="4D351AF3"/>
    <w:rsid w:val="4E892B8E"/>
    <w:rsid w:val="4F7D0A6A"/>
    <w:rsid w:val="502643B9"/>
    <w:rsid w:val="52493686"/>
    <w:rsid w:val="52BA4F74"/>
    <w:rsid w:val="52FC48D5"/>
    <w:rsid w:val="544B5A66"/>
    <w:rsid w:val="549C21E7"/>
    <w:rsid w:val="554E7F0C"/>
    <w:rsid w:val="56BE73D2"/>
    <w:rsid w:val="59F62FD6"/>
    <w:rsid w:val="5B512DDC"/>
    <w:rsid w:val="5B5F3EDC"/>
    <w:rsid w:val="5B652F32"/>
    <w:rsid w:val="5BF11E60"/>
    <w:rsid w:val="5CBC5279"/>
    <w:rsid w:val="5DB03BEE"/>
    <w:rsid w:val="5E617190"/>
    <w:rsid w:val="5F0333E3"/>
    <w:rsid w:val="60436C07"/>
    <w:rsid w:val="60A64D39"/>
    <w:rsid w:val="60B3748A"/>
    <w:rsid w:val="60BA12A3"/>
    <w:rsid w:val="61646DB2"/>
    <w:rsid w:val="64047D7C"/>
    <w:rsid w:val="653119F4"/>
    <w:rsid w:val="65521913"/>
    <w:rsid w:val="665E40FC"/>
    <w:rsid w:val="66DF3B52"/>
    <w:rsid w:val="67470D70"/>
    <w:rsid w:val="6807684D"/>
    <w:rsid w:val="681432BF"/>
    <w:rsid w:val="699629B8"/>
    <w:rsid w:val="6A1F4F7F"/>
    <w:rsid w:val="6A8A4858"/>
    <w:rsid w:val="6B622A78"/>
    <w:rsid w:val="6BD637A0"/>
    <w:rsid w:val="6C4C56DA"/>
    <w:rsid w:val="6CF4154E"/>
    <w:rsid w:val="6D9F6A54"/>
    <w:rsid w:val="6DB36FD5"/>
    <w:rsid w:val="6DC36570"/>
    <w:rsid w:val="6EB10C80"/>
    <w:rsid w:val="6F54601A"/>
    <w:rsid w:val="6F8864A5"/>
    <w:rsid w:val="6FD1640C"/>
    <w:rsid w:val="73CB4171"/>
    <w:rsid w:val="743273F9"/>
    <w:rsid w:val="744A4865"/>
    <w:rsid w:val="750202C6"/>
    <w:rsid w:val="75936D7D"/>
    <w:rsid w:val="76692DC4"/>
    <w:rsid w:val="7694046D"/>
    <w:rsid w:val="77861191"/>
    <w:rsid w:val="780779A0"/>
    <w:rsid w:val="78E73C5F"/>
    <w:rsid w:val="79255085"/>
    <w:rsid w:val="79C4388E"/>
    <w:rsid w:val="79ED53F5"/>
    <w:rsid w:val="7A92640F"/>
    <w:rsid w:val="7AB10FD4"/>
    <w:rsid w:val="7B3E1B4B"/>
    <w:rsid w:val="7C2C1A36"/>
    <w:rsid w:val="7C4F3091"/>
    <w:rsid w:val="7DF6029C"/>
    <w:rsid w:val="7F6573DA"/>
    <w:rsid w:val="7FBE66A4"/>
    <w:rsid w:val="7FD52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qFormat/>
    <w:uiPriority w:val="0"/>
    <w:pPr>
      <w:keepNext/>
      <w:keepLines/>
      <w:spacing w:after="220" w:line="360" w:lineRule="auto"/>
      <w:outlineLvl w:val="0"/>
    </w:pPr>
    <w:rPr>
      <w:rFonts w:ascii="黑体" w:eastAsia="黑体"/>
      <w:bCs/>
      <w:kern w:val="44"/>
      <w:sz w:val="30"/>
      <w:szCs w:val="30"/>
    </w:rPr>
  </w:style>
  <w:style w:type="paragraph" w:styleId="3">
    <w:name w:val="heading 2"/>
    <w:basedOn w:val="1"/>
    <w:next w:val="1"/>
    <w:qFormat/>
    <w:uiPriority w:val="0"/>
    <w:pPr>
      <w:keepNext/>
      <w:keepLines/>
      <w:spacing w:before="50" w:beforeLines="50" w:line="360" w:lineRule="auto"/>
      <w:outlineLvl w:val="1"/>
    </w:pPr>
    <w:rPr>
      <w:rFonts w:ascii="黑体" w:eastAsia="黑体"/>
      <w:bCs/>
      <w:sz w:val="28"/>
      <w:szCs w:val="28"/>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qFormat/>
    <w:uiPriority w:val="0"/>
    <w:pPr>
      <w:widowControl w:val="0"/>
      <w:spacing w:line="312"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样式 标题 1 + 段后: 1 行"/>
    <w:basedOn w:val="2"/>
    <w:qFormat/>
    <w:uiPriority w:val="0"/>
    <w:pPr>
      <w:keepLines w:val="0"/>
      <w:tabs>
        <w:tab w:val="clear" w:pos="377"/>
      </w:tabs>
      <w:snapToGrid w:val="0"/>
      <w:spacing w:after="240" w:afterLines="100"/>
      <w:jc w:val="left"/>
    </w:pPr>
    <w:rPr>
      <w:rFonts w:ascii="Cambria" w:hAnsi="Cambria" w:cs="宋体"/>
      <w:bCs w:val="0"/>
      <w:kern w:val="32"/>
      <w:szCs w:val="20"/>
      <w:lang w:bidi="en-US"/>
    </w:rPr>
  </w:style>
  <w:style w:type="paragraph" w:customStyle="1" w:styleId="8">
    <w:name w:val="图名中文"/>
    <w:basedOn w:val="1"/>
    <w:qFormat/>
    <w:uiPriority w:val="0"/>
    <w:pPr>
      <w:tabs>
        <w:tab w:val="clear" w:pos="377"/>
      </w:tabs>
      <w:snapToGrid w:val="0"/>
      <w:ind w:firstLine="480" w:firstLineChars="200"/>
      <w:jc w:val="center"/>
    </w:pPr>
    <w:rPr>
      <w:rFonts w:ascii="宋体" w:hAnsi="宋体"/>
      <w:sz w:val="21"/>
      <w:szCs w:val="21"/>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microsoft.com/office/2006/relationships/keyMapCustomizations" Target="customizations.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2025-10-12T15:57:00Z</dcterms:created>
  <dc:creator>Lenovo</dc:creator>
  <cp:lastModifiedBy>王祥豪</cp:lastModifiedBy>
  <dcterms:modified xsi:type="dcterms:W3CDTF">2026-05-24T07:19:18Z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6824F61767CC44298AD5470ABD9A5096_12</vt:lpwstr>
  </property>
  <property fmtid="{D5CDD505-2E9C-101B-9397-08002B2CF9AE}" pid="4" name="KSOTemplateDocerSaveRecord">
    <vt:lpwstr>eyJoZGlkIjoiMDYwZTJjNzUyYmI4MDVlNmU3YzBjOWNiNmZiNzQ4ZjIiLCJ1c2VySWQiOiIxNjE0MzU5NTI1In0=</vt:lpwstr>
  </property>
</Properties>
</file>