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6BF8D" w14:textId="7025AF40" w:rsidR="009873D9" w:rsidRDefault="009873D9" w:rsidP="00931A4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Translation Practice</w:t>
      </w:r>
    </w:p>
    <w:p w14:paraId="184F90F1" w14:textId="77777777" w:rsidR="00931A4C" w:rsidRPr="00931A4C" w:rsidRDefault="00931A4C" w:rsidP="00931A4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B78A7CD" w14:textId="77777777" w:rsidR="009873D9" w:rsidRDefault="009873D9" w:rsidP="00931A4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CA4D93" w14:textId="77777777" w:rsidR="00931A4C" w:rsidRDefault="00931A4C" w:rsidP="00896E7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A4C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Translate the following story.</w:t>
      </w:r>
    </w:p>
    <w:p w14:paraId="020EBBAD" w14:textId="77777777" w:rsidR="00931A4C" w:rsidRPr="00931A4C" w:rsidRDefault="00931A4C" w:rsidP="00896E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A4C">
        <w:rPr>
          <w:rFonts w:ascii="Times New Roman" w:eastAsia="Times New Roman" w:hAnsi="Times New Roman" w:cs="Times New Roman"/>
          <w:sz w:val="24"/>
          <w:szCs w:val="24"/>
        </w:rPr>
        <w:t>How Theseus Met the Minotaur</w:t>
      </w:r>
    </w:p>
    <w:p w14:paraId="0A4282F7" w14:textId="77777777" w:rsidR="00931A4C" w:rsidRPr="00931A4C" w:rsidRDefault="00931A4C" w:rsidP="00931A4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Pater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Thēseī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Aegeus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quī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rēx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Illō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tempore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cīvēs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potentī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rēgī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Crētae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poenās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dabant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septem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puerōs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et eundem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numerum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puellārum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Crētam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mittēbant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Hōs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quattuordecim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ingēns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Mīnōtaurus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necāvit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. Sed fortis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Thēseus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dīxit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Sī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poterō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istum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ingentem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vincam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quattuordecim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nostrīs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cīvibus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A4C">
        <w:rPr>
          <w:rFonts w:ascii="Times New Roman" w:eastAsia="Times New Roman" w:hAnsi="Times New Roman" w:cs="Times New Roman"/>
          <w:sz w:val="24"/>
          <w:szCs w:val="24"/>
        </w:rPr>
        <w:t>servābō</w:t>
      </w:r>
      <w:proofErr w:type="spellEnd"/>
      <w:r w:rsidRPr="00931A4C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34A6EA2B" w14:textId="77777777" w:rsidR="00931A4C" w:rsidRPr="00931A4C" w:rsidRDefault="00931A4C" w:rsidP="00931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23314" w14:textId="77777777" w:rsidR="00931A4C" w:rsidRPr="00931A4C" w:rsidRDefault="00931A4C" w:rsidP="00931A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1A4C">
        <w:rPr>
          <w:rFonts w:ascii="Times New Roman" w:eastAsia="Times New Roman" w:hAnsi="Times New Roman" w:cs="Times New Roman"/>
          <w:sz w:val="20"/>
          <w:szCs w:val="20"/>
        </w:rPr>
        <w:t>Notes:</w:t>
      </w:r>
    </w:p>
    <w:p w14:paraId="721E4B16" w14:textId="77777777" w:rsidR="00931A4C" w:rsidRPr="00931A4C" w:rsidRDefault="00931A4C" w:rsidP="00931A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1A4C">
        <w:rPr>
          <w:rFonts w:ascii="Times New Roman" w:eastAsia="Times New Roman" w:hAnsi="Times New Roman" w:cs="Times New Roman"/>
          <w:sz w:val="20"/>
          <w:szCs w:val="20"/>
        </w:rPr>
        <w:t xml:space="preserve">Thēseus, </w:t>
      </w:r>
      <w:proofErr w:type="spellStart"/>
      <w:r w:rsidRPr="00931A4C">
        <w:rPr>
          <w:rFonts w:ascii="Times New Roman" w:eastAsia="Times New Roman" w:hAnsi="Times New Roman" w:cs="Times New Roman"/>
          <w:sz w:val="20"/>
          <w:szCs w:val="20"/>
        </w:rPr>
        <w:t>Thēseī</w:t>
      </w:r>
      <w:proofErr w:type="spellEnd"/>
      <w:r w:rsidRPr="00931A4C">
        <w:rPr>
          <w:rFonts w:ascii="Times New Roman" w:eastAsia="Times New Roman" w:hAnsi="Times New Roman" w:cs="Times New Roman"/>
          <w:sz w:val="20"/>
          <w:szCs w:val="20"/>
        </w:rPr>
        <w:t>, m., Theseus</w:t>
      </w:r>
    </w:p>
    <w:p w14:paraId="0F3371C3" w14:textId="77777777" w:rsidR="00931A4C" w:rsidRPr="00931A4C" w:rsidRDefault="00931A4C" w:rsidP="00931A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1A4C">
        <w:rPr>
          <w:rFonts w:ascii="Times New Roman" w:eastAsia="Times New Roman" w:hAnsi="Times New Roman" w:cs="Times New Roman"/>
          <w:sz w:val="20"/>
          <w:szCs w:val="20"/>
        </w:rPr>
        <w:t xml:space="preserve">Aegeus, </w:t>
      </w:r>
      <w:proofErr w:type="spellStart"/>
      <w:r w:rsidRPr="00931A4C">
        <w:rPr>
          <w:rFonts w:ascii="Times New Roman" w:eastAsia="Times New Roman" w:hAnsi="Times New Roman" w:cs="Times New Roman"/>
          <w:sz w:val="20"/>
          <w:szCs w:val="20"/>
        </w:rPr>
        <w:t>Aegeī</w:t>
      </w:r>
      <w:proofErr w:type="spellEnd"/>
      <w:r w:rsidRPr="00931A4C">
        <w:rPr>
          <w:rFonts w:ascii="Times New Roman" w:eastAsia="Times New Roman" w:hAnsi="Times New Roman" w:cs="Times New Roman"/>
          <w:sz w:val="20"/>
          <w:szCs w:val="20"/>
        </w:rPr>
        <w:t>, m., Aegeus</w:t>
      </w:r>
    </w:p>
    <w:p w14:paraId="43A001B5" w14:textId="77777777" w:rsidR="00931A4C" w:rsidRPr="00931A4C" w:rsidRDefault="00931A4C" w:rsidP="00931A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31A4C">
        <w:rPr>
          <w:rFonts w:ascii="Times New Roman" w:eastAsia="Times New Roman" w:hAnsi="Times New Roman" w:cs="Times New Roman"/>
          <w:sz w:val="20"/>
          <w:szCs w:val="20"/>
        </w:rPr>
        <w:t>Crēta</w:t>
      </w:r>
      <w:proofErr w:type="spellEnd"/>
      <w:r w:rsidRPr="00931A4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31A4C">
        <w:rPr>
          <w:rFonts w:ascii="Times New Roman" w:eastAsia="Times New Roman" w:hAnsi="Times New Roman" w:cs="Times New Roman"/>
          <w:sz w:val="20"/>
          <w:szCs w:val="20"/>
        </w:rPr>
        <w:t>Crētae</w:t>
      </w:r>
      <w:proofErr w:type="spellEnd"/>
      <w:r w:rsidRPr="00931A4C">
        <w:rPr>
          <w:rFonts w:ascii="Times New Roman" w:eastAsia="Times New Roman" w:hAnsi="Times New Roman" w:cs="Times New Roman"/>
          <w:sz w:val="20"/>
          <w:szCs w:val="20"/>
        </w:rPr>
        <w:t>, f., the island Crete</w:t>
      </w:r>
    </w:p>
    <w:p w14:paraId="6C6E5B9C" w14:textId="77777777" w:rsidR="00931A4C" w:rsidRPr="00931A4C" w:rsidRDefault="00931A4C" w:rsidP="00931A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31A4C">
        <w:rPr>
          <w:rFonts w:ascii="Times New Roman" w:eastAsia="Times New Roman" w:hAnsi="Times New Roman" w:cs="Times New Roman"/>
          <w:sz w:val="20"/>
          <w:szCs w:val="20"/>
        </w:rPr>
        <w:t>Mīnōtaurus</w:t>
      </w:r>
      <w:proofErr w:type="spellEnd"/>
      <w:r w:rsidRPr="00931A4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31A4C">
        <w:rPr>
          <w:rFonts w:ascii="Times New Roman" w:eastAsia="Times New Roman" w:hAnsi="Times New Roman" w:cs="Times New Roman"/>
          <w:sz w:val="20"/>
          <w:szCs w:val="20"/>
        </w:rPr>
        <w:t>Mīnōtaurī</w:t>
      </w:r>
      <w:proofErr w:type="spellEnd"/>
      <w:r w:rsidRPr="00931A4C">
        <w:rPr>
          <w:rFonts w:ascii="Times New Roman" w:eastAsia="Times New Roman" w:hAnsi="Times New Roman" w:cs="Times New Roman"/>
          <w:sz w:val="20"/>
          <w:szCs w:val="20"/>
        </w:rPr>
        <w:t>, m., the Minotaur, a half-man, half-bull creature</w:t>
      </w:r>
    </w:p>
    <w:sectPr w:rsidR="00931A4C" w:rsidRPr="00931A4C" w:rsidSect="00931A4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004C8"/>
    <w:multiLevelType w:val="hybridMultilevel"/>
    <w:tmpl w:val="E14233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322"/>
    <w:multiLevelType w:val="hybridMultilevel"/>
    <w:tmpl w:val="33B40EB2"/>
    <w:lvl w:ilvl="0" w:tplc="C3CE4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676966">
    <w:abstractNumId w:val="0"/>
  </w:num>
  <w:num w:numId="2" w16cid:durableId="36552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D9"/>
    <w:rsid w:val="001036E2"/>
    <w:rsid w:val="00896E75"/>
    <w:rsid w:val="00931A4C"/>
    <w:rsid w:val="009873D9"/>
    <w:rsid w:val="00B105A0"/>
    <w:rsid w:val="00E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F068"/>
  <w15:chartTrackingRefBased/>
  <w15:docId w15:val="{C3523FAA-8468-4931-B4CF-6DA0FDC6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3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873D9"/>
    <w:rPr>
      <w:color w:val="808080"/>
    </w:rPr>
  </w:style>
  <w:style w:type="paragraph" w:styleId="ListParagraph">
    <w:name w:val="List Paragraph"/>
    <w:basedOn w:val="Normal"/>
    <w:uiPriority w:val="34"/>
    <w:qFormat/>
    <w:rsid w:val="0098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Ninh Nguyen</cp:lastModifiedBy>
  <cp:revision>3</cp:revision>
  <dcterms:created xsi:type="dcterms:W3CDTF">2017-12-02T20:14:00Z</dcterms:created>
  <dcterms:modified xsi:type="dcterms:W3CDTF">2025-10-22T17:25:00Z</dcterms:modified>
</cp:coreProperties>
</file>