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line="276" w:lineRule="auto"/>
        <w:ind w:left="720" w:hanging="360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Cấp chứng chỉ cho anh em đem đi khoe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Ôn lại nội dung các bài học</w:t>
        <w:br w:type="textWrapping"/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Tiêu chí chấm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bài giảng (60%): </w:t>
      </w:r>
      <w:r w:rsidDel="00000000" w:rsidR="00000000" w:rsidRPr="00000000">
        <w:rPr>
          <w:rtl w:val="0"/>
        </w:rPr>
        <w:br w:type="textWrapping"/>
        <w:t xml:space="preserve">Trong dự án thực hiện cần sử dụng các công nghệ: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Triton </w:t>
      </w:r>
      <w:r w:rsidDel="00000000" w:rsidR="00000000" w:rsidRPr="00000000">
        <w:rPr>
          <w:color w:val="ff0000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Seldon Deployment, KServe, or modelmesh-serving </w:t>
      </w:r>
      <w:r w:rsidDel="00000000" w:rsidR="00000000" w:rsidRPr="00000000">
        <w:rPr>
          <w:color w:val="ff0000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Feast 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PostgreSQL or any other offline stores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Redis or any other online stores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Kafka for refreshing features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Training pipelines using Kubeflow Pipelines, Airflow,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Hera</w:t>
        </w:r>
      </w:hyperlink>
      <w:r w:rsidDel="00000000" w:rsidR="00000000" w:rsidRPr="00000000">
        <w:rPr>
          <w:rtl w:val="0"/>
        </w:rPr>
        <w:t xml:space="preserve">, or similar tools </w:t>
      </w:r>
      <w:r w:rsidDel="00000000" w:rsidR="00000000" w:rsidRPr="00000000">
        <w:rPr>
          <w:color w:val="ff0000"/>
          <w:rtl w:val="0"/>
        </w:rPr>
        <w:t xml:space="preserve">(15%)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Knative-eventing for capturing logs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thực tế (40%):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Tuỳ từng i. hay ii. như sau: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Sử dụng 1 GCE để deploy các components </w:t>
      </w:r>
      <w:r w:rsidDel="00000000" w:rsidR="00000000" w:rsidRPr="00000000">
        <w:rPr>
          <w:color w:val="ff0000"/>
          <w:rtl w:val="0"/>
        </w:rPr>
        <w:t xml:space="preserve">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1 GKE (hoặc GKE kết hợp GCE) để deploy các components </w:t>
      </w:r>
      <w:r w:rsidDel="00000000" w:rsidR="00000000" w:rsidRPr="00000000">
        <w:rPr>
          <w:color w:val="ff0000"/>
          <w:rtl w:val="0"/>
        </w:rPr>
        <w:t xml:space="preserve">(35%)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registry sử dụng GCS hoặc object storage của bất kỳ cloud providers nào khác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 gợi ý:</w:t>
        <w:br w:type="textWrapping"/>
      </w:r>
      <w:r w:rsidDel="00000000" w:rsidR="00000000" w:rsidRPr="00000000">
        <w:rPr>
          <w:rtl w:val="0"/>
        </w:rPr>
        <w:t xml:space="preserve">Xây dựng hệ thống training và serving với kiến trúc như sau (</w:t>
      </w:r>
      <w:r w:rsidDel="00000000" w:rsidR="00000000" w:rsidRPr="00000000">
        <w:rPr>
          <w:color w:val="6aa84f"/>
          <w:rtl w:val="0"/>
        </w:rPr>
        <w:t xml:space="preserve">khuyến khích mọi người bổ sung thêm luồng anomaly detection với knative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before="0" w:line="276" w:lineRule="auto"/>
        <w:ind w:left="720" w:hanging="360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Source code trên Github với diễn giải chi tiết cách cài đặt và cách chạy code ở README.md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Video chứng minh các công nghệ sử dụng và demo full flow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Kubeflow Pipelines and Kubeflow Training Operators can be deployed in a standalone mode without installing the whole Kubeflow platform.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Kubeflow Pipelines: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https://github.com/kubeflow/pipelines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Kubeflow Training Operators: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https://github.com/kubeflow/training-operator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reuse MiniKF on GCP, which costs around 92$ per month.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https://console.cloud.google.com/marketplace/product/arrikto-public/minikf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sole.cloud.google.com/marketplace/product/arrikto-public/minikf" TargetMode="External"/><Relationship Id="rId10" Type="http://schemas.openxmlformats.org/officeDocument/2006/relationships/hyperlink" Target="https://github.com/kubeflow/training-operator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github.com/kubeflow/pipelin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goproj-labs/her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IaFzaAp0ZjRT3cxv9wLnTLenEQ==">CgMxLjAyCGguZ2pkZ3hzMgloLjMwajB6bGwyCWguMWZvYjl0ZTIJaC4zem55c2g3OAByITFfcUMxcnpNbEpmdE52U3BQNUhDNmJnbHhtcVNYNDV1RQ==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