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 Chương XX</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p>
      <w:r>
        <w:t>Chương XX: Các tội phạm về ma túy. Điều 248. Tội sản xuất trái phép chất ma túy. Điều 249. Tội tàng trữ trái phép chất ma túy. Người nào tàng trữ trái phép chất ma túy bị phạt tù từ 01 năm đến 05 năm. Điều 250. Tội vận chuyển trái phép chất ma túy.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