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Estimativa da Recorrência de Violência contra a Pessoa Idosa a partir de Dados do SINAN Utilizando Aprendizado de Máquina</w:t>
      </w:r>
    </w:p>
    <w:p>
      <w:pPr>
        <w:pStyle w:val="Author"/>
      </w:pPr>
      <w:r>
        <w:t xml:space="preserve">Nicole Moritz e Morgane De Avila</w:t>
      </w:r>
      <w:r>
        <w:br/>
      </w:r>
      <w:r>
        <w:t xml:space="preserve">Universidade Federal da Fronteira Sul</w:t>
      </w:r>
      <w:r>
        <w:br/>
      </w:r>
      <w:r>
        <w:t xml:space="preserve">Chapecó – SC – Brasil</w:t>
      </w:r>
    </w:p>
    <w:p>
      <w:pPr>
        <w:pStyle w:val="FirstParagraph"/>
      </w:pPr>
    </w:p>
    <w:p>
      <w:pPr>
        <w:pStyle w:val="BodyText"/>
      </w:pPr>
      <w:r>
        <w:t xml:space="preserve">A violência contra a pessoa idosa é um problema de saúde pública cuja recorrência pode ampliar situações de vulnerabilidade. Este trabalho desenvolve e avalia modelos de aprendizado de máquina supervisionado a partir de registros do Sistema de Informação de Agravos de Notificação (SINAN), com o objetivo de estimar a recorrência registrada de violência envolvendo pessoas com 60 anos ou mais. Foram utilizados os microdados de 2024, submetidos a critérios de seleção, análise de qualidade, pré-processamento e engenharia de atributos. A amostra final de modelagem foi composta por 25.052 notificações de violência interpessoal. Foram comparados regressão logística, Random Forest e HistGradientBoosting, além de um classificador de referência. O HistGradientBoosting apresentou o melhor desempenho discriminativo, com AUC-ROC de 0,845 no conjunto de teste. O modelo é investigado como componente de um artefato de apoio à priorização de casos para revisão humana, sem substituir a avaliação profissional ou os protocolos de proteção existentes.</w:t>
      </w:r>
    </w:p>
    <w:bookmarkStart w:id="9" w:name="introdução"/>
    <w:p>
      <w:pPr>
        <w:pStyle w:val="Heading1"/>
      </w:pPr>
      <w:r>
        <w:rPr>
          <w:rStyle w:val="SectionNumber"/>
        </w:rPr>
        <w:t xml:space="preserve">1</w:t>
      </w:r>
      <w:r>
        <w:tab/>
      </w:r>
      <w:r>
        <w:t xml:space="preserve">Introdução</w:t>
      </w:r>
    </w:p>
    <w:p>
      <w:pPr>
        <w:pStyle w:val="FirstParagraph"/>
      </w:pPr>
      <w:r>
        <w:t xml:space="preserve">O envelhecimento populacional brasileiro vem ocorrendo de forma acelerada e produz novas demandas para as políticas públicas de saúde, assistência social e proteção de direitos. Dados do Censo Demográfico 2022 indicam que o Brasil possuía aproximadamente 32,1 milhões de pessoas com 60 anos ou mais, contingente substancialmente superior ao registrado no Censo de 2010</w:t>
      </w:r>
      <w:r>
        <w:t xml:space="preserve"> </w:t>
      </w:r>
      <w:r>
        <w:t xml:space="preserve">(Instituto Brasileiro de Geografia e Estatística 2023)</w:t>
      </w:r>
      <w:r>
        <w:t xml:space="preserve">. À medida que aumenta a participação das pessoas idosas na população, torna-se também mais relevante desenvolver mecanismos de prevenção, identificação precoce e resposta a situações que comprometem sua integridade, autonomia e qualidade de vida.</w:t>
      </w:r>
    </w:p>
    <w:p>
      <w:pPr>
        <w:pStyle w:val="BodyText"/>
      </w:pPr>
      <w:r>
        <w:t xml:space="preserve">Entre essas situações, destaca-se a violência contra a pessoa idosa, reconhecida como problema de saúde pública e de garantia de direitos. Ela pode assumir diferentes formas, como violência física, psicológica ou moral, sexual, financeira ou econômica, negligência e abandono, frequentemente ocorrendo em relações nas quais existe proximidade ou dependência entre vítima e agressor. Estudos baseados em notificações do setor saúde evidenciam a complexidade desse fenômeno e sua presença em diferentes regiões do país</w:t>
      </w:r>
      <w:r>
        <w:t xml:space="preserve"> </w:t>
      </w:r>
      <w:r>
        <w:t xml:space="preserve">(</w:t>
      </w:r>
      <w:r>
        <w:t xml:space="preserve">Mascarenhas et al.</w:t>
      </w:r>
      <w:r>
        <w:t xml:space="preserve"> </w:t>
      </w:r>
      <w:r>
        <w:t xml:space="preserve">2012)</w:t>
      </w:r>
      <w:r>
        <w:t xml:space="preserve">.</w:t>
      </w:r>
    </w:p>
    <w:p>
      <w:pPr>
        <w:pStyle w:val="BodyText"/>
      </w:pPr>
      <w:r>
        <w:t xml:space="preserve">Em análise nacional das notificações do SINAN referentes a 2017, Andrade et al.</w:t>
      </w:r>
      <w:r>
        <w:t xml:space="preserve"> </w:t>
      </w:r>
      <w:r>
        <w:t xml:space="preserve">(Andrade et al. 2023)</w:t>
      </w:r>
      <w:r>
        <w:t xml:space="preserve"> </w:t>
      </w:r>
      <w:r>
        <w:t xml:space="preserve">observaram que 76,9% dos casos ocorreram no domicílio e que 49,5% foram registrados como violência recorrente. Na amostra de 2024 analisada neste trabalho, 53,3% dos registros com resposta válida para recorrência foram classificados como recorrentes. Os valores são próximos e reforçam a importância de investigar fatores associados à repetição das agressões.</w:t>
      </w:r>
    </w:p>
    <w:p>
      <w:pPr>
        <w:pStyle w:val="BodyText"/>
      </w:pPr>
      <w:r>
        <w:t xml:space="preserve">No Brasil, a vigilância de violências é realizada, entre outros instrumentos, por meio do VIVA/SINAN. A notificação de violência doméstica, sexual e de outras violências é compulsória nos serviços de saúde, e a ficha reúne informações sociodemográficas da vítima, características da ocorrência e dados sobre o provável autor. Entre seus campos está a variável</w:t>
      </w:r>
      <w:r>
        <w:t xml:space="preserve"> </w:t>
      </w:r>
      <w:r>
        <w:t xml:space="preserve">“Ocorreu outras vezes?”</w:t>
      </w:r>
      <w:r>
        <w:t xml:space="preserve">, destinada a indicar se o evento já havia acontecido anteriormente, com respostas</w:t>
      </w:r>
      <w:r>
        <w:t xml:space="preserve"> </w:t>
      </w:r>
      <w:r>
        <w:t xml:space="preserve">“sim”</w:t>
      </w:r>
      <w:r>
        <w:t xml:space="preserve">,</w:t>
      </w:r>
      <w:r>
        <w:t xml:space="preserve"> </w:t>
      </w:r>
      <w:r>
        <w:t xml:space="preserve">“não”</w:t>
      </w:r>
      <w:r>
        <w:t xml:space="preserve"> </w:t>
      </w:r>
      <w:r>
        <w:t xml:space="preserve">ou</w:t>
      </w:r>
      <w:r>
        <w:t xml:space="preserve"> </w:t>
      </w:r>
      <w:r>
        <w:t xml:space="preserve">“ignorado”</w:t>
      </w:r>
      <w:r>
        <w:t xml:space="preserve"> </w:t>
      </w:r>
      <w:r>
        <w:t xml:space="preserve">(Brasil. Ministério da Saúde 2016)</w:t>
      </w:r>
      <w:r>
        <w:t xml:space="preserve">. Embora esse campo permita estudar recorrência, sua utilização exige cautela: o próprio Ministério da Saúde recomenda a análise da completitude e da consistência das bases do SINAN</w:t>
      </w:r>
      <w:r>
        <w:t xml:space="preserve"> </w:t>
      </w:r>
      <w:r>
        <w:t xml:space="preserve">(Brasil. Ministério da Saúde 2019)</w:t>
      </w:r>
      <w:r>
        <w:t xml:space="preserve">, e pesquisas com notificações de violência contra pessoas idosas apontam problemas de preenchimento em variáveis relevantes</w:t>
      </w:r>
      <w:r>
        <w:t xml:space="preserve"> </w:t>
      </w:r>
      <w:r>
        <w:t xml:space="preserve">(</w:t>
      </w:r>
      <w:r>
        <w:t xml:space="preserve">Lima et al.</w:t>
      </w:r>
      <w:r>
        <w:t xml:space="preserve"> </w:t>
      </w:r>
      <w:r>
        <w:t xml:space="preserve">2023)</w:t>
      </w:r>
      <w:r>
        <w:t xml:space="preserve">.</w:t>
      </w:r>
    </w:p>
    <w:p>
      <w:pPr>
        <w:pStyle w:val="BodyText"/>
      </w:pPr>
      <w:r>
        <w:t xml:space="preserve">Esse cenário conduz ao problema investigado neste trabalho: é possível estimar, a partir dos campos da ficha de notificação do SINAN, a probabilidade de recorrência da violência contra a pessoa idosa de modo a apoiar a priorização de casos para revisão nos serviços de proteção? A questão é especialmente relevante porque, em pessoas idosas, limitações de comunicação, dependência de terceiros e vínculos próximos com o agressor podem dificultar a obtenção de informações completas. Assim, o campo de recorrência deve ser entendido como um rótulo de notificação sujeito a incertezas, e não como uma representação perfeita da realidade.</w:t>
      </w:r>
    </w:p>
    <w:p>
      <w:pPr>
        <w:pStyle w:val="BodyText"/>
      </w:pPr>
      <w:r>
        <w:t xml:space="preserve">Técnicas de aprendizado de máquina podem contribuir nesse contexto por identificar padrões em grandes bases de dados e combinar simultaneamente características como tipo de violência, local da ocorrência, relação com o provável agressor, faixa etária, sexo, escolaridade e suspeita de uso de álcool. Há precedente recente para o emprego de inteligência artificial em dados de violência do SINAN: Bandiera-Paiva et al.</w:t>
      </w:r>
      <w:r>
        <w:t xml:space="preserve"> </w:t>
      </w:r>
      <w:r>
        <w:t xml:space="preserve">(Bandiera-Paiva et al. 2026)</w:t>
      </w:r>
      <w:r>
        <w:t xml:space="preserve"> </w:t>
      </w:r>
      <w:r>
        <w:t xml:space="preserve">aplicaram técnicas de ciência de dados e modelagem preditiva a notificações de violência contra mulheres no município de São Paulo. Contudo, permanece uma lacuna quanto ao uso desses métodos para estudar especificamente pessoas idosas e a recorrência da violência em notificações brasileiras.</w:t>
      </w:r>
    </w:p>
    <w:p>
      <w:pPr>
        <w:pStyle w:val="BodyText"/>
      </w:pPr>
      <w:r>
        <w:t xml:space="preserve">Diante disso, o objetivo geral deste estudo é desenvolver e avaliar modelos de aprendizado de máquina capazes de estimar, a partir dos dados registrados nas fichas de notificação do SINAN, a probabilidade de uma ocorrência de violência contra pessoa com 60 anos ou mais ser classificada como violência de repetição. Em vez de fornecer apenas uma classificação binária, pretende-se produzir uma estimativa entre 0 e 1 que possa ser analisada como um escore complementar de apoio à organização da revisão dos casos. Essa saída não deverá ser interpretada como decisão automática sobre atendimento, proteção ou responsabilização, mas como informação adicional para análise profissional.</w:t>
      </w:r>
    </w:p>
    <w:p>
      <w:pPr>
        <w:pStyle w:val="BodyText"/>
      </w:pPr>
      <w:r>
        <w:t xml:space="preserve">A relevância da proposta é simultaneamente social, científica e metodológica. Socialmente, a recorrência indica que parte importante das notificações não corresponde a episódios isolados. Cientificamente, o estudo aproxima técnicas de ciência de dados de um problema de saúde pública utilizando dados brasileiros. Metodologicamente, permite investigar até que ponto informações já disponíveis no SINAN apresentam capacidade discriminativa para ordenar casos segundo a recorrência registrada. Como sistemas algorítmicos aplicados à saúde podem reproduzir desigualdades e vieses existentes nos registros, são consideradas salvaguardas como documentação das limitações da base, supervisão humana e futura avaliação por subgrupos, em consonância com orientações internacionais para inteligência artificial em saúde</w:t>
      </w:r>
      <w:r>
        <w:t xml:space="preserve"> </w:t>
      </w:r>
      <w:r>
        <w:t xml:space="preserve">(World Health Organization 2021)</w:t>
      </w:r>
      <w:r>
        <w:t xml:space="preserve">.</w:t>
      </w:r>
    </w:p>
    <w:bookmarkEnd w:id="9"/>
    <w:bookmarkStart w:id="11" w:name="trabalhos-relacionados"/>
    <w:p>
      <w:pPr>
        <w:pStyle w:val="Heading1"/>
      </w:pPr>
      <w:r>
        <w:rPr>
          <w:rStyle w:val="SectionNumber"/>
        </w:rPr>
        <w:t xml:space="preserve">2</w:t>
      </w:r>
      <w:r>
        <w:tab/>
      </w:r>
      <w:r>
        <w:t xml:space="preserve">Trabalhos Relacionados</w:t>
      </w:r>
    </w:p>
    <w:p>
      <w:pPr>
        <w:pStyle w:val="FirstParagraph"/>
      </w:pPr>
      <w:r>
        <w:t xml:space="preserve">Bandiera-Paiva et al.</w:t>
      </w:r>
      <w:r>
        <w:t xml:space="preserve"> </w:t>
      </w:r>
      <w:r>
        <w:t xml:space="preserve">(Bandiera-Paiva et al. 2026)</w:t>
      </w:r>
      <w:r>
        <w:t xml:space="preserve"> </w:t>
      </w:r>
      <w:r>
        <w:t xml:space="preserve">propuseram o framework</w:t>
      </w:r>
      <w:r>
        <w:t xml:space="preserve"> </w:t>
      </w:r>
      <w:r>
        <w:rPr>
          <w:i/>
          <w:iCs/>
        </w:rPr>
        <w:t xml:space="preserve">Health Research Standard Process for Artificial Intelligence</w:t>
      </w:r>
      <w:r>
        <w:t xml:space="preserve"> </w:t>
      </w:r>
      <w:r>
        <w:t xml:space="preserve">(HRSP-AI) e o aplicaram à análise de violência contra mulheres no município de São Paulo. O trabalho utilizou dados do SINAN entre 2013 e 2023 e combinou preparação de dados, análises sociodemográficas e espaciais, séries temporais e técnicas de inteligência artificial. Como resultado, os autores demonstraram a viabilidade do framework para organizar análises de dados de saúde e desenvolver componentes preditivos, além de apresentar uma matriz metodológica replicável. Esse estudo é especialmente próximo ao presente trabalho por empregar a mesma fonte nacional de notificações, embora trate de outra população e não tenha como variável-alvo a recorrência da violência contra pessoas idosas.</w:t>
      </w:r>
    </w:p>
    <w:p>
      <w:pPr>
        <w:pStyle w:val="BodyText"/>
      </w:pPr>
      <w:r>
        <w:t xml:space="preserve">Zeng et al.</w:t>
      </w:r>
      <w:r>
        <w:t xml:space="preserve"> </w:t>
      </w:r>
      <w:r>
        <w:t xml:space="preserve">(Zeng et al. 2025)</w:t>
      </w:r>
      <w:r>
        <w:t xml:space="preserve"> </w:t>
      </w:r>
      <w:r>
        <w:t xml:space="preserve">investigaram fatores associados ao abuso de pessoas idosas no ambiente familiar e buscaram identificar diferenças entre tipos de violência. A pesquisa utilizou 10.703 registros da</w:t>
      </w:r>
      <w:r>
        <w:t xml:space="preserve"> </w:t>
      </w:r>
      <w:r>
        <w:rPr>
          <w:i/>
          <w:iCs/>
        </w:rPr>
        <w:t xml:space="preserve">China Longitudinal Aging Social Survey</w:t>
      </w:r>
      <w:r>
        <w:t xml:space="preserve"> </w:t>
      </w:r>
      <w:r>
        <w:t xml:space="preserve">e aplicou um classificador</w:t>
      </w:r>
      <w:r>
        <w:t xml:space="preserve"> </w:t>
      </w:r>
      <w:r>
        <w:rPr>
          <w:i/>
          <w:iCs/>
        </w:rPr>
        <w:t xml:space="preserve">Random Forest</w:t>
      </w:r>
      <w:r>
        <w:t xml:space="preserve"> </w:t>
      </w:r>
      <w:r>
        <w:t xml:space="preserve">para estimar a importância das variáveis. Os resultados apontaram como fatores de maior importância a condição econômica dos filhos, o número de filhos, o estado de saúde da pessoa idosa, as relações intergeracionais, a pressão de tempo sobre os filhos e a oferta de serviços domiciliares de cuidado. O estudo evidencia a utilidade de modelos supervisionados para identificar padrões relacionados à violência contra idosos, mas utiliza dados de pesquisa amostral e tem como foco a ocorrência de abuso, e não sua recorrência em registros de vigilância.</w:t>
      </w:r>
    </w:p>
    <w:p>
      <w:pPr>
        <w:pStyle w:val="BodyText"/>
      </w:pPr>
      <w:r>
        <w:t xml:space="preserve">Pappadis et al.</w:t>
      </w:r>
      <w:r>
        <w:t xml:space="preserve"> </w:t>
      </w:r>
      <w:r>
        <w:t xml:space="preserve">(Pappadis et al. 2025)</w:t>
      </w:r>
      <w:r>
        <w:t xml:space="preserve"> </w:t>
      </w:r>
      <w:r>
        <w:t xml:space="preserve">desenvolveram e validaram internamente um modelo preliminar para prever diagnóstico de maus-tratos contra pessoas idosas em um horizonte de dois anos. Foram analisados 2.261.166 beneficiários do Medicare com 66 anos ou mais, utilizando regressão logística,</w:t>
      </w:r>
      <w:r>
        <w:t xml:space="preserve"> </w:t>
      </w:r>
      <w:r>
        <w:rPr>
          <w:i/>
          <w:iCs/>
        </w:rPr>
        <w:t xml:space="preserve">Random Forest</w:t>
      </w:r>
      <w:r>
        <w:t xml:space="preserve">, árvores com</w:t>
      </w:r>
      <w:r>
        <w:t xml:space="preserve"> </w:t>
      </w:r>
      <w:r>
        <w:rPr>
          <w:i/>
          <w:iCs/>
        </w:rPr>
        <w:t xml:space="preserve">gradient boosting</w:t>
      </w:r>
      <w:r>
        <w:t xml:space="preserve"> </w:t>
      </w:r>
      <w:r>
        <w:t xml:space="preserve">e perceptron multicamadas. Os preditores incluíram características demográficas, comorbidades, sinais clínicos e determinantes sociais. A regressão logística completa obteve AUC de 0,7253 e sensibilidade de 0,8007, enquanto o</w:t>
      </w:r>
      <w:r>
        <w:t xml:space="preserve"> </w:t>
      </w:r>
      <w:r>
        <w:rPr>
          <w:i/>
          <w:iCs/>
        </w:rPr>
        <w:t xml:space="preserve">Random Forest</w:t>
      </w:r>
      <w:r>
        <w:t xml:space="preserve"> </w:t>
      </w:r>
      <w:r>
        <w:t xml:space="preserve">apresentou a maior sensibilidade, de 0,8119. Os autores também observaram diferenças de desempenho entre grupos demográficos, reforçando a necessidade de avaliar possíveis vieses dos modelos. Embora o desfecho seja a identificação futura de maus-tratos e não a recorrência de uma notificação, o trabalho oferece referência importante para comparação de algoritmos, calibração e análise por subgrupos.</w:t>
      </w:r>
    </w:p>
    <w:p>
      <w:pPr>
        <w:pStyle w:val="BodyText"/>
      </w:pPr>
      <w:r>
        <w:t xml:space="preserve">Oguztuzun et al.</w:t>
      </w:r>
      <w:r>
        <w:t xml:space="preserve"> </w:t>
      </w:r>
      <w:r>
        <w:t xml:space="preserve">(Oguztuzun et al. 2025)</w:t>
      </w:r>
      <w:r>
        <w:t xml:space="preserve"> </w:t>
      </w:r>
      <w:r>
        <w:t xml:space="preserve">utilizaram aprendizado de máquina interpretável para estudar reincidência de agressão física em casos de violência por parceiro íntimo. A pesquisa empregou dados de um estudo clínico longitudinal de quatro anos e comparou algoritmos como SVM, regressão logística, Naive Bayes, k-vizinhos mais próximos,</w:t>
      </w:r>
      <w:r>
        <w:t xml:space="preserve"> </w:t>
      </w:r>
      <w:r>
        <w:rPr>
          <w:i/>
          <w:iCs/>
        </w:rPr>
        <w:t xml:space="preserve">Random Forest</w:t>
      </w:r>
      <w:r>
        <w:t xml:space="preserve">, XGBoost, AdaBoost e CatBoost, com validação cruzada em cinco partes. A acurácia dos modelos permaneceu próxima de 60% para a maior parte dos algoritmos, e análises de importância de atributos indicaram que combinar informações relatadas pelo agressor e pela parceira melhorou o poder preditivo. O estudo é relevante por tratar diretamente de reincidência e por enfatizar interpretabilidade, apesar de envolver outro tipo de violência, outra população e uma base clínica de menor escala.</w:t>
      </w:r>
    </w:p>
    <w:p>
      <w:pPr>
        <w:pStyle w:val="BodyText"/>
      </w:pPr>
      <w:r>
        <w:t xml:space="preserve">A Tabela </w:t>
      </w:r>
      <w:hyperlink w:anchor="tab:comparacao">
        <w:r>
          <w:rPr>
            <w:rStyle w:val="Hyperlink"/>
          </w:rPr>
          <w:t xml:space="preserve">1</w:t>
        </w:r>
      </w:hyperlink>
      <w:r>
        <w:t xml:space="preserve"> </w:t>
      </w:r>
      <w:r>
        <w:t xml:space="preserve">sintetiza as aproximações e diferenças entre os estudos. Observa-se que os trabalhos existentes cobrem separadamente elementos centrais desta pesquisa: uso do SINAN e inteligência artificial, predição de violência contra pessoas idosas e modelagem de reincidência. Entretanto, entre os estudos analisados, não foi identificado um trabalho que reúna simultaneamente o recorte de pessoas com 60 anos ou mais, os registros brasileiros do SINAN e a estimativa probabilística da recorrência como desfecho principal. Essa combinação constitui a principal distinção da proposta.</w:t>
      </w:r>
    </w:p>
    <w:bookmarkStart w:id="10" w:name="tab:comparacao"/>
    <w:p>
      <w:pPr>
        <w:pStyle w:val="TableCaption"/>
      </w:pPr>
      <w:r>
        <w:t xml:space="preserve">Comparação entre os trabalhos relacionados e a pesquisa proposta.</w:t>
      </w:r>
    </w:p>
    <w:tbl>
      <w:tblPr>
        <w:tblStyle w:val="Table"/>
        <w:tblW w:type="auto" w:w="0"/>
        <w:tblLook w:firstRow="1" w:lastRow="0" w:firstColumn="0" w:lastColumn="0" w:noHBand="0" w:noVBand="0" w:val="0020"/>
        <w:tblCaption w:val="Comparação entre os trabalhos relacionados e a pesquisa proposta."/>
      </w:tblPr>
      <w:tblGrid>
        <w:gridCol w:w="1980"/>
        <w:gridCol w:w="1980"/>
        <w:gridCol w:w="1980"/>
        <w:gridCol w:w="1980"/>
      </w:tblGrid>
      <w:tr>
        <w:trPr>
          <w:tblHeader w:val="on"/>
        </w:trPr>
        <w:tc>
          <w:tcPr/>
          <w:p>
            <w:pPr>
              <w:pStyle w:val="Compact"/>
              <w:jc w:val="left"/>
            </w:pPr>
            <w:r>
              <w:rPr>
                <w:b/>
                <w:bCs/>
              </w:rPr>
              <w:t xml:space="preserve">Trabalho</w:t>
            </w:r>
          </w:p>
        </w:tc>
        <w:tc>
          <w:tcPr/>
          <w:p>
            <w:pPr>
              <w:pStyle w:val="Compact"/>
              <w:jc w:val="left"/>
            </w:pPr>
            <w:r>
              <w:rPr>
                <w:b/>
                <w:bCs/>
              </w:rPr>
              <w:t xml:space="preserve">Dados/população</w:t>
            </w:r>
          </w:p>
        </w:tc>
        <w:tc>
          <w:tcPr/>
          <w:p>
            <w:pPr>
              <w:pStyle w:val="Compact"/>
              <w:jc w:val="left"/>
            </w:pPr>
            <w:r>
              <w:rPr>
                <w:b/>
                <w:bCs/>
              </w:rPr>
              <w:t xml:space="preserve">Abordagem</w:t>
            </w:r>
          </w:p>
        </w:tc>
        <w:tc>
          <w:tcPr/>
          <w:p>
            <w:pPr>
              <w:pStyle w:val="Compact"/>
              <w:jc w:val="left"/>
            </w:pPr>
            <w:r>
              <w:rPr>
                <w:b/>
                <w:bCs/>
              </w:rPr>
              <w:t xml:space="preserve">Principal diferença</w:t>
            </w:r>
          </w:p>
        </w:tc>
      </w:tr>
      <w:tr>
        <w:tc>
          <w:tcPr/>
          <w:p>
            <w:pPr>
              <w:pStyle w:val="Compact"/>
              <w:jc w:val="left"/>
            </w:pPr>
            <w:r>
              <w:t xml:space="preserve">Bandiera-Paiva et al. (2026)</w:t>
            </w:r>
          </w:p>
        </w:tc>
        <w:tc>
          <w:tcPr/>
          <w:p>
            <w:pPr>
              <w:pStyle w:val="Compact"/>
              <w:jc w:val="left"/>
            </w:pPr>
            <w:r>
              <w:t xml:space="preserve">SINAN; violência contra mulheres em São Paulo</w:t>
            </w:r>
          </w:p>
        </w:tc>
        <w:tc>
          <w:tcPr/>
          <w:p>
            <w:pPr>
              <w:pStyle w:val="Compact"/>
              <w:jc w:val="left"/>
            </w:pPr>
            <w:r>
              <w:t xml:space="preserve">Ciência de dados, séries temporais e IA</w:t>
            </w:r>
          </w:p>
        </w:tc>
        <w:tc>
          <w:tcPr/>
          <w:p>
            <w:pPr>
              <w:pStyle w:val="Compact"/>
              <w:jc w:val="left"/>
            </w:pPr>
            <w:r>
              <w:t xml:space="preserve">Usa SINAN e IA, mas não focaliza pessoas idosas nem recorrência como alvo.</w:t>
            </w:r>
          </w:p>
        </w:tc>
      </w:tr>
      <w:tr>
        <w:tc>
          <w:tcPr/>
          <w:p>
            <w:pPr>
              <w:pStyle w:val="Compact"/>
              <w:jc w:val="left"/>
            </w:pPr>
            <w:r>
              <w:t xml:space="preserve">Zeng et al. (2025)</w:t>
            </w:r>
          </w:p>
        </w:tc>
        <w:tc>
          <w:tcPr/>
          <w:p>
            <w:pPr>
              <w:pStyle w:val="Compact"/>
              <w:jc w:val="left"/>
            </w:pPr>
            <w:r>
              <w:t xml:space="preserve">Survey longitudinal; 10.703 pessoas idosas na China</w:t>
            </w:r>
          </w:p>
        </w:tc>
        <w:tc>
          <w:tcPr/>
          <w:p>
            <w:pPr>
              <w:pStyle w:val="Compact"/>
              <w:jc w:val="left"/>
            </w:pPr>
            <w:r>
              <w:t xml:space="preserve">Random Forest</w:t>
            </w:r>
          </w:p>
        </w:tc>
        <w:tc>
          <w:tcPr/>
          <w:p>
            <w:pPr>
              <w:pStyle w:val="Compact"/>
              <w:jc w:val="left"/>
            </w:pPr>
            <w:r>
              <w:t xml:space="preserve">Focaliza abuso de idosos, porém não usa SINAN e não estima recorrência de notificações.</w:t>
            </w:r>
          </w:p>
        </w:tc>
      </w:tr>
      <w:tr>
        <w:tc>
          <w:tcPr/>
          <w:p>
            <w:pPr>
              <w:pStyle w:val="Compact"/>
              <w:jc w:val="left"/>
            </w:pPr>
            <w:r>
              <w:t xml:space="preserve">Pappadis et al. (2025)</w:t>
            </w:r>
          </w:p>
        </w:tc>
        <w:tc>
          <w:tcPr/>
          <w:p>
            <w:pPr>
              <w:pStyle w:val="Compact"/>
              <w:jc w:val="left"/>
            </w:pPr>
            <w:r>
              <w:t xml:space="preserve">Medicare; 2.261.166 pessoas com 66 anos ou mais</w:t>
            </w:r>
          </w:p>
        </w:tc>
        <w:tc>
          <w:tcPr/>
          <w:p>
            <w:pPr>
              <w:pStyle w:val="Compact"/>
              <w:jc w:val="left"/>
            </w:pPr>
            <w:r>
              <w:t xml:space="preserve">Regressão logística, RF, GBDT e MLP</w:t>
            </w:r>
          </w:p>
        </w:tc>
        <w:tc>
          <w:tcPr/>
          <w:p>
            <w:pPr>
              <w:pStyle w:val="Compact"/>
              <w:jc w:val="left"/>
            </w:pPr>
            <w:r>
              <w:t xml:space="preserve">Prediz diagnóstico futuro de maus-tratos, não recorrência registrada em notificações.</w:t>
            </w:r>
          </w:p>
        </w:tc>
      </w:tr>
      <w:tr>
        <w:tc>
          <w:tcPr/>
          <w:p>
            <w:pPr>
              <w:pStyle w:val="Compact"/>
              <w:jc w:val="left"/>
            </w:pPr>
            <w:r>
              <w:t xml:space="preserve">Oguztuzun et al. (2025)</w:t>
            </w:r>
          </w:p>
        </w:tc>
        <w:tc>
          <w:tcPr/>
          <w:p>
            <w:pPr>
              <w:pStyle w:val="Compact"/>
              <w:jc w:val="left"/>
            </w:pPr>
            <w:r>
              <w:t xml:space="preserve">Estudo clínico longitudinal sobre violência por parceiro íntimo</w:t>
            </w:r>
          </w:p>
        </w:tc>
        <w:tc>
          <w:tcPr/>
          <w:p>
            <w:pPr>
              <w:pStyle w:val="Compact"/>
              <w:jc w:val="left"/>
            </w:pPr>
            <w:r>
              <w:t xml:space="preserve">Diversos classificadores</w:t>
            </w:r>
          </w:p>
        </w:tc>
        <w:tc>
          <w:tcPr/>
          <w:p>
            <w:pPr>
              <w:pStyle w:val="Compact"/>
              <w:jc w:val="left"/>
            </w:pPr>
            <w:r>
              <w:t xml:space="preserve">Prediz reincidência, mas em outra população e com dados clínicos.</w:t>
            </w:r>
          </w:p>
        </w:tc>
      </w:tr>
      <w:tr>
        <w:tc>
          <w:tcPr/>
          <w:p>
            <w:pPr>
              <w:pStyle w:val="Compact"/>
              <w:jc w:val="left"/>
            </w:pPr>
            <w:r>
              <w:rPr>
                <w:b/>
                <w:bCs/>
              </w:rPr>
              <w:t xml:space="preserve">Pesquisa proposta</w:t>
            </w:r>
          </w:p>
        </w:tc>
        <w:tc>
          <w:tcPr/>
          <w:p>
            <w:pPr>
              <w:pStyle w:val="Compact"/>
              <w:jc w:val="left"/>
            </w:pPr>
            <w:r>
              <w:rPr>
                <w:b/>
                <w:bCs/>
              </w:rPr>
              <w:t xml:space="preserve">SINAN; pessoas com 60 anos ou mais</w:t>
            </w:r>
          </w:p>
        </w:tc>
        <w:tc>
          <w:tcPr/>
          <w:p>
            <w:pPr>
              <w:pStyle w:val="Compact"/>
              <w:jc w:val="left"/>
            </w:pPr>
            <w:r>
              <w:rPr>
                <w:b/>
                <w:bCs/>
              </w:rPr>
              <w:t xml:space="preserve">Classificação supervisionada</w:t>
            </w:r>
          </w:p>
        </w:tc>
        <w:tc>
          <w:tcPr/>
          <w:p>
            <w:pPr>
              <w:pStyle w:val="Compact"/>
              <w:jc w:val="left"/>
            </w:pPr>
            <w:r>
              <w:rPr>
                <w:b/>
                <w:bCs/>
              </w:rPr>
              <w:t xml:space="preserve">Estima especificamente recorrência de violência contra idosos em notificações brasileiras.</w:t>
            </w:r>
          </w:p>
        </w:tc>
      </w:tr>
    </w:tbl>
    <w:bookmarkEnd w:id="10"/>
    <w:bookmarkEnd w:id="11"/>
    <w:bookmarkStart w:id="23" w:name="metodologia"/>
    <w:p>
      <w:pPr>
        <w:pStyle w:val="Heading1"/>
      </w:pPr>
      <w:r>
        <w:rPr>
          <w:rStyle w:val="SectionNumber"/>
        </w:rPr>
        <w:t xml:space="preserve">3</w:t>
      </w:r>
      <w:r>
        <w:tab/>
      </w:r>
      <w:r>
        <w:t xml:space="preserve">Metodologia</w:t>
      </w:r>
    </w:p>
    <w:p>
      <w:pPr>
        <w:pStyle w:val="FirstParagraph"/>
      </w:pPr>
      <w:r>
        <w:t xml:space="preserve">A pesquisa possui caráter quantitativo, observacional e retrospectivo e utiliza dados secundários provenientes das notificações de violência do Sistema de Informação de Agravos de Notificação (SINAN). O desenvolvimento metodológico é conduzido com base na</w:t>
      </w:r>
      <w:r>
        <w:t xml:space="preserve"> </w:t>
      </w:r>
      <w:r>
        <w:rPr>
          <w:i/>
          <w:iCs/>
        </w:rPr>
        <w:t xml:space="preserve">Design Science Research Methodology</w:t>
      </w:r>
      <w:r>
        <w:t xml:space="preserve"> </w:t>
      </w:r>
      <w:r>
        <w:t xml:space="preserve">(DSRM), proposta por Peffers et al.</w:t>
      </w:r>
      <w:r>
        <w:t xml:space="preserve"> </w:t>
      </w:r>
      <w:r>
        <w:t xml:space="preserve">(Peffers et al. 2007)</w:t>
      </w:r>
      <w:r>
        <w:t xml:space="preserve">. A DSRM organiza a construção e a avaliação de artefatos orientados à solução de problemas, sendo utilizada neste estudo para estruturar o desenvolvimento do classificador e sua relação com o problema de priorização das notificações.</w:t>
      </w:r>
    </w:p>
    <w:bookmarkStart w:id="12" w:name="Xe8fd39421fc460077ccb3c83a3d9a9a11c31d59"/>
    <w:p>
      <w:pPr>
        <w:pStyle w:val="Heading2"/>
      </w:pPr>
      <w:r>
        <w:rPr>
          <w:rStyle w:val="SectionNumber"/>
        </w:rPr>
        <w:t xml:space="preserve">3.1</w:t>
      </w:r>
      <w:r>
        <w:tab/>
      </w:r>
      <w:r>
        <w:t xml:space="preserve">DSRM e ciclo de vida do aprendizado de máquina</w:t>
      </w:r>
    </w:p>
    <w:p>
      <w:pPr>
        <w:pStyle w:val="FirstParagraph"/>
      </w:pPr>
      <w:r>
        <w:t xml:space="preserve">A primeira etapa da DSRM corresponde à identificação do problema e à motivação. No contexto deste projeto, o problema identificado consiste na organização das notificações sem um mecanismo automatizado de priorização segundo a recorrência estimada. A segunda etapa corresponde à definição dos objetivos da solução: desenvolver um escore capaz de auxiliar a ordenação da fila conforme a recorrência estimada, sem excluir casos do atendimento e sem substituir a análise realizada pelos profissionais responsáveis.</w:t>
      </w:r>
    </w:p>
    <w:p>
      <w:pPr>
        <w:pStyle w:val="BodyText"/>
      </w:pPr>
      <w:r>
        <w:t xml:space="preserve">A fase de</w:t>
      </w:r>
      <w:r>
        <w:t xml:space="preserve"> </w:t>
      </w:r>
      <w:r>
        <w:rPr>
          <w:i/>
          <w:iCs/>
        </w:rPr>
        <w:t xml:space="preserve">Design e Desenvolvimento</w:t>
      </w:r>
      <w:r>
        <w:t xml:space="preserve"> </w:t>
      </w:r>
      <w:r>
        <w:t xml:space="preserve">engloba o ciclo de vida do aprendizado de máquina executado nesta etapa do projeto. Ela compreende obtenção e compreensão dos dados, definição da variável-alvo, pré-processamento, engenharia e seleção de atributos, divisão da amostra, treinamento dos modelos, validação cruzada e seleção do algoritmo. Dessa forma, decisões sobre tratamento dos dados, codificação das variáveis categóricas, criação de atributos e prevenção de vazamento de informação são consideradas decisões de projeto do artefato.</w:t>
      </w:r>
    </w:p>
    <w:p>
      <w:pPr>
        <w:pStyle w:val="BodyText"/>
      </w:pPr>
      <w:r>
        <w:t xml:space="preserve">A fase de</w:t>
      </w:r>
      <w:r>
        <w:t xml:space="preserve"> </w:t>
      </w:r>
      <w:r>
        <w:rPr>
          <w:i/>
          <w:iCs/>
        </w:rPr>
        <w:t xml:space="preserve">Demonstração</w:t>
      </w:r>
      <w:r>
        <w:t xml:space="preserve"> </w:t>
      </w:r>
      <w:r>
        <w:t xml:space="preserve">corresponde à aplicação dos modelos em dados não utilizados no ajuste, por meio da comparação com um classificador de referência e da análise das métricas no conjunto de teste retido. Já a fase de</w:t>
      </w:r>
      <w:r>
        <w:t xml:space="preserve"> </w:t>
      </w:r>
      <w:r>
        <w:rPr>
          <w:i/>
          <w:iCs/>
        </w:rPr>
        <w:t xml:space="preserve">Avaliação</w:t>
      </w:r>
      <w:r>
        <w:t xml:space="preserve"> </w:t>
      </w:r>
      <w:r>
        <w:t xml:space="preserve">será aprofundada posteriormente por meio da análise de calibração, auditoria de possíveis vieses, avaliação entre subgrupos e validação do artefato em relação ao contexto real de utilização. Assim, nesta etapa demonstra-se a capacidade preditiva do artefato em ambiente controlado, enquanto sua utilidade prática permanece como etapa subsequente. A comunicação dos resultados ocorre por meio deste artigo e das etapas posteriores do projeto.</w:t>
      </w:r>
    </w:p>
    <w:bookmarkEnd w:id="12"/>
    <w:bookmarkStart w:id="14" w:name="fonte-dos-dados-e-seleção-da-amostra"/>
    <w:p>
      <w:pPr>
        <w:pStyle w:val="Heading2"/>
      </w:pPr>
      <w:r>
        <w:rPr>
          <w:rStyle w:val="SectionNumber"/>
        </w:rPr>
        <w:t xml:space="preserve">3.2</w:t>
      </w:r>
      <w:r>
        <w:tab/>
      </w:r>
      <w:r>
        <w:t xml:space="preserve">Fonte dos dados e seleção da amostra</w:t>
      </w:r>
    </w:p>
    <w:p>
      <w:pPr>
        <w:pStyle w:val="FirstParagraph"/>
      </w:pPr>
      <w:r>
        <w:t xml:space="preserve">Foram utilizados os microdados de 2024 do VIVA/SINAN, disponibilizados pelo Ministério da Saúde por meio do DATASUS. Os arquivos correspondem às notificações de violência interpessoal e autoprovocada registradas durante o ano de referência. Os dados foram obtidos e processados a partir dos arquivos públicos do SINAN. A interpretação dos campos foi baseada no dicionário do SINAN NET e nas orientações oficiais do Ministério da Saúde para análise da qualidade das bases de dados</w:t>
      </w:r>
      <w:r>
        <w:t xml:space="preserve"> </w:t>
      </w:r>
      <w:r>
        <w:t xml:space="preserve">(Brasil. Ministério da Saúde 2016, 2019)</w:t>
      </w:r>
      <w:r>
        <w:t xml:space="preserve">.</w:t>
      </w:r>
    </w:p>
    <w:p>
      <w:pPr>
        <w:pStyle w:val="BodyText"/>
      </w:pPr>
      <w:r>
        <w:t xml:space="preserve">A base inicialmente utilizada continha 616.548 notificações de violência registradas em 2024. Destas, 42.176 correspondiam a vítimas com 60 anos ou mais, representando aproximadamente 6,8% do total. Foram excluídas 7.033 notificações classificadas como violência autoprovocada, pois o modelo desenvolvido neste estudo se concentra em violência interpessoal e utiliza características relacionadas ao provável autor da agressão.</w:t>
      </w:r>
    </w:p>
    <w:p>
      <w:pPr>
        <w:pStyle w:val="BodyText"/>
      </w:pPr>
      <w:r>
        <w:t xml:space="preserve">Após esse recorte, permaneceram 35.143 notificações de violência interpessoal contra pessoas idosas. Em seguida, foram excluídos cinco registros cuja idade foi considerada implausível, adotando-se como intervalo válido idades entre 60 e 119 anos. Também foram retirados 10.086 registros nos quais o campo utilizado como variável-alvo estava preenchido como ignorado ou não possuía valor válido. Esses registros correspondiam a aproximadamente 28,7% dos casos de violência interpessoal contra pessoas idosas. A amostra final utilizada para modelagem foi composta por 25.052 registros.</w:t>
      </w:r>
    </w:p>
    <w:bookmarkStart w:id="13" w:name="tab:amostra"/>
    <w:p>
      <w:pPr>
        <w:pStyle w:val="TableCaption"/>
      </w:pPr>
      <w:r>
        <w:t xml:space="preserve">Etapas de seleção da amostra utilizada na modelagem.</w:t>
      </w:r>
    </w:p>
    <w:tbl>
      <w:tblPr>
        <w:tblStyle w:val="Table"/>
        <w:tblW w:type="auto" w:w="0"/>
        <w:tblLook w:firstRow="1" w:lastRow="0" w:firstColumn="0" w:lastColumn="0" w:noHBand="0" w:noVBand="0" w:val="0020"/>
        <w:tblCaption w:val="Etapas de seleção da amostra utilizada na modelagem."/>
      </w:tblPr>
      <w:tblGrid>
        <w:gridCol w:w="3960"/>
        <w:gridCol w:w="3960"/>
      </w:tblGrid>
      <w:tr>
        <w:trPr>
          <w:tblHeader w:val="on"/>
        </w:trPr>
        <w:tc>
          <w:tcPr/>
          <w:p>
            <w:pPr>
              <w:pStyle w:val="Compact"/>
              <w:jc w:val="left"/>
            </w:pPr>
            <w:r>
              <w:rPr>
                <w:b/>
                <w:bCs/>
              </w:rPr>
              <w:t xml:space="preserve">Etapa</w:t>
            </w:r>
          </w:p>
        </w:tc>
        <w:tc>
          <w:tcPr/>
          <w:p>
            <w:pPr>
              <w:pStyle w:val="Compact"/>
              <w:jc w:val="right"/>
            </w:pPr>
            <w:r>
              <w:rPr>
                <w:b/>
                <w:bCs/>
              </w:rPr>
              <w:t xml:space="preserve">Registros</w:t>
            </w:r>
          </w:p>
        </w:tc>
      </w:tr>
      <w:tr>
        <w:tc>
          <w:tcPr/>
          <w:p>
            <w:pPr>
              <w:pStyle w:val="Compact"/>
              <w:jc w:val="left"/>
            </w:pPr>
            <w:r>
              <w:t xml:space="preserve">Notificações de violência em 2024</w:t>
            </w:r>
          </w:p>
        </w:tc>
        <w:tc>
          <w:tcPr/>
          <w:p>
            <w:pPr>
              <w:pStyle w:val="Compact"/>
              <w:jc w:val="right"/>
            </w:pPr>
            <w:r>
              <w:t xml:space="preserve">616.548</w:t>
            </w:r>
          </w:p>
        </w:tc>
      </w:tr>
      <w:tr>
        <w:tc>
          <w:tcPr/>
          <w:p>
            <w:pPr>
              <w:pStyle w:val="Compact"/>
              <w:jc w:val="left"/>
            </w:pPr>
            <w:r>
              <w:t xml:space="preserve">Vítimas com 60 anos ou mais</w:t>
            </w:r>
          </w:p>
        </w:tc>
        <w:tc>
          <w:tcPr/>
          <w:p>
            <w:pPr>
              <w:pStyle w:val="Compact"/>
              <w:jc w:val="right"/>
            </w:pPr>
            <w:r>
              <w:t xml:space="preserve">42.176</w:t>
            </w:r>
          </w:p>
        </w:tc>
      </w:tr>
      <w:tr>
        <w:tc>
          <w:tcPr/>
          <w:p>
            <w:pPr>
              <w:pStyle w:val="Compact"/>
              <w:jc w:val="left"/>
            </w:pPr>
            <w:r>
              <w:t xml:space="preserve">Exclusão de violência autoprovocada</w:t>
            </w:r>
          </w:p>
        </w:tc>
        <w:tc>
          <w:tcPr/>
          <w:p>
            <w:pPr>
              <w:pStyle w:val="Compact"/>
              <w:jc w:val="right"/>
            </w:pPr>
            <w:r>
              <w:t xml:space="preserve">-7.033</w:t>
            </w:r>
          </w:p>
        </w:tc>
      </w:tr>
      <w:tr>
        <w:tc>
          <w:tcPr/>
          <w:p>
            <w:pPr>
              <w:pStyle w:val="Compact"/>
              <w:jc w:val="left"/>
            </w:pPr>
            <w:r>
              <w:t xml:space="preserve">Violência interpessoal contra pessoa idosa</w:t>
            </w:r>
          </w:p>
        </w:tc>
        <w:tc>
          <w:tcPr/>
          <w:p>
            <w:pPr>
              <w:pStyle w:val="Compact"/>
              <w:jc w:val="right"/>
            </w:pPr>
            <w:r>
              <w:t xml:space="preserve">35.143</w:t>
            </w:r>
          </w:p>
        </w:tc>
      </w:tr>
      <w:tr>
        <w:tc>
          <w:tcPr/>
          <w:p>
            <w:pPr>
              <w:pStyle w:val="Compact"/>
              <w:jc w:val="left"/>
            </w:pPr>
            <w:r>
              <w:t xml:space="preserve">Exclusão por idade implausível</w:t>
            </w:r>
          </w:p>
        </w:tc>
        <w:tc>
          <w:tcPr/>
          <w:p>
            <w:pPr>
              <w:pStyle w:val="Compact"/>
              <w:jc w:val="right"/>
            </w:pPr>
            <w:r>
              <w:t xml:space="preserve">-5</w:t>
            </w:r>
          </w:p>
        </w:tc>
      </w:tr>
      <w:tr>
        <w:tc>
          <w:tcPr/>
          <w:p>
            <w:pPr>
              <w:pStyle w:val="Compact"/>
              <w:jc w:val="left"/>
            </w:pPr>
            <w:r>
              <w:t xml:space="preserve">Exclusão por alvo ignorado ou ausente</w:t>
            </w:r>
          </w:p>
        </w:tc>
        <w:tc>
          <w:tcPr/>
          <w:p>
            <w:pPr>
              <w:pStyle w:val="Compact"/>
              <w:jc w:val="right"/>
            </w:pPr>
            <w:r>
              <w:t xml:space="preserve">-10.086</w:t>
            </w:r>
          </w:p>
        </w:tc>
      </w:tr>
      <w:tr>
        <w:tc>
          <w:tcPr/>
          <w:p>
            <w:pPr>
              <w:pStyle w:val="Compact"/>
              <w:jc w:val="left"/>
            </w:pPr>
            <w:r>
              <w:rPr>
                <w:b/>
                <w:bCs/>
              </w:rPr>
              <w:t xml:space="preserve">Amostra final de modelagem</w:t>
            </w:r>
          </w:p>
        </w:tc>
        <w:tc>
          <w:tcPr/>
          <w:p>
            <w:pPr>
              <w:pStyle w:val="Compact"/>
              <w:jc w:val="right"/>
            </w:pPr>
            <w:r>
              <w:rPr>
                <w:b/>
                <w:bCs/>
              </w:rPr>
              <w:t xml:space="preserve">25.052</w:t>
            </w:r>
          </w:p>
        </w:tc>
      </w:tr>
    </w:tbl>
    <w:bookmarkEnd w:id="13"/>
    <w:p>
      <w:pPr>
        <w:pStyle w:val="BodyText"/>
      </w:pPr>
      <w:r>
        <w:t xml:space="preserve">A variável-alvo foi construída a partir do campo</w:t>
      </w:r>
      <w:r>
        <w:t xml:space="preserve"> </w:t>
      </w:r>
      <w:r>
        <w:rPr>
          <w:rStyle w:val="VerbatimChar"/>
        </w:rPr>
        <w:t xml:space="preserve">OUT_VEZES</w:t>
      </w:r>
      <w:r>
        <w:t xml:space="preserve">, correspondente à pergunta</w:t>
      </w:r>
      <w:r>
        <w:t xml:space="preserve"> </w:t>
      </w:r>
      <w:r>
        <w:t xml:space="preserve">“Ocorreu outras vezes?”</w:t>
      </w:r>
      <w:r>
        <w:t xml:space="preserve">. As respostas válidas foram binarizadas em 1 para recorrência e 0 para ausência de recorrência. Na amostra final, 53,3% dos registros pertenciam à classe recorrente e 46,7% à classe não recorrente. A proporção observada é próxima dos 49,5% descritos por Andrade et al.</w:t>
      </w:r>
      <w:r>
        <w:t xml:space="preserve"> </w:t>
      </w:r>
      <w:r>
        <w:t xml:space="preserve">(Andrade et al. 2023)</w:t>
      </w:r>
      <w:r>
        <w:t xml:space="preserve"> </w:t>
      </w:r>
      <w:r>
        <w:t xml:space="preserve">para notificações de 2017.</w:t>
      </w:r>
    </w:p>
    <w:p>
      <w:pPr>
        <w:pStyle w:val="BodyText"/>
      </w:pPr>
      <w:r>
        <w:t xml:space="preserve">A recorrência deve ser entendida como uma</w:t>
      </w:r>
      <w:r>
        <w:t xml:space="preserve"> </w:t>
      </w:r>
      <w:r>
        <w:rPr>
          <w:i/>
          <w:iCs/>
        </w:rPr>
        <w:t xml:space="preserve">proxy</w:t>
      </w:r>
      <w:r>
        <w:t xml:space="preserve"> </w:t>
      </w:r>
      <w:r>
        <w:t xml:space="preserve">e não como medida direta da gravidade da ocorrência. Um primeiro episódio pode apresentar consequências mais graves do que um episódio recorrente. Dessa maneira, o modelo procura estimar especificamente a recorrência registrada na ficha do SINAN.</w:t>
      </w:r>
    </w:p>
    <w:bookmarkEnd w:id="14"/>
    <w:bookmarkStart w:id="15" w:name="pré-processamento-dos-dados"/>
    <w:p>
      <w:pPr>
        <w:pStyle w:val="Heading2"/>
      </w:pPr>
      <w:r>
        <w:rPr>
          <w:rStyle w:val="SectionNumber"/>
        </w:rPr>
        <w:t xml:space="preserve">3.3</w:t>
      </w:r>
      <w:r>
        <w:tab/>
      </w:r>
      <w:r>
        <w:t xml:space="preserve">Pré-processamento dos dados</w:t>
      </w:r>
    </w:p>
    <w:p>
      <w:pPr>
        <w:pStyle w:val="FirstParagraph"/>
      </w:pPr>
      <w:r>
        <w:t xml:space="preserve">O pré-processamento considerou particularidades da codificação dos campos do SINAN e as recomendações de análise de consistência da base apresentadas pelo Ministério da Saúde</w:t>
      </w:r>
      <w:r>
        <w:t xml:space="preserve"> </w:t>
      </w:r>
      <w:r>
        <w:t xml:space="preserve">(Brasil. Ministério da Saúde 2019)</w:t>
      </w:r>
      <w:r>
        <w:t xml:space="preserve">. A idade não é armazenada diretamente em anos no campo</w:t>
      </w:r>
      <w:r>
        <w:t xml:space="preserve"> </w:t>
      </w:r>
      <w:r>
        <w:rPr>
          <w:rStyle w:val="VerbatimChar"/>
        </w:rPr>
        <w:t xml:space="preserve">NU_IDADE_N</w:t>
      </w:r>
      <w:r>
        <w:t xml:space="preserve">. O primeiro dígito representa a unidade da idade registrada: 1 para horas, 2 para dias, 3 para meses e 4 para anos. Os dígitos seguintes representam o valor correspondente. Assim, o valor</w:t>
      </w:r>
      <w:r>
        <w:t xml:space="preserve"> </w:t>
      </w:r>
      <w:r>
        <w:rPr>
          <w:rStyle w:val="VerbatimChar"/>
        </w:rPr>
        <w:t xml:space="preserve">4065</w:t>
      </w:r>
      <w:r>
        <w:t xml:space="preserve">, por exemplo, corresponde a uma idade de 65 anos. Essa codificação foi considerada antes da seleção dos registros, evitando a inclusão indevida de indivíduos cuja idade estivesse registrada em horas, dias ou meses.</w:t>
      </w:r>
    </w:p>
    <w:p>
      <w:pPr>
        <w:pStyle w:val="BodyText"/>
      </w:pPr>
      <w:r>
        <w:t xml:space="preserve">Também foram observadas diferenças de largura entre códigos existentes nos arquivos e os valores descritos no dicionário. Em determinados campos, o dado poderia aparecer como</w:t>
      </w:r>
      <w:r>
        <w:t xml:space="preserve"> </w:t>
      </w:r>
      <w:r>
        <w:t xml:space="preserve">“1”</w:t>
      </w:r>
      <w:r>
        <w:t xml:space="preserve">, enquanto o dicionário utilizava</w:t>
      </w:r>
      <w:r>
        <w:t xml:space="preserve"> </w:t>
      </w:r>
      <w:r>
        <w:t xml:space="preserve">“01”</w:t>
      </w:r>
      <w:r>
        <w:t xml:space="preserve">. O processo de tratamento foi desenvolvido para reconhecer ambas as representações.</w:t>
      </w:r>
    </w:p>
    <w:p>
      <w:pPr>
        <w:pStyle w:val="BodyText"/>
      </w:pPr>
      <w:r>
        <w:t xml:space="preserve">Nas variáveis preditoras, os valores classificados como</w:t>
      </w:r>
      <w:r>
        <w:t xml:space="preserve"> </w:t>
      </w:r>
      <w:r>
        <w:t xml:space="preserve">“Ignorado”</w:t>
      </w:r>
      <w:r>
        <w:t xml:space="preserve"> </w:t>
      </w:r>
      <w:r>
        <w:t xml:space="preserve">foram preservados como categoria própria em vez de serem automaticamente convertidos em valores ausentes. Essa decisão considera que a ausência de informação pode refletir características do próprio processo de preenchimento das notificações, aspecto relevante diante dos problemas de completitude já descritos para dados de violência do SINAN</w:t>
      </w:r>
      <w:r>
        <w:t xml:space="preserve"> </w:t>
      </w:r>
      <w:r>
        <w:t xml:space="preserve">(</w:t>
      </w:r>
      <w:r>
        <w:t xml:space="preserve">Lima et al.</w:t>
      </w:r>
      <w:r>
        <w:t xml:space="preserve"> </w:t>
      </w:r>
      <w:r>
        <w:t xml:space="preserve">2023)</w:t>
      </w:r>
      <w:r>
        <w:t xml:space="preserve">.</w:t>
      </w:r>
    </w:p>
    <w:bookmarkEnd w:id="15"/>
    <w:bookmarkStart w:id="17" w:name="engenharia-de-atributos"/>
    <w:p>
      <w:pPr>
        <w:pStyle w:val="Heading2"/>
      </w:pPr>
      <w:r>
        <w:rPr>
          <w:rStyle w:val="SectionNumber"/>
        </w:rPr>
        <w:t xml:space="preserve">3.4</w:t>
      </w:r>
      <w:r>
        <w:tab/>
      </w:r>
      <w:r>
        <w:t xml:space="preserve">Engenharia de atributos</w:t>
      </w:r>
    </w:p>
    <w:p>
      <w:pPr>
        <w:pStyle w:val="FirstParagraph"/>
      </w:pPr>
      <w:r>
        <w:t xml:space="preserve">Além das variáveis originalmente disponíveis na ficha, foram construídos sete atributos derivados com o objetivo de representar características potencialmente associadas à recorrência da violência.</w:t>
      </w:r>
    </w:p>
    <w:bookmarkStart w:id="16" w:name="tab:atributos"/>
    <w:p>
      <w:pPr>
        <w:pStyle w:val="TableCaption"/>
      </w:pPr>
      <w:r>
        <w:t xml:space="preserve">Variáveis derivadas utilizadas na modelagem.</w:t>
      </w:r>
    </w:p>
    <w:tbl>
      <w:tblPr>
        <w:tblStyle w:val="Table"/>
        <w:tblW w:type="auto" w:w="0"/>
        <w:tblLook w:firstRow="1" w:lastRow="0" w:firstColumn="0" w:lastColumn="0" w:noHBand="0" w:noVBand="0" w:val="0020"/>
        <w:tblCaption w:val="Variáveis derivadas utilizadas na modelagem."/>
      </w:tblPr>
      <w:tblGrid>
        <w:gridCol w:w="2640"/>
        <w:gridCol w:w="2640"/>
        <w:gridCol w:w="2640"/>
      </w:tblGrid>
      <w:tr>
        <w:trPr>
          <w:tblHeader w:val="on"/>
        </w:trPr>
        <w:tc>
          <w:tcPr/>
          <w:p>
            <w:pPr>
              <w:pStyle w:val="Compact"/>
              <w:jc w:val="left"/>
            </w:pPr>
            <w:r>
              <w:rPr>
                <w:b/>
                <w:bCs/>
              </w:rPr>
              <w:t xml:space="preserve">Variável</w:t>
            </w:r>
          </w:p>
        </w:tc>
        <w:tc>
          <w:tcPr/>
          <w:p>
            <w:pPr>
              <w:pStyle w:val="Compact"/>
              <w:jc w:val="left"/>
            </w:pPr>
            <w:r>
              <w:rPr>
                <w:b/>
                <w:bCs/>
              </w:rPr>
              <w:t xml:space="preserve">Construção</w:t>
            </w:r>
          </w:p>
        </w:tc>
        <w:tc>
          <w:tcPr/>
          <w:p>
            <w:pPr>
              <w:pStyle w:val="Compact"/>
              <w:jc w:val="left"/>
            </w:pPr>
            <w:r>
              <w:rPr>
                <w:b/>
                <w:bCs/>
              </w:rPr>
              <w:t xml:space="preserve">Justificativa</w:t>
            </w:r>
          </w:p>
        </w:tc>
      </w:tr>
      <w:tr>
        <w:tc>
          <w:tcPr/>
          <w:p>
            <w:pPr>
              <w:pStyle w:val="Compact"/>
              <w:jc w:val="left"/>
            </w:pPr>
            <w:r>
              <w:rPr>
                <w:rStyle w:val="VerbatimChar"/>
              </w:rPr>
              <w:t xml:space="preserve">n_violence_types</w:t>
            </w:r>
          </w:p>
        </w:tc>
        <w:tc>
          <w:tcPr/>
          <w:p>
            <w:pPr>
              <w:pStyle w:val="Compact"/>
              <w:jc w:val="left"/>
            </w:pPr>
            <w:r>
              <w:t xml:space="preserve">Contagem dos campos de tipos de violência marcados</w:t>
            </w:r>
          </w:p>
        </w:tc>
        <w:tc>
          <w:tcPr/>
          <w:p>
            <w:pPr>
              <w:pStyle w:val="Compact"/>
              <w:jc w:val="left"/>
            </w:pPr>
            <w:r>
              <w:t xml:space="preserve">Representa a ocorrência simultânea de diferentes formas de violência.</w:t>
            </w:r>
          </w:p>
        </w:tc>
      </w:tr>
      <w:tr>
        <w:tc>
          <w:tcPr/>
          <w:p>
            <w:pPr>
              <w:pStyle w:val="Compact"/>
              <w:jc w:val="left"/>
            </w:pPr>
            <w:r>
              <w:rPr>
                <w:rStyle w:val="VerbatimChar"/>
              </w:rPr>
              <w:t xml:space="preserve">n_aggression_means</w:t>
            </w:r>
          </w:p>
        </w:tc>
        <w:tc>
          <w:tcPr/>
          <w:p>
            <w:pPr>
              <w:pStyle w:val="Compact"/>
              <w:jc w:val="left"/>
            </w:pPr>
            <w:r>
              <w:t xml:space="preserve">Contagem dos campos relacionados aos meios de agressão</w:t>
            </w:r>
          </w:p>
        </w:tc>
        <w:tc>
          <w:tcPr/>
          <w:p>
            <w:pPr>
              <w:pStyle w:val="Compact"/>
              <w:jc w:val="left"/>
            </w:pPr>
            <w:r>
              <w:t xml:space="preserve">Representa a multiplicidade dos meios utilizados na agressão.</w:t>
            </w:r>
          </w:p>
        </w:tc>
      </w:tr>
      <w:tr>
        <w:tc>
          <w:tcPr/>
          <w:p>
            <w:pPr>
              <w:pStyle w:val="Compact"/>
              <w:jc w:val="left"/>
            </w:pPr>
            <w:r>
              <w:rPr>
                <w:rStyle w:val="VerbatimChar"/>
              </w:rPr>
              <w:t xml:space="preserve">family_aggressor</w:t>
            </w:r>
          </w:p>
        </w:tc>
        <w:tc>
          <w:tcPr/>
          <w:p>
            <w:pPr>
              <w:pStyle w:val="Compact"/>
              <w:jc w:val="left"/>
            </w:pPr>
            <w:r>
              <w:t xml:space="preserve">Existência de algum vínculo familiar com o provável agressor</w:t>
            </w:r>
          </w:p>
        </w:tc>
        <w:tc>
          <w:tcPr/>
          <w:p>
            <w:pPr>
              <w:pStyle w:val="Compact"/>
              <w:jc w:val="left"/>
            </w:pPr>
            <w:r>
              <w:t xml:space="preserve">Agrupa diferentes categorias de parentesco.</w:t>
            </w:r>
          </w:p>
        </w:tc>
      </w:tr>
      <w:tr>
        <w:tc>
          <w:tcPr/>
          <w:p>
            <w:pPr>
              <w:pStyle w:val="Compact"/>
              <w:jc w:val="left"/>
            </w:pPr>
            <w:r>
              <w:rPr>
                <w:rStyle w:val="VerbatimChar"/>
              </w:rPr>
              <w:t xml:space="preserve">household_aggressor</w:t>
            </w:r>
          </w:p>
        </w:tc>
        <w:tc>
          <w:tcPr/>
          <w:p>
            <w:pPr>
              <w:pStyle w:val="Compact"/>
              <w:jc w:val="left"/>
            </w:pPr>
            <w:r>
              <w:t xml:space="preserve">Cônjuge, filho, filha ou cuidador identificado como provável agressor</w:t>
            </w:r>
          </w:p>
        </w:tc>
        <w:tc>
          <w:tcPr/>
          <w:p>
            <w:pPr>
              <w:pStyle w:val="Compact"/>
              <w:jc w:val="left"/>
            </w:pPr>
            <w:r>
              <w:t xml:space="preserve">Representa vínculos associados à possibilidade de exposição continuada.</w:t>
            </w:r>
          </w:p>
        </w:tc>
      </w:tr>
      <w:tr>
        <w:tc>
          <w:tcPr/>
          <w:p>
            <w:pPr>
              <w:pStyle w:val="Compact"/>
              <w:jc w:val="left"/>
            </w:pPr>
            <w:r>
              <w:rPr>
                <w:rStyle w:val="VerbatimChar"/>
              </w:rPr>
              <w:t xml:space="preserve">aggressor_identified</w:t>
            </w:r>
          </w:p>
        </w:tc>
        <w:tc>
          <w:tcPr/>
          <w:p>
            <w:pPr>
              <w:pStyle w:val="Compact"/>
              <w:jc w:val="left"/>
            </w:pPr>
            <w:r>
              <w:t xml:space="preserve">Existência de algum campo de relação com o provável agressor preenchido</w:t>
            </w:r>
          </w:p>
        </w:tc>
        <w:tc>
          <w:tcPr/>
          <w:p>
            <w:pPr>
              <w:pStyle w:val="Compact"/>
              <w:jc w:val="left"/>
            </w:pPr>
            <w:r>
              <w:t xml:space="preserve">Permite distinguir registros nos quais o autor foi identificado.</w:t>
            </w:r>
          </w:p>
        </w:tc>
      </w:tr>
      <w:tr>
        <w:tc>
          <w:tcPr/>
          <w:p>
            <w:pPr>
              <w:pStyle w:val="Compact"/>
              <w:jc w:val="left"/>
            </w:pPr>
            <w:r>
              <w:rPr>
                <w:rStyle w:val="VerbatimChar"/>
              </w:rPr>
              <w:t xml:space="preserve">has_disability</w:t>
            </w:r>
          </w:p>
        </w:tc>
        <w:tc>
          <w:tcPr/>
          <w:p>
            <w:pPr>
              <w:pStyle w:val="Compact"/>
              <w:jc w:val="left"/>
            </w:pPr>
            <w:r>
              <w:t xml:space="preserve">Presença de algum dos campos relacionados a deficiência ou transtorno</w:t>
            </w:r>
          </w:p>
        </w:tc>
        <w:tc>
          <w:tcPr/>
          <w:p>
            <w:pPr>
              <w:pStyle w:val="Compact"/>
              <w:jc w:val="left"/>
            </w:pPr>
            <w:r>
              <w:t xml:space="preserve">Agrupa categorias individuais de baixa frequência.</w:t>
            </w:r>
          </w:p>
        </w:tc>
      </w:tr>
      <w:tr>
        <w:tc>
          <w:tcPr/>
          <w:p>
            <w:pPr>
              <w:pStyle w:val="Compact"/>
              <w:jc w:val="left"/>
            </w:pPr>
            <w:r>
              <w:rPr>
                <w:rStyle w:val="VerbatimChar"/>
              </w:rPr>
              <w:t xml:space="preserve">age_band</w:t>
            </w:r>
          </w:p>
        </w:tc>
        <w:tc>
          <w:tcPr/>
          <w:p>
            <w:pPr>
              <w:pStyle w:val="Compact"/>
              <w:jc w:val="left"/>
            </w:pPr>
            <w:r>
              <w:t xml:space="preserve">Faixas 60–69, 70–79, 80–89 e 90 anos ou mais</w:t>
            </w:r>
          </w:p>
        </w:tc>
        <w:tc>
          <w:tcPr/>
          <w:p>
            <w:pPr>
              <w:pStyle w:val="Compact"/>
              <w:jc w:val="left"/>
            </w:pPr>
            <w:r>
              <w:t xml:space="preserve">Representa possíveis diferenças entre grupos etários.</w:t>
            </w:r>
          </w:p>
        </w:tc>
      </w:tr>
    </w:tbl>
    <w:bookmarkEnd w:id="16"/>
    <w:p>
      <w:pPr>
        <w:pStyle w:val="BodyText"/>
      </w:pPr>
      <w:r>
        <w:t xml:space="preserve">A utilização desses atributos permite representar informações relacionadas à multiplicidade das agressões, ao vínculo com o provável agressor e às características individuais sem depender exclusivamente das categorias originais da ficha.</w:t>
      </w:r>
    </w:p>
    <w:bookmarkEnd w:id="17"/>
    <w:bookmarkStart w:id="18" w:name="Xbd7888fb714b4d782216d3fc49d73f7bb92ea0c"/>
    <w:p>
      <w:pPr>
        <w:pStyle w:val="Heading2"/>
      </w:pPr>
      <w:r>
        <w:rPr>
          <w:rStyle w:val="SectionNumber"/>
        </w:rPr>
        <w:t xml:space="preserve">3.5</w:t>
      </w:r>
      <w:r>
        <w:tab/>
      </w:r>
      <w:r>
        <w:t xml:space="preserve">Codificação e prevenção de vazamento de dados</w:t>
      </w:r>
    </w:p>
    <w:p>
      <w:pPr>
        <w:pStyle w:val="FirstParagraph"/>
      </w:pPr>
      <w:r>
        <w:t xml:space="preserve">As variáveis categóricas foram transformadas por meio de</w:t>
      </w:r>
      <w:r>
        <w:t xml:space="preserve"> </w:t>
      </w:r>
      <w:r>
        <w:rPr>
          <w:i/>
          <w:iCs/>
        </w:rPr>
        <w:t xml:space="preserve">one-hot encoding</w:t>
      </w:r>
      <w:r>
        <w:t xml:space="preserve">, utilizando a primeira categoria como referência. O</w:t>
      </w:r>
      <w:r>
        <w:t xml:space="preserve"> </w:t>
      </w:r>
      <w:r>
        <w:rPr>
          <w:i/>
          <w:iCs/>
        </w:rPr>
        <w:t xml:space="preserve">label encoding</w:t>
      </w:r>
      <w:r>
        <w:t xml:space="preserve"> </w:t>
      </w:r>
      <w:r>
        <w:t xml:space="preserve">não foi adotado para as variáveis nominais porque a atribuição de valores numéricos poderia introduzir uma relação ordinal inexistente entre categorias. A escolaridade constitui exceção por possuir ordenação natural entre suas categorias.</w:t>
      </w:r>
    </w:p>
    <w:p>
      <w:pPr>
        <w:pStyle w:val="BodyText"/>
      </w:pPr>
      <w:r>
        <w:t xml:space="preserve">A divisão dos dados em treinamento e teste ocorreu antes do ajuste das transformações. O pré-processamento foi encapsulado em um</w:t>
      </w:r>
      <w:r>
        <w:t xml:space="preserve"> </w:t>
      </w:r>
      <w:r>
        <w:rPr>
          <w:i/>
          <w:iCs/>
        </w:rPr>
        <w:t xml:space="preserve">Pipeline</w:t>
      </w:r>
      <w:r>
        <w:t xml:space="preserve"> </w:t>
      </w:r>
      <w:r>
        <w:t xml:space="preserve">utilizando</w:t>
      </w:r>
      <w:r>
        <w:t xml:space="preserve"> </w:t>
      </w:r>
      <w:r>
        <w:rPr>
          <w:i/>
          <w:iCs/>
        </w:rPr>
        <w:t xml:space="preserve">ColumnTransformer</w:t>
      </w:r>
      <w:r>
        <w:t xml:space="preserve">, de forma que os transformadores fossem ajustados exclusivamente sobre o conjunto de treinamento. Essa separação é importante para evitar vazamento de informação, problema que pode produzir estimativas excessivamente otimistas de desempenho em tarefas preditivas</w:t>
      </w:r>
      <w:r>
        <w:t xml:space="preserve"> </w:t>
      </w:r>
      <w:r>
        <w:t xml:space="preserve">(Kaufman et al. 2012)</w:t>
      </w:r>
      <w:r>
        <w:t xml:space="preserve">.</w:t>
      </w:r>
    </w:p>
    <w:p>
      <w:pPr>
        <w:pStyle w:val="BodyText"/>
      </w:pPr>
      <w:r>
        <w:t xml:space="preserve">Também foram excluídos 25 campos relacionados a encaminhamentos e procedimentos realizados após a conduta sobre o caso, incluindo campos dos grupos</w:t>
      </w:r>
      <w:r>
        <w:t xml:space="preserve"> </w:t>
      </w:r>
      <w:r>
        <w:rPr>
          <w:rStyle w:val="VerbatimChar"/>
        </w:rPr>
        <w:t xml:space="preserve">ENC_*</w:t>
      </w:r>
      <w:r>
        <w:t xml:space="preserve">,</w:t>
      </w:r>
      <w:r>
        <w:t xml:space="preserve"> </w:t>
      </w:r>
      <w:r>
        <w:rPr>
          <w:rStyle w:val="VerbatimChar"/>
        </w:rPr>
        <w:t xml:space="preserve">DELEG_*</w:t>
      </w:r>
      <w:r>
        <w:t xml:space="preserve">,</w:t>
      </w:r>
      <w:r>
        <w:t xml:space="preserve"> </w:t>
      </w:r>
      <w:r>
        <w:rPr>
          <w:rStyle w:val="VerbatimChar"/>
        </w:rPr>
        <w:t xml:space="preserve">CONS_*</w:t>
      </w:r>
      <w:r>
        <w:t xml:space="preserve"> </w:t>
      </w:r>
      <w:r>
        <w:t xml:space="preserve">e</w:t>
      </w:r>
      <w:r>
        <w:t xml:space="preserve"> </w:t>
      </w:r>
      <w:r>
        <w:rPr>
          <w:rStyle w:val="VerbatimChar"/>
        </w:rPr>
        <w:t xml:space="preserve">PROC_*</w:t>
      </w:r>
      <w:r>
        <w:t xml:space="preserve">. Essas informações foram removidas porque não representam necessariamente dados disponíveis no momento de entrada de uma nova notificação. Sua utilização durante o treinamento configuraria vazamento temporal e poderia elevar artificialmente o desempenho.</w:t>
      </w:r>
    </w:p>
    <w:p>
      <w:pPr>
        <w:pStyle w:val="BodyText"/>
      </w:pPr>
      <w:r>
        <w:t xml:space="preserve">Variáveis geográficas também foram excluídas do conjunto de preditores. A análise exploratória indicou diferenças relevantes na distribuição das notificações entre unidades federativas, potencialmente relacionadas à capacidade e às práticas de notificação de cada estado, e não exclusivamente ao risco individual da vítima. A variável raça/cor não foi utilizada como preditora e foi reservada para a etapa posterior de auditoria de equidade. Campos utilizados diretamente nos critérios de seleção da amostra também foram retirados quando se tornaram constantes depois do recorte.</w:t>
      </w:r>
    </w:p>
    <w:bookmarkEnd w:id="18"/>
    <w:bookmarkStart w:id="19" w:name="divisão-dos-dados-e-modelos-avaliados"/>
    <w:p>
      <w:pPr>
        <w:pStyle w:val="Heading2"/>
      </w:pPr>
      <w:r>
        <w:rPr>
          <w:rStyle w:val="SectionNumber"/>
        </w:rPr>
        <w:t xml:space="preserve">3.6</w:t>
      </w:r>
      <w:r>
        <w:tab/>
      </w:r>
      <w:r>
        <w:t xml:space="preserve">Divisão dos dados e modelos avaliados</w:t>
      </w:r>
    </w:p>
    <w:p>
      <w:pPr>
        <w:pStyle w:val="FirstParagraph"/>
      </w:pPr>
      <w:r>
        <w:t xml:space="preserve">A amostra final foi dividida de forma estratificada em 80% para treinamento e 20% para teste. Foi utilizada uma semente fixa, com</w:t>
      </w:r>
      <w:r>
        <w:t xml:space="preserve"> </w:t>
      </w:r>
      <w:r>
        <w:rPr>
          <w:rStyle w:val="VerbatimChar"/>
        </w:rPr>
        <w:t xml:space="preserve">random_state=42</w:t>
      </w:r>
      <w:r>
        <w:t xml:space="preserve">, permitindo a reprodução da divisão realizada. O conjunto de teste resultante foi composto por 5.011 registros.</w:t>
      </w:r>
    </w:p>
    <w:p>
      <w:pPr>
        <w:pStyle w:val="BodyText"/>
      </w:pPr>
      <w:r>
        <w:t xml:space="preserve">Foram comparados três algoritmos supervisionados: regressão logística,</w:t>
      </w:r>
      <w:r>
        <w:t xml:space="preserve"> </w:t>
      </w:r>
      <w:r>
        <w:rPr>
          <w:i/>
          <w:iCs/>
        </w:rPr>
        <w:t xml:space="preserve">Random Forest</w:t>
      </w:r>
      <w:r>
        <w:t xml:space="preserve"> </w:t>
      </w:r>
      <w:r>
        <w:t xml:space="preserve">e</w:t>
      </w:r>
      <w:r>
        <w:t xml:space="preserve"> </w:t>
      </w:r>
      <w:r>
        <w:rPr>
          <w:i/>
          <w:iCs/>
        </w:rPr>
        <w:t xml:space="preserve">HistGradientBoosting</w:t>
      </w:r>
      <w:r>
        <w:t xml:space="preserve">. A regressão logística foi utilizada como modelo linear de referência, enquanto os métodos baseados em árvores foram incluídos pela capacidade de representar relações não lineares e interações entre atributos. Estudos recentes sobre predição de maus-tratos e reincidência de violência também empregaram regressão logística e métodos baseados em árvores na comparação de modelos</w:t>
      </w:r>
      <w:r>
        <w:t xml:space="preserve"> </w:t>
      </w:r>
      <w:r>
        <w:t xml:space="preserve">(Pappadis et al. 2025; Oguztuzun et al. 2025)</w:t>
      </w:r>
      <w:r>
        <w:t xml:space="preserve">.</w:t>
      </w:r>
    </w:p>
    <w:p>
      <w:pPr>
        <w:pStyle w:val="BodyText"/>
      </w:pPr>
      <w:r>
        <w:t xml:space="preserve">Além dos três modelos treinados, foi utilizado um</w:t>
      </w:r>
      <w:r>
        <w:t xml:space="preserve"> </w:t>
      </w:r>
      <w:r>
        <w:rPr>
          <w:i/>
          <w:iCs/>
        </w:rPr>
        <w:t xml:space="preserve">DummyClassifier</w:t>
      </w:r>
      <w:r>
        <w:t xml:space="preserve"> </w:t>
      </w:r>
      <w:r>
        <w:t xml:space="preserve">como</w:t>
      </w:r>
      <w:r>
        <w:t xml:space="preserve"> </w:t>
      </w:r>
      <w:r>
        <w:rPr>
          <w:i/>
          <w:iCs/>
        </w:rPr>
        <w:t xml:space="preserve">baseline</w:t>
      </w:r>
      <w:r>
        <w:t xml:space="preserve">. Esse classificador representa uma estratégia trivial baseada na classe majoritária e permite verificar se os modelos treinados apresentam capacidade discriminativa superior à simples reprodução da distribuição do desfecho.</w:t>
      </w:r>
    </w:p>
    <w:p>
      <w:pPr>
        <w:pStyle w:val="BodyText"/>
      </w:pPr>
      <w:r>
        <w:t xml:space="preserve">No conjunto de treinamento foi realizada validação cruzada estratificada com cinco partições. As classes encontravam-se próximas do equilíbrio, com 53,3% dos registros pertencentes à classe recorrente e 46,7% à classe não recorrente. Por esse motivo, não foram aplicadas estratégias de ponderação de classes ou reamostragem nesta etapa.</w:t>
      </w:r>
    </w:p>
    <w:bookmarkEnd w:id="19"/>
    <w:bookmarkStart w:id="20" w:name="métricas-de-avaliação"/>
    <w:p>
      <w:pPr>
        <w:pStyle w:val="Heading2"/>
      </w:pPr>
      <w:r>
        <w:rPr>
          <w:rStyle w:val="SectionNumber"/>
        </w:rPr>
        <w:t xml:space="preserve">3.7</w:t>
      </w:r>
      <w:r>
        <w:tab/>
      </w:r>
      <w:r>
        <w:t xml:space="preserve">Métricas de avaliação</w:t>
      </w:r>
    </w:p>
    <w:p>
      <w:pPr>
        <w:pStyle w:val="FirstParagraph"/>
      </w:pPr>
      <w:r>
        <w:t xml:space="preserve">A principal métrica adotada foi a área sob a curva ROC, denominada AUC-ROC. A curva ROC descreve a relação entre sensibilidade e taxa de falsos positivos para diferentes limiares de decisão, enquanto a AUC resume a capacidade discriminativa do modelo</w:t>
      </w:r>
      <w:r>
        <w:t xml:space="preserve"> </w:t>
      </w:r>
      <w:r>
        <w:t xml:space="preserve">(Fawcett 2006)</w:t>
      </w:r>
      <w:r>
        <w:t xml:space="preserve">.</w:t>
      </w:r>
    </w:p>
    <w:p>
      <w:pPr>
        <w:pStyle w:val="BodyText"/>
      </w:pPr>
      <w:r>
        <w:t xml:space="preserve">A escolha da AUC está diretamente relacionada ao objetivo do artefato. O sistema não pretende simplesmente produzir uma decisão binária entre recorrente e não recorrente, mas ordenar as notificações de acordo com um escore estimado. Nesse contexto, a AUC representa a capacidade do modelo de atribuir pontuações maiores a registros recorrentes do que a registros não recorrentes.</w:t>
      </w:r>
    </w:p>
    <w:p>
      <w:pPr>
        <w:pStyle w:val="BodyText"/>
      </w:pPr>
      <w:r>
        <w:t xml:space="preserve">Também foram avaliadas acurácia,</w:t>
      </w:r>
      <w:r>
        <w:t xml:space="preserve"> </w:t>
      </w:r>
      <w:r>
        <w:rPr>
          <w:i/>
          <w:iCs/>
        </w:rPr>
        <w:t xml:space="preserve">recall</w:t>
      </w:r>
      <w:r>
        <w:t xml:space="preserve"> </w:t>
      </w:r>
      <w:r>
        <w:t xml:space="preserve">e precisão. O</w:t>
      </w:r>
      <w:r>
        <w:t xml:space="preserve"> </w:t>
      </w:r>
      <w:r>
        <w:rPr>
          <w:i/>
          <w:iCs/>
        </w:rPr>
        <w:t xml:space="preserve">recall</w:t>
      </w:r>
      <w:r>
        <w:t xml:space="preserve"> </w:t>
      </w:r>
      <w:r>
        <w:t xml:space="preserve">possui importância particular no contexto proposto porque um falso negativo representa um caso recorrente que recebeu uma classificação negativa e que poderia, consequentemente, receber prioridade inferior. Um falso positivo, por sua vez, representa um caso não recorrente que poderia receber atendimento antecipado. Essa diferença entre as consequências dos erros justifica a análise conjunta das métricas em vez da utilização exclusiva da acurácia.</w:t>
      </w:r>
    </w:p>
    <w:p>
      <w:pPr>
        <w:pStyle w:val="BodyText"/>
      </w:pPr>
      <w:r>
        <w:t xml:space="preserve">A calibração das probabilidades constitui uma etapa complementar ainda não concluída nesta fase do projeto. Enquanto a AUC avalia a capacidade de discriminação e ordenação do modelo, a calibração deverá avaliar se os valores probabilísticos produzidos correspondem às frequências observadas. Portanto, os resultados desta etapa demonstram capacidade discriminativa, mas ainda não devem ser interpretados como evidência de que as probabilidades estejam calibradas.</w:t>
      </w:r>
    </w:p>
    <w:bookmarkEnd w:id="20"/>
    <w:bookmarkStart w:id="22" w:name="demonstração-e-resultados-dos-modelos"/>
    <w:p>
      <w:pPr>
        <w:pStyle w:val="Heading2"/>
      </w:pPr>
      <w:r>
        <w:rPr>
          <w:rStyle w:val="SectionNumber"/>
        </w:rPr>
        <w:t xml:space="preserve">3.8</w:t>
      </w:r>
      <w:r>
        <w:tab/>
      </w:r>
      <w:r>
        <w:t xml:space="preserve">Demonstração e resultados dos modelos</w:t>
      </w:r>
    </w:p>
    <w:p>
      <w:pPr>
        <w:pStyle w:val="FirstParagraph"/>
      </w:pPr>
      <w:r>
        <w:t xml:space="preserve">Os resultados obtidos pelos modelos são apresentados na Tabela </w:t>
      </w:r>
      <w:hyperlink w:anchor="tab:modelos">
        <w:r>
          <w:rPr>
            <w:rStyle w:val="Hyperlink"/>
          </w:rPr>
          <w:t xml:space="preserve">4</w:t>
        </w:r>
      </w:hyperlink>
      <w:r>
        <w:t xml:space="preserve">.</w:t>
      </w:r>
    </w:p>
    <w:bookmarkStart w:id="21" w:name="tab:modelos"/>
    <w:p>
      <w:pPr>
        <w:pStyle w:val="TableCaption"/>
      </w:pPr>
      <w:r>
        <w:t xml:space="preserve">Desempenho dos modelos avaliados.</w:t>
      </w:r>
    </w:p>
    <w:tbl>
      <w:tblPr>
        <w:tblStyle w:val="Table"/>
        <w:tblW w:type="auto" w:w="0"/>
        <w:tblLook w:firstRow="1" w:lastRow="0" w:firstColumn="0" w:lastColumn="0" w:noHBand="0" w:noVBand="0" w:val="0020"/>
        <w:tblCaption w:val="Desempenho dos modelos avaliados."/>
      </w:tblPr>
      <w:tblGrid>
        <w:gridCol w:w="1131"/>
        <w:gridCol w:w="1131"/>
        <w:gridCol w:w="1131"/>
        <w:gridCol w:w="1131"/>
        <w:gridCol w:w="1131"/>
        <w:gridCol w:w="1131"/>
        <w:gridCol w:w="1131"/>
      </w:tblGrid>
      <w:tr>
        <w:trPr>
          <w:tblHeader w:val="on"/>
        </w:trPr>
        <w:tc>
          <w:tcPr/>
          <w:p>
            <w:pPr>
              <w:pStyle w:val="Compact"/>
              <w:jc w:val="left"/>
            </w:pPr>
            <w:r>
              <w:rPr>
                <w:b/>
                <w:bCs/>
              </w:rPr>
              <w:t xml:space="preserve">Modelo</w:t>
            </w:r>
          </w:p>
        </w:tc>
        <w:tc>
          <w:tcPr/>
          <w:p>
            <w:pPr>
              <w:pStyle w:val="Compact"/>
              <w:jc w:val="center"/>
            </w:pPr>
            <w:r>
              <w:rPr>
                <w:b/>
                <w:bCs/>
              </w:rPr>
              <w:t xml:space="preserve">AUC teste</w:t>
            </w:r>
          </w:p>
        </w:tc>
        <w:tc>
          <w:tcPr/>
          <w:p>
            <w:pPr>
              <w:pStyle w:val="Compact"/>
              <w:jc w:val="center"/>
            </w:pPr>
            <w:r>
              <w:rPr>
                <w:b/>
                <w:bCs/>
              </w:rPr>
              <w:t xml:space="preserve">AUC CV</w:t>
            </w:r>
          </w:p>
        </w:tc>
        <w:tc>
          <w:tcPr/>
          <w:p>
            <w:pPr>
              <w:pStyle w:val="Compact"/>
              <w:jc w:val="center"/>
            </w:pPr>
            <w:r>
              <w:rPr>
                <w:b/>
                <w:bCs/>
              </w:rPr>
              <w:t xml:space="preserve">DP CV</w:t>
            </w:r>
          </w:p>
        </w:tc>
        <w:tc>
          <w:tcPr/>
          <w:p>
            <w:pPr>
              <w:pStyle w:val="Compact"/>
              <w:jc w:val="center"/>
            </w:pPr>
            <w:r>
              <w:rPr>
                <w:b/>
                <w:bCs/>
              </w:rPr>
              <w:t xml:space="preserve">Acurácia</w:t>
            </w:r>
          </w:p>
        </w:tc>
        <w:tc>
          <w:tcPr/>
          <w:p>
            <w:pPr>
              <w:pStyle w:val="Compact"/>
              <w:jc w:val="center"/>
            </w:pPr>
            <w:r>
              <w:rPr>
                <w:b/>
                <w:bCs/>
              </w:rPr>
              <w:t xml:space="preserve">Recall</w:t>
            </w:r>
          </w:p>
        </w:tc>
        <w:tc>
          <w:tcPr/>
          <w:p>
            <w:pPr>
              <w:pStyle w:val="Compact"/>
              <w:jc w:val="center"/>
            </w:pPr>
            <w:r>
              <w:rPr>
                <w:b/>
                <w:bCs/>
              </w:rPr>
              <w:t xml:space="preserve">Precisão</w:t>
            </w:r>
          </w:p>
        </w:tc>
      </w:tr>
      <w:tr>
        <w:tc>
          <w:tcPr/>
          <w:p>
            <w:pPr>
              <w:pStyle w:val="Compact"/>
              <w:jc w:val="left"/>
            </w:pPr>
            <w:r>
              <w:rPr>
                <w:b/>
                <w:bCs/>
              </w:rPr>
              <w:t xml:space="preserve">Modelo</w:t>
            </w:r>
          </w:p>
        </w:tc>
        <w:tc>
          <w:tcPr/>
          <w:p>
            <w:pPr>
              <w:pStyle w:val="Compact"/>
              <w:jc w:val="center"/>
            </w:pPr>
            <w:r>
              <w:rPr>
                <w:b/>
                <w:bCs/>
              </w:rPr>
              <w:t xml:space="preserve">AUC teste</w:t>
            </w:r>
          </w:p>
        </w:tc>
        <w:tc>
          <w:tcPr/>
          <w:p>
            <w:pPr>
              <w:pStyle w:val="Compact"/>
              <w:jc w:val="center"/>
            </w:pPr>
            <w:r>
              <w:rPr>
                <w:b/>
                <w:bCs/>
              </w:rPr>
              <w:t xml:space="preserve">AUC CV</w:t>
            </w:r>
          </w:p>
        </w:tc>
        <w:tc>
          <w:tcPr/>
          <w:p>
            <w:pPr>
              <w:pStyle w:val="Compact"/>
              <w:jc w:val="center"/>
            </w:pPr>
            <w:r>
              <w:rPr>
                <w:b/>
                <w:bCs/>
              </w:rPr>
              <w:t xml:space="preserve">DP CV</w:t>
            </w:r>
          </w:p>
        </w:tc>
        <w:tc>
          <w:tcPr/>
          <w:p>
            <w:pPr>
              <w:pStyle w:val="Compact"/>
              <w:jc w:val="center"/>
            </w:pPr>
            <w:r>
              <w:rPr>
                <w:b/>
                <w:bCs/>
              </w:rPr>
              <w:t xml:space="preserve">Acurácia</w:t>
            </w:r>
          </w:p>
        </w:tc>
        <w:tc>
          <w:tcPr/>
          <w:p>
            <w:pPr>
              <w:pStyle w:val="Compact"/>
              <w:jc w:val="center"/>
            </w:pPr>
            <w:r>
              <w:rPr>
                <w:b/>
                <w:bCs/>
              </w:rPr>
              <w:t xml:space="preserve">Recall</w:t>
            </w:r>
          </w:p>
        </w:tc>
        <w:tc>
          <w:tcPr/>
          <w:p>
            <w:pPr>
              <w:pStyle w:val="Compact"/>
              <w:jc w:val="center"/>
            </w:pPr>
            <w:r>
              <w:rPr>
                <w:b/>
                <w:bCs/>
              </w:rPr>
              <w:t xml:space="preserve">Precisão</w:t>
            </w:r>
          </w:p>
        </w:tc>
      </w:tr>
      <w:tr>
        <w:tc>
          <w:tcPr/>
          <w:p>
            <w:pPr>
              <w:pStyle w:val="Compact"/>
              <w:jc w:val="left"/>
            </w:pPr>
            <w:r>
              <w:t xml:space="preserve">HistGradientBoosting</w:t>
            </w:r>
          </w:p>
        </w:tc>
        <w:tc>
          <w:tcPr/>
          <w:p>
            <w:pPr>
              <w:pStyle w:val="Compact"/>
              <w:jc w:val="center"/>
            </w:pPr>
            <w:r>
              <w:rPr>
                <w:b/>
                <w:bCs/>
              </w:rPr>
              <w:t xml:space="preserve">0,836</w:t>
            </w:r>
          </w:p>
        </w:tc>
        <w:tc>
          <w:tcPr/>
          <w:p>
            <w:pPr>
              <w:pStyle w:val="Compact"/>
              <w:jc w:val="center"/>
            </w:pPr>
            <w:r>
              <w:t xml:space="preserve">0,837</w:t>
            </w:r>
          </w:p>
        </w:tc>
        <w:tc>
          <w:tcPr/>
          <w:p>
            <w:pPr>
              <w:pStyle w:val="Compact"/>
              <w:jc w:val="center"/>
            </w:pPr>
            <w:r>
              <w:t xml:space="preserve">0,005</w:t>
            </w:r>
          </w:p>
        </w:tc>
        <w:tc>
          <w:tcPr/>
          <w:p>
            <w:pPr>
              <w:pStyle w:val="Compact"/>
              <w:jc w:val="center"/>
            </w:pPr>
            <w:r>
              <w:t xml:space="preserve">0,758</w:t>
            </w:r>
          </w:p>
        </w:tc>
        <w:tc>
          <w:tcPr/>
          <w:p>
            <w:pPr>
              <w:pStyle w:val="Compact"/>
              <w:jc w:val="center"/>
            </w:pPr>
            <w:r>
              <w:t xml:space="preserve">0,810</w:t>
            </w:r>
          </w:p>
        </w:tc>
        <w:tc>
          <w:tcPr/>
          <w:p>
            <w:pPr>
              <w:pStyle w:val="Compact"/>
              <w:jc w:val="center"/>
            </w:pPr>
            <w:r>
              <w:t xml:space="preserve">0,762</w:t>
            </w:r>
          </w:p>
        </w:tc>
      </w:tr>
      <w:tr>
        <w:tc>
          <w:tcPr/>
          <w:p>
            <w:pPr>
              <w:pStyle w:val="Compact"/>
              <w:jc w:val="left"/>
            </w:pPr>
            <w:r>
              <w:t xml:space="preserve">Random Forest</w:t>
            </w:r>
          </w:p>
        </w:tc>
        <w:tc>
          <w:tcPr/>
          <w:p>
            <w:pPr>
              <w:pStyle w:val="Compact"/>
              <w:jc w:val="center"/>
            </w:pPr>
            <w:r>
              <w:t xml:space="preserve">0,830</w:t>
            </w:r>
          </w:p>
        </w:tc>
        <w:tc>
          <w:tcPr/>
          <w:p>
            <w:pPr>
              <w:pStyle w:val="Compact"/>
              <w:jc w:val="center"/>
            </w:pPr>
            <w:r>
              <w:t xml:space="preserve">0,834</w:t>
            </w:r>
          </w:p>
        </w:tc>
        <w:tc>
          <w:tcPr/>
          <w:p>
            <w:pPr>
              <w:pStyle w:val="Compact"/>
              <w:jc w:val="center"/>
            </w:pPr>
            <w:r>
              <w:t xml:space="preserve">0,004</w:t>
            </w:r>
          </w:p>
        </w:tc>
        <w:tc>
          <w:tcPr/>
          <w:p>
            <w:pPr>
              <w:pStyle w:val="Compact"/>
              <w:jc w:val="center"/>
            </w:pPr>
            <w:r>
              <w:t xml:space="preserve">0,760</w:t>
            </w:r>
          </w:p>
        </w:tc>
        <w:tc>
          <w:tcPr/>
          <w:p>
            <w:pPr>
              <w:pStyle w:val="Compact"/>
              <w:jc w:val="center"/>
            </w:pPr>
            <w:r>
              <w:t xml:space="preserve">0,836</w:t>
            </w:r>
          </w:p>
        </w:tc>
        <w:tc>
          <w:tcPr/>
          <w:p>
            <w:pPr>
              <w:pStyle w:val="Compact"/>
              <w:jc w:val="center"/>
            </w:pPr>
            <w:r>
              <w:t xml:space="preserve">0,752</w:t>
            </w:r>
          </w:p>
        </w:tc>
      </w:tr>
      <w:tr>
        <w:tc>
          <w:tcPr/>
          <w:p>
            <w:pPr>
              <w:pStyle w:val="Compact"/>
              <w:jc w:val="left"/>
            </w:pPr>
            <w:r>
              <w:t xml:space="preserve">Regressão logística</w:t>
            </w:r>
          </w:p>
        </w:tc>
        <w:tc>
          <w:tcPr/>
          <w:p>
            <w:pPr>
              <w:pStyle w:val="Compact"/>
              <w:jc w:val="center"/>
            </w:pPr>
            <w:r>
              <w:t xml:space="preserve">0,825</w:t>
            </w:r>
          </w:p>
        </w:tc>
        <w:tc>
          <w:tcPr/>
          <w:p>
            <w:pPr>
              <w:pStyle w:val="Compact"/>
              <w:jc w:val="center"/>
            </w:pPr>
            <w:r>
              <w:t xml:space="preserve">0,825</w:t>
            </w:r>
          </w:p>
        </w:tc>
        <w:tc>
          <w:tcPr/>
          <w:p>
            <w:pPr>
              <w:pStyle w:val="Compact"/>
              <w:jc w:val="center"/>
            </w:pPr>
            <w:r>
              <w:t xml:space="preserve">0,002</w:t>
            </w:r>
          </w:p>
        </w:tc>
        <w:tc>
          <w:tcPr/>
          <w:p>
            <w:pPr>
              <w:pStyle w:val="Compact"/>
              <w:jc w:val="center"/>
            </w:pPr>
            <w:r>
              <w:t xml:space="preserve">0,751</w:t>
            </w:r>
          </w:p>
        </w:tc>
        <w:tc>
          <w:tcPr/>
          <w:p>
            <w:pPr>
              <w:pStyle w:val="Compact"/>
              <w:jc w:val="center"/>
            </w:pPr>
            <w:r>
              <w:t xml:space="preserve">0,813</w:t>
            </w:r>
          </w:p>
        </w:tc>
        <w:tc>
          <w:tcPr/>
          <w:p>
            <w:pPr>
              <w:pStyle w:val="Compact"/>
              <w:jc w:val="center"/>
            </w:pPr>
            <w:r>
              <w:t xml:space="preserve">0,751</w:t>
            </w:r>
          </w:p>
        </w:tc>
      </w:tr>
      <w:tr>
        <w:tc>
          <w:tcPr/>
          <w:p>
            <w:pPr>
              <w:pStyle w:val="Compact"/>
              <w:jc w:val="left"/>
            </w:pPr>
            <w:r>
              <w:t xml:space="preserve">Baseline (</w:t>
            </w:r>
            <w:r>
              <w:rPr>
                <w:i/>
                <w:iCs/>
              </w:rPr>
              <w:t xml:space="preserve">DummyClassifier</w:t>
            </w:r>
            <w:r>
              <w:t xml:space="preserve">)</w:t>
            </w:r>
          </w:p>
        </w:tc>
        <w:tc>
          <w:tcPr/>
          <w:p>
            <w:pPr>
              <w:pStyle w:val="Compact"/>
              <w:jc w:val="center"/>
            </w:pPr>
            <w:r>
              <w:t xml:space="preserve">0,500</w:t>
            </w:r>
          </w:p>
        </w:tc>
        <w:tc>
          <w:tcPr/>
          <w:p>
            <w:pPr>
              <w:pStyle w:val="Compact"/>
              <w:jc w:val="center"/>
            </w:pPr>
            <w:r>
              <w:t xml:space="preserve">0,500</w:t>
            </w:r>
          </w:p>
        </w:tc>
        <w:tc>
          <w:tcPr/>
          <w:p>
            <w:pPr>
              <w:pStyle w:val="Compact"/>
              <w:jc w:val="center"/>
            </w:pPr>
            <w:r>
              <w:t xml:space="preserve">0,000</w:t>
            </w:r>
          </w:p>
        </w:tc>
        <w:tc>
          <w:tcPr/>
          <w:p>
            <w:pPr>
              <w:pStyle w:val="Compact"/>
              <w:jc w:val="center"/>
            </w:pPr>
            <w:r>
              <w:t xml:space="preserve">0,546</w:t>
            </w:r>
          </w:p>
        </w:tc>
        <w:tc>
          <w:tcPr/>
          <w:p>
            <w:pPr>
              <w:pStyle w:val="Compact"/>
              <w:jc w:val="center"/>
            </w:pPr>
            <w:r>
              <w:t xml:space="preserve">1,000</w:t>
            </w:r>
          </w:p>
        </w:tc>
        <w:tc>
          <w:tcPr/>
          <w:p>
            <w:pPr>
              <w:pStyle w:val="Compact"/>
              <w:jc w:val="center"/>
            </w:pPr>
            <w:r>
              <w:t xml:space="preserve">0,546</w:t>
            </w:r>
          </w:p>
        </w:tc>
      </w:tr>
    </w:tbl>
    <w:bookmarkEnd w:id="21"/>
    <w:p>
      <w:pPr>
        <w:pStyle w:val="BodyText"/>
      </w:pPr>
      <w:r>
        <w:t xml:space="preserve">O</w:t>
      </w:r>
      <w:r>
        <w:t xml:space="preserve"> </w:t>
      </w:r>
      <w:r>
        <w:rPr>
          <w:i/>
          <w:iCs/>
        </w:rPr>
        <w:t xml:space="preserve">HistGradientBoosting</w:t>
      </w:r>
      <w:r>
        <w:t xml:space="preserve"> </w:t>
      </w:r>
      <w:r>
        <w:t xml:space="preserve">apresentou a maior AUC no conjunto de teste, com valor de 0,845. O</w:t>
      </w:r>
      <w:r>
        <w:t xml:space="preserve"> </w:t>
      </w:r>
      <w:r>
        <w:rPr>
          <w:i/>
          <w:iCs/>
        </w:rPr>
        <w:t xml:space="preserve">Random Forest</w:t>
      </w:r>
      <w:r>
        <w:t xml:space="preserve"> </w:t>
      </w:r>
      <w:r>
        <w:t xml:space="preserve">apresentou AUC de 0,840, enquanto a regressão logística alcançou 0,826. O</w:t>
      </w:r>
      <w:r>
        <w:t xml:space="preserve"> </w:t>
      </w:r>
      <w:r>
        <w:rPr>
          <w:i/>
          <w:iCs/>
        </w:rPr>
        <w:t xml:space="preserve">DummyClassifier</w:t>
      </w:r>
      <w:r>
        <w:t xml:space="preserve"> </w:t>
      </w:r>
      <w:r>
        <w:t xml:space="preserve">apresentou AUC de 0,500 e acurácia de 0,533. Apesar de atingir</w:t>
      </w:r>
      <w:r>
        <w:t xml:space="preserve"> </w:t>
      </w:r>
      <w:r>
        <w:rPr>
          <w:i/>
          <w:iCs/>
        </w:rPr>
        <w:t xml:space="preserve">recall</w:t>
      </w:r>
      <w:r>
        <w:t xml:space="preserve"> </w:t>
      </w:r>
      <w:r>
        <w:t xml:space="preserve">de 1,000 por classificar todos os registros como pertencentes à classe majoritária, o modelo não possui capacidade de distinguir ou ordenar os casos. Esse resultado demonstra que o</w:t>
      </w:r>
      <w:r>
        <w:t xml:space="preserve"> </w:t>
      </w:r>
      <w:r>
        <w:rPr>
          <w:i/>
          <w:iCs/>
        </w:rPr>
        <w:t xml:space="preserve">recall</w:t>
      </w:r>
      <w:r>
        <w:t xml:space="preserve"> </w:t>
      </w:r>
      <w:r>
        <w:t xml:space="preserve">não deve ser utilizado isoladamente para selecionar o modelo.</w:t>
      </w:r>
    </w:p>
    <w:p>
      <w:pPr>
        <w:pStyle w:val="BodyText"/>
      </w:pPr>
      <w:r>
        <w:t xml:space="preserve">O</w:t>
      </w:r>
      <w:r>
        <w:t xml:space="preserve"> </w:t>
      </w:r>
      <w:r>
        <w:rPr>
          <w:i/>
          <w:iCs/>
        </w:rPr>
        <w:t xml:space="preserve">HistGradientBoosting</w:t>
      </w:r>
      <w:r>
        <w:t xml:space="preserve"> </w:t>
      </w:r>
      <w:r>
        <w:t xml:space="preserve">foi selecionado como modelo de melhor desempenho devido à AUC de 0,845 no conjunto de teste, representando ganho absoluto de 0,345 em relação ao</w:t>
      </w:r>
      <w:r>
        <w:t xml:space="preserve"> </w:t>
      </w:r>
      <w:r>
        <w:rPr>
          <w:i/>
          <w:iCs/>
        </w:rPr>
        <w:t xml:space="preserve">baseline</w:t>
      </w:r>
      <w:r>
        <w:t xml:space="preserve">. Na validação cruzada, o modelo apresentou AUC média de 0,843 e desvio padrão de 0,004, indicando pequena variação entre as diferentes partições do conjunto de treinamento.</w:t>
      </w:r>
    </w:p>
    <w:p>
      <w:pPr>
        <w:pStyle w:val="BodyText"/>
      </w:pPr>
      <w:r>
        <w:t xml:space="preserve">No conjunto de teste, a matriz de confusão do modelo selecionado apresentou 1.691 verdadeiros negativos, 2.141 verdadeiros positivos, 651 falsos positivos e 528 falsos negativos. Esses resultados correspondem a acurácia de 0,765,</w:t>
      </w:r>
      <w:r>
        <w:t xml:space="preserve"> </w:t>
      </w:r>
      <w:r>
        <w:rPr>
          <w:i/>
          <w:iCs/>
        </w:rPr>
        <w:t xml:space="preserve">recall</w:t>
      </w:r>
      <w:r>
        <w:t xml:space="preserve"> </w:t>
      </w:r>
      <w:r>
        <w:t xml:space="preserve">de 0,802 e precisão de 0,767.</w:t>
      </w:r>
    </w:p>
    <w:p>
      <w:pPr>
        <w:pStyle w:val="BodyText"/>
      </w:pPr>
      <w:r>
        <w:t xml:space="preserve">Devido ao desempenho obtido, também foi realizada uma verificação explícita das possíveis fontes de vazamento. Confirmou-se a ausência dos campos de encaminhamento e procedimento no conjunto de preditores. A análise de importância por permutação apresentou contribuição distribuída entre as variáveis, sem indicar que o desempenho estivesse concentrado exclusivamente em um único atributo.</w:t>
      </w:r>
    </w:p>
    <w:p>
      <w:pPr>
        <w:pStyle w:val="BodyText"/>
      </w:pPr>
      <w:r>
        <w:t xml:space="preserve">Entretanto, o atributo relacionado à ausência de identificação do provável autor apresentou a maior importância individual. Sua permutação provocou redução de 0,0216 na AUC. Aproximadamente 13,9% dos registros não apresentavam identificação do autor mesmo em um campo previsto na ficha de notificação. Esse resultado deve ser interpretado com cautela, pois o padrão aprendido pode estar relacionado não apenas à recorrência, mas também à qualidade ou às características do preenchimento realizado pelas unidades notificadoras. Essa questão será aprofundada posteriormente durante a auditoria de possíveis vieses.</w:t>
      </w:r>
    </w:p>
    <w:bookmarkEnd w:id="22"/>
    <w:bookmarkEnd w:id="23"/>
    <w:bookmarkStart w:id="24" w:name="considerações-finais"/>
    <w:p>
      <w:pPr>
        <w:pStyle w:val="Heading1"/>
      </w:pPr>
      <w:r>
        <w:rPr>
          <w:rStyle w:val="SectionNumber"/>
        </w:rPr>
        <w:t xml:space="preserve">4</w:t>
      </w:r>
      <w:r>
        <w:tab/>
      </w:r>
      <w:r>
        <w:t xml:space="preserve">Considerações Finais</w:t>
      </w:r>
    </w:p>
    <w:p>
      <w:pPr>
        <w:pStyle w:val="FirstParagraph"/>
      </w:pPr>
      <w:r>
        <w:t xml:space="preserve">Os resultados desta etapa demonstram que os campos disponíveis nas notificações do SINAN possuem capacidade discriminativa para estimar a recorrência registrada de violência contra pessoas idosas. A partir das 616.548 notificações de violência registradas em 2024, os critérios de seleção produziram uma amostra final de 25.052 casos de violência interpessoal contra pessoas idosas com variável-alvo válida.</w:t>
      </w:r>
    </w:p>
    <w:p>
      <w:pPr>
        <w:pStyle w:val="BodyText"/>
      </w:pPr>
      <w:r>
        <w:t xml:space="preserve">Entre os algoritmos comparados, o</w:t>
      </w:r>
      <w:r>
        <w:t xml:space="preserve"> </w:t>
      </w:r>
      <w:r>
        <w:rPr>
          <w:i/>
          <w:iCs/>
        </w:rPr>
        <w:t xml:space="preserve">HistGradientBoosting</w:t>
      </w:r>
      <w:r>
        <w:t xml:space="preserve"> </w:t>
      </w:r>
      <w:r>
        <w:t xml:space="preserve">apresentou o melhor desempenho discriminativo, alcançando AUC-ROC de 0,845 no conjunto de teste e AUC média de 0,843 durante a validação cruzada. O resultado foi superior ao</w:t>
      </w:r>
      <w:r>
        <w:t xml:space="preserve"> </w:t>
      </w:r>
      <w:r>
        <w:rPr>
          <w:i/>
          <w:iCs/>
        </w:rPr>
        <w:t xml:space="preserve">baseline</w:t>
      </w:r>
      <w:r>
        <w:t xml:space="preserve"> </w:t>
      </w:r>
      <w:r>
        <w:t xml:space="preserve">e aos demais algoritmos avaliados, indicando que as características disponíveis nas notificações apresentam informação capaz de contribuir para a ordenação dos casos segundo a recorrência registrada.</w:t>
      </w:r>
    </w:p>
    <w:p>
      <w:pPr>
        <w:pStyle w:val="BodyText"/>
      </w:pPr>
      <w:r>
        <w:t xml:space="preserve">Os resultados, entretanto, não devem ser interpretados como estimativa direta da gravidade da violência. O campo</w:t>
      </w:r>
      <w:r>
        <w:t xml:space="preserve"> </w:t>
      </w:r>
      <w:r>
        <w:t xml:space="preserve">“Ocorreu outras vezes?”</w:t>
      </w:r>
      <w:r>
        <w:t xml:space="preserve"> </w:t>
      </w:r>
      <w:r>
        <w:t xml:space="preserve">representa a recorrência registrada na notificação e funciona como uma</w:t>
      </w:r>
      <w:r>
        <w:t xml:space="preserve"> </w:t>
      </w:r>
      <w:r>
        <w:rPr>
          <w:i/>
          <w:iCs/>
        </w:rPr>
        <w:t xml:space="preserve">proxy</w:t>
      </w:r>
      <w:r>
        <w:t xml:space="preserve">, estando sujeito à qualidade, completitude e consistência dos dados. A importância observada para atributos relacionados à ausência de informação reforça a necessidade de investigar se parte do desempenho está associada a padrões de preenchimento das unidades notificadoras.</w:t>
      </w:r>
    </w:p>
    <w:p>
      <w:pPr>
        <w:pStyle w:val="BodyText"/>
      </w:pPr>
      <w:r>
        <w:t xml:space="preserve">No contexto da DSRM, esta etapa corresponde principalmente às fases de</w:t>
      </w:r>
      <w:r>
        <w:t xml:space="preserve"> </w:t>
      </w:r>
      <w:r>
        <w:rPr>
          <w:i/>
          <w:iCs/>
        </w:rPr>
        <w:t xml:space="preserve">Design e Desenvolvimento</w:t>
      </w:r>
      <w:r>
        <w:t xml:space="preserve"> </w:t>
      </w:r>
      <w:r>
        <w:t xml:space="preserve">do artefato e à sua</w:t>
      </w:r>
      <w:r>
        <w:t xml:space="preserve"> </w:t>
      </w:r>
      <w:r>
        <w:rPr>
          <w:i/>
          <w:iCs/>
        </w:rPr>
        <w:t xml:space="preserve">Demonstração</w:t>
      </w:r>
      <w:r>
        <w:t xml:space="preserve"> </w:t>
      </w:r>
      <w:r>
        <w:t xml:space="preserve">em ambiente controlado. As próximas etapas deverão incluir a análise da calibração das probabilidades, a avaliação do desempenho entre subgrupos, a auditoria de possíveis vieses e a validação do artefato no contexto real de utilização.</w:t>
      </w:r>
    </w:p>
    <w:p>
      <w:pPr>
        <w:pStyle w:val="BodyText"/>
      </w:pPr>
      <w:r>
        <w:t xml:space="preserve">O artefato permanece concebido como mecanismo complementar de apoio à priorização para revisão humana. O modelo não elimina notificações da fila e não substitui decisões profissionais, protocolos de atendimento ou medidas de proteção. A decisão final permanece sob responsabilidade humana, de modo que o escore produzido funcione apenas como uma informação adicional para auxiliar a organização da análise dos casos.</w:t>
      </w:r>
    </w:p>
    <w:bookmarkEnd w:id="24"/>
    <w:bookmarkStart w:id="50" w:name="adequação-do-projeto-ao-crisp-mlq"/>
    <w:p>
      <w:pPr>
        <w:pStyle w:val="Heading1"/>
      </w:pPr>
      <w:r>
        <w:rPr>
          <w:rStyle w:val="SectionNumber"/>
        </w:rPr>
        <w:t xml:space="preserve">5</w:t>
      </w:r>
      <w:r>
        <w:tab/>
      </w:r>
      <w:r>
        <w:t xml:space="preserve">Adequação do Projeto ao CRISP-ML(Q)</w:t>
      </w:r>
    </w:p>
    <w:p>
      <w:pPr>
        <w:pStyle w:val="FirstParagraph"/>
      </w:pPr>
      <w:r>
        <w:t xml:space="preserve">O desenvolvimento de aplicações de</w:t>
      </w:r>
      <w:r>
        <w:t xml:space="preserve"> </w:t>
      </w:r>
      <w:r>
        <w:rPr>
          <w:i/>
          <w:iCs/>
        </w:rPr>
        <w:t xml:space="preserve">Machine Learning</w:t>
      </w:r>
      <w:r>
        <w:t xml:space="preserve"> </w:t>
      </w:r>
      <w:r>
        <w:t xml:space="preserve">não se encerra no treinamento e na seleção de um modelo com bom desempenho. Além da construção do modelo, é necessário considerar a qualidade dos dados utilizados, a reprodutibilidade das transformações, a implantação da solução e o acompanhamento de seu funcionamento ao longo do tempo. Nesse contexto, o presente projeto foi relacionado ao modelo CRISP-ML(Q) (</w:t>
      </w:r>
      <w:r>
        <w:rPr>
          <w:i/>
          <w:iCs/>
        </w:rPr>
        <w:t xml:space="preserve">Cross-Industry Standard Process for the Development of Machine Learning Applications with Quality Assurance Methodology</w:t>
      </w:r>
      <w:r>
        <w:t xml:space="preserve">), proposto por Studer et al.</w:t>
      </w:r>
      <w:r>
        <w:t xml:space="preserve"> </w:t>
      </w:r>
      <w:r>
        <w:t xml:space="preserve">(Studer et al. 2021)</w:t>
      </w:r>
      <w:r>
        <w:t xml:space="preserve">.</w:t>
      </w:r>
    </w:p>
    <w:p>
      <w:pPr>
        <w:pStyle w:val="BodyText"/>
      </w:pPr>
      <w:r>
        <w:t xml:space="preserve">O CRISP-ML(Q) organiza o ciclo de vida de uma aplicação de aprendizado de máquina em seis fases: compreensão do negócio e dos dados, preparação dos dados, engenharia de modelagem, avaliação, implantação e monitoramento/manutenção. Diferentemente de metodologias voltadas principalmente à análise de bases históricas, o CRISP-ML(Q) considera também o funcionamento do modelo após sua implantação e incorpora atividades de garantia de qualidade ao longo de todo o processo</w:t>
      </w:r>
      <w:r>
        <w:t xml:space="preserve"> </w:t>
      </w:r>
      <w:r>
        <w:t xml:space="preserve">(Studer et al. 2021)</w:t>
      </w:r>
      <w:r>
        <w:t xml:space="preserve">.</w:t>
      </w:r>
    </w:p>
    <w:p>
      <w:pPr>
        <w:pStyle w:val="BodyText"/>
      </w:pPr>
      <w:r>
        <w:t xml:space="preserve">Essa abordagem é adequada ao projeto desenvolvido, cujo objetivo é construir um instrumento de apoio à triagem de risco de recorrência da violência contra a pessoa idosa utilizando registros do Sistema de Informação de Agravos de Notificação (SINAN). A solução não se limita à construção de um classificador, pois o modelo integra um produto destinado a auxiliar na priorização de casos, tornando necessárias preocupações relacionadas à qualidade dos registros, interpretabilidade dos resultados, possíveis vieses, implantação e manutenção futura.</w:t>
      </w:r>
    </w:p>
    <w:p>
      <w:pPr>
        <w:pStyle w:val="BodyText"/>
      </w:pPr>
      <w:r>
        <w:t xml:space="preserve">Estudos anteriores apontam que a violência contra a pessoa idosa apresenta características relacionadas tanto ao perfil da vítima quanto à relação com o agressor, além de limitações associadas à subnotificação e à completitude dos sistemas de informação</w:t>
      </w:r>
      <w:r>
        <w:t xml:space="preserve"> </w:t>
      </w:r>
      <w:r>
        <w:t xml:space="preserve">(</w:t>
      </w:r>
      <w:r>
        <w:t xml:space="preserve">Mascarenhas et al.</w:t>
      </w:r>
      <w:r>
        <w:t xml:space="preserve"> </w:t>
      </w:r>
      <w:r>
        <w:t xml:space="preserve">2012; Andrade et al. 2023;</w:t>
      </w:r>
      <w:r>
        <w:t xml:space="preserve"> </w:t>
      </w:r>
      <w:r>
        <w:t xml:space="preserve">Lima et al.</w:t>
      </w:r>
      <w:r>
        <w:t xml:space="preserve"> </w:t>
      </w:r>
      <w:r>
        <w:t xml:space="preserve">2023)</w:t>
      </w:r>
      <w:r>
        <w:t xml:space="preserve">. Dessa forma, a utilização desses registros em modelos preditivos exige atenção não apenas ao desempenho computacional, mas também às características epidemiológicas e à qualidade da informação disponível.</w:t>
      </w:r>
    </w:p>
    <w:bookmarkStart w:id="25" w:name="compreensão-do-negócio-e-dos-dados"/>
    <w:p>
      <w:pPr>
        <w:pStyle w:val="Heading2"/>
      </w:pPr>
      <w:r>
        <w:rPr>
          <w:rStyle w:val="SectionNumber"/>
        </w:rPr>
        <w:t xml:space="preserve">5.1</w:t>
      </w:r>
      <w:r>
        <w:tab/>
      </w:r>
      <w:r>
        <w:t xml:space="preserve">Compreensão do negócio e dos dados</w:t>
      </w:r>
    </w:p>
    <w:p>
      <w:pPr>
        <w:pStyle w:val="FirstParagraph"/>
      </w:pPr>
      <w:r>
        <w:t xml:space="preserve">A primeira fase do CRISP-ML(Q) envolve a compreensão do problema que será resolvido, a definição dos objetivos da aplicação, o estabelecimento de critérios de sucesso e a avaliação inicial da disponibilidade e da qualidade dos dados</w:t>
      </w:r>
      <w:r>
        <w:t xml:space="preserve"> </w:t>
      </w:r>
      <w:r>
        <w:t xml:space="preserve">(Studer et al. 2021)</w:t>
      </w:r>
      <w:r>
        <w:t xml:space="preserve">.</w:t>
      </w:r>
    </w:p>
    <w:p>
      <w:pPr>
        <w:pStyle w:val="BodyText"/>
      </w:pPr>
      <w:r>
        <w:t xml:space="preserve">No presente projeto, essa etapa está relacionada principalmente às Sprints 0 e 1. O problema identificado foi a necessidade de auxiliar serviços responsáveis pelo acompanhamento de situações de violência contra pessoas idosas na priorização dos casos recebidos. A questão que orientou o desenvolvimento foi verificar se os campos já preenchidos na ficha de notificação do SINAN poderiam ser utilizados para estimar a probabilidade de recorrência da violência.</w:t>
      </w:r>
    </w:p>
    <w:p>
      <w:pPr>
        <w:pStyle w:val="BodyText"/>
      </w:pPr>
      <w:r>
        <w:t xml:space="preserve">Também foram identificados os principais envolvidos no funcionamento da solução. A vigilância epidemiológica municipal ou a Secretaria Municipal de Saúde representa o responsável pela base e pelo sistema, enquanto serviços de proteção, como o CREAS, correspondem aos usuários da informação gerada pelo modelo.</w:t>
      </w:r>
    </w:p>
    <w:p>
      <w:pPr>
        <w:pStyle w:val="BodyText"/>
      </w:pPr>
      <w:r>
        <w:t xml:space="preserve">Antes do treinamento dos modelos, foram definidos indicadores de desempenho. A AUC-ROC foi adotada como uma das métricas principais por avaliar a capacidade do modelo de discriminar e ordenar os casos segundo o risco estimado</w:t>
      </w:r>
      <w:r>
        <w:t xml:space="preserve"> </w:t>
      </w:r>
      <w:r>
        <w:t xml:space="preserve">(Fawcett 2006)</w:t>
      </w:r>
      <w:r>
        <w:t xml:space="preserve">. O</w:t>
      </w:r>
      <w:r>
        <w:t xml:space="preserve"> </w:t>
      </w:r>
      <w:r>
        <w:rPr>
          <w:i/>
          <w:iCs/>
        </w:rPr>
        <w:t xml:space="preserve">recall</w:t>
      </w:r>
      <w:r>
        <w:t xml:space="preserve"> </w:t>
      </w:r>
      <w:r>
        <w:t xml:space="preserve">da classe positiva recebeu atenção especial, pois um falso negativo representa um caso de recorrência que não foi corretamente identificado. Além disso, a interpretabilidade foi considerada requisito importante, uma vez que a pontuação apresentada pelo sistema deve ser compreendida pelo profissional responsável pela decisão.</w:t>
      </w:r>
    </w:p>
    <w:p>
      <w:pPr>
        <w:pStyle w:val="BodyText"/>
      </w:pPr>
      <w:r>
        <w:t xml:space="preserve">A análise inicial da base identificou 616.548 notificações de violência no período analisado, das quais 42.176 correspondiam a pessoas com 60 anos ou mais. Após a exclusão dos casos de violência autoprovocada, permaneceram 35.129 registros. A variável definida como alvo apresentava 28,7% de valores ignorados ou ausentes, resultando em 25.056 registros com desfecho conhecido. Entre esses registros, a taxa de recorrência foi de 53,3%.</w:t>
      </w:r>
    </w:p>
    <w:p>
      <w:pPr>
        <w:pStyle w:val="BodyText"/>
      </w:pPr>
      <w:r>
        <w:t xml:space="preserve">A exploração dos dados também revelou problemas relacionados à qualidade do preenchimento. Entre os registros de pessoas com 60 anos ou mais, 16,7% correspondiam a violência autoprovocada. Além disso, em 13,9% dos registros nenhum campo referente à relação com o provável autor estava marcado. Foram identificados ainda 1.478 registros com inconsistência entre os campos referentes à lesão autoprovocada e à autoria da própria pessoa.</w:t>
      </w:r>
    </w:p>
    <w:p>
      <w:pPr>
        <w:pStyle w:val="BodyText"/>
      </w:pPr>
      <w:r>
        <w:t xml:space="preserve">Esses problemas são relevantes porque a qualidade dos dados do SINAN depende diretamente do processo de preenchimento da ficha de notificação. O Ministério da Saúde estabelece procedimentos e regras específicas para registro e análise da violência interpessoal e autoprovocada</w:t>
      </w:r>
      <w:r>
        <w:t xml:space="preserve"> </w:t>
      </w:r>
      <w:r>
        <w:t xml:space="preserve">(Brasil. Ministério da Saúde 2016, 2019)</w:t>
      </w:r>
      <w:r>
        <w:t xml:space="preserve">. Estudos sobre a qualidade dessas fichas também apontam problemas de incompletude e diferenças no preenchimento das variáveis</w:t>
      </w:r>
      <w:r>
        <w:t xml:space="preserve"> </w:t>
      </w:r>
      <w:r>
        <w:t xml:space="preserve">(</w:t>
      </w:r>
      <w:r>
        <w:t xml:space="preserve">Lima et al.</w:t>
      </w:r>
      <w:r>
        <w:t xml:space="preserve"> </w:t>
      </w:r>
      <w:r>
        <w:t xml:space="preserve">2023)</w:t>
      </w:r>
      <w:r>
        <w:t xml:space="preserve">.</w:t>
      </w:r>
    </w:p>
    <w:p>
      <w:pPr>
        <w:pStyle w:val="BodyText"/>
      </w:pPr>
      <w:r>
        <w:t xml:space="preserve">Outro aspecto observado foi a distribuição desigual das notificações entre unidades federativas. Essa diferença pode refletir não apenas a ocorrência da violência, mas também desigualdades na capacidade de identificação e notificação dos casos. Por essa razão, as variáveis geográficas foram excluídas da modelagem.</w:t>
      </w:r>
    </w:p>
    <w:bookmarkEnd w:id="25"/>
    <w:bookmarkStart w:id="26" w:name="preparação-dos-dados"/>
    <w:p>
      <w:pPr>
        <w:pStyle w:val="Heading2"/>
      </w:pPr>
      <w:r>
        <w:rPr>
          <w:rStyle w:val="SectionNumber"/>
        </w:rPr>
        <w:t xml:space="preserve">5.2</w:t>
      </w:r>
      <w:r>
        <w:tab/>
      </w:r>
      <w:r>
        <w:t xml:space="preserve">Preparação dos dados</w:t>
      </w:r>
    </w:p>
    <w:p>
      <w:pPr>
        <w:pStyle w:val="FirstParagraph"/>
      </w:pPr>
      <w:r>
        <w:t xml:space="preserve">A segunda fase do CRISP-ML(Q) compreende atividades de aquisição, limpeza, transformação, seleção de atributos e criação de processos de preparação reproduzíveis</w:t>
      </w:r>
      <w:r>
        <w:t xml:space="preserve"> </w:t>
      </w:r>
      <w:r>
        <w:t xml:space="preserve">(Studer et al. 2021)</w:t>
      </w:r>
      <w:r>
        <w:t xml:space="preserve">.</w:t>
      </w:r>
    </w:p>
    <w:p>
      <w:pPr>
        <w:pStyle w:val="BodyText"/>
      </w:pPr>
      <w:r>
        <w:t xml:space="preserve">No projeto, essa fase foi desenvolvida principalmente durante as Sprints 1 e 2. Os microdados foram obtidos a partir do DATASUS e interpretados com apoio da documentação oficial do SINAN disponibilizada pelo Ministério da Saúde</w:t>
      </w:r>
      <w:r>
        <w:t xml:space="preserve"> </w:t>
      </w:r>
      <w:r>
        <w:t xml:space="preserve">(Brasil. Ministério da Saúde 2016, 2019)</w:t>
      </w:r>
      <w:r>
        <w:t xml:space="preserve">.</w:t>
      </w:r>
    </w:p>
    <w:p>
      <w:pPr>
        <w:pStyle w:val="BodyText"/>
      </w:pPr>
      <w:r>
        <w:t xml:space="preserve">Uma das primeiras etapas foi o tratamento do campo referente à idade. No SINAN, o valor armazenado não representa diretamente a idade em anos, pois parte do código identifica a unidade de tempo utilizada. Dessa maneira, foi necessária a decodificação da variável antes da seleção dos registros referentes às pessoas com 60 anos ou mais.</w:t>
      </w:r>
    </w:p>
    <w:p>
      <w:pPr>
        <w:pStyle w:val="BodyText"/>
      </w:pPr>
      <w:r>
        <w:t xml:space="preserve">Também foram removidos os registros de violência autoprovocada, uma vez que esse tipo de ocorrência possui dinâmica diferente daquela associada à violência praticada por terceiros. Os valores ignorados ou nulos da variável-alvo foram excluídos, já que não seria metodologicamente adequado imputar artificialmente a variável que o modelo deveria aprender a prever.</w:t>
      </w:r>
    </w:p>
    <w:p>
      <w:pPr>
        <w:pStyle w:val="BodyText"/>
      </w:pPr>
      <w:r>
        <w:t xml:space="preserve">Foram identificados 1.039 registros duplicados, equivalentes a aproximadamente 4,1% do conjunto utilizado na modelagem. Esses registros foram removidos antes da separação entre treinamento e teste, evitando que observações idênticas fossem distribuídas nos dois conjuntos e produzissem uma avaliação artificialmente otimista.</w:t>
      </w:r>
    </w:p>
    <w:p>
      <w:pPr>
        <w:pStyle w:val="BodyText"/>
      </w:pPr>
      <w:r>
        <w:t xml:space="preserve">A seleção dos atributos também considerou a possibilidade de vazamento de dados. Campos referentes a encaminhamentos e procedimentos realizados após o atendimento foram removidos, pois essas informações não estariam disponíveis no momento em que a estimativa de risco deveria ser realizada. O uso desse tipo de variável configuraria</w:t>
      </w:r>
      <w:r>
        <w:t xml:space="preserve"> </w:t>
      </w:r>
      <w:r>
        <w:rPr>
          <w:i/>
          <w:iCs/>
        </w:rPr>
        <w:t xml:space="preserve">data leakage</w:t>
      </w:r>
      <w:r>
        <w:t xml:space="preserve">, situação em que informações relacionadas ao resultado são incorporadas indevidamente ao conjunto de preditores</w:t>
      </w:r>
      <w:r>
        <w:t xml:space="preserve"> </w:t>
      </w:r>
      <w:r>
        <w:t xml:space="preserve">(Kaufman et al. 2012)</w:t>
      </w:r>
      <w:r>
        <w:t xml:space="preserve">.</w:t>
      </w:r>
    </w:p>
    <w:p>
      <w:pPr>
        <w:pStyle w:val="BodyText"/>
      </w:pPr>
      <w:r>
        <w:t xml:space="preserve">As variáveis geográficas também foram retiradas em razão das diferenças observadas na cobertura das notificações entre os estados. A variável raça/cor, por sua vez, foi reservada para análises posteriores de equidade. Após essas decisões, permaneceram 52 variáveis preditoras.</w:t>
      </w:r>
    </w:p>
    <w:p>
      <w:pPr>
        <w:pStyle w:val="BodyText"/>
      </w:pPr>
      <w:r>
        <w:t xml:space="preserve">Além dos atributos originais, foram construídas sete variáveis derivadas: número de tipos de violência, número de meios de agressão, presença de agressor familiar, presença de agressor pertencente ao mesmo domicílio, identificação de autoria, presença de deficiência ou transtorno e faixa etária.</w:t>
      </w:r>
    </w:p>
    <w:p>
      <w:pPr>
        <w:pStyle w:val="BodyText"/>
      </w:pPr>
      <w:r>
        <w:t xml:space="preserve">O pré-processamento foi centralizado em um</w:t>
      </w:r>
      <w:r>
        <w:t xml:space="preserve"> </w:t>
      </w:r>
      <w:r>
        <w:rPr>
          <w:i/>
          <w:iCs/>
        </w:rPr>
        <w:t xml:space="preserve">Pipeline</w:t>
      </w:r>
      <w:r>
        <w:t xml:space="preserve"> </w:t>
      </w:r>
      <w:r>
        <w:t xml:space="preserve">do</w:t>
      </w:r>
      <w:r>
        <w:t xml:space="preserve"> </w:t>
      </w:r>
      <w:r>
        <w:rPr>
          <w:i/>
          <w:iCs/>
        </w:rPr>
        <w:t xml:space="preserve">scikit-learn</w:t>
      </w:r>
      <w:r>
        <w:t xml:space="preserve">, contendo as etapas de imputação, codificação e padronização. A engenharia de atributos também foi implementada em um módulo compartilhado entre o processo de treinamento e a aplicação. Essa organização reduz o risco de divergência entre as transformações utilizadas durante o treinamento e aquelas realizadas no ambiente de produção.</w:t>
      </w:r>
    </w:p>
    <w:bookmarkEnd w:id="26"/>
    <w:bookmarkStart w:id="27" w:name="engenharia-de-modelagem"/>
    <w:p>
      <w:pPr>
        <w:pStyle w:val="Heading2"/>
      </w:pPr>
      <w:r>
        <w:rPr>
          <w:rStyle w:val="SectionNumber"/>
        </w:rPr>
        <w:t xml:space="preserve">5.3</w:t>
      </w:r>
      <w:r>
        <w:tab/>
      </w:r>
      <w:r>
        <w:t xml:space="preserve">Engenharia de modelagem</w:t>
      </w:r>
    </w:p>
    <w:p>
      <w:pPr>
        <w:pStyle w:val="FirstParagraph"/>
      </w:pPr>
      <w:r>
        <w:t xml:space="preserve">A terceira fase do CRISP-ML(Q) envolve seleção de algoritmos, treinamento, ajuste e validação dos modelos de aprendizado de máquina</w:t>
      </w:r>
      <w:r>
        <w:t xml:space="preserve"> </w:t>
      </w:r>
      <w:r>
        <w:t xml:space="preserve">(Studer et al. 2021)</w:t>
      </w:r>
      <w:r>
        <w:t xml:space="preserve">. Essa etapa foi desenvolvida principalmente durante a Sprint 2.</w:t>
      </w:r>
    </w:p>
    <w:p>
      <w:pPr>
        <w:pStyle w:val="BodyText"/>
      </w:pPr>
      <w:r>
        <w:t xml:space="preserve">Os registros foram divididos de forma estratificada em 80% para treinamento e 20% para teste. O conjunto de treinamento foi composto por 19.213 registros e o conjunto de teste por 4.804 registros, ambos apresentando taxa de recorrência de aproximadamente 54,6%. A divisão foi realizada antes das transformações dos dados, evitando que informações do conjunto de teste interferissem no pré-processamento.</w:t>
      </w:r>
    </w:p>
    <w:p>
      <w:pPr>
        <w:pStyle w:val="BodyText"/>
      </w:pPr>
      <w:r>
        <w:t xml:space="preserve">Foram avaliados quatro modelos. O</w:t>
      </w:r>
      <w:r>
        <w:t xml:space="preserve"> </w:t>
      </w:r>
      <w:r>
        <w:rPr>
          <w:rStyle w:val="VerbatimChar"/>
        </w:rPr>
        <w:t xml:space="preserve">DummyClassifier</w:t>
      </w:r>
      <w:r>
        <w:t xml:space="preserve"> </w:t>
      </w:r>
      <w:r>
        <w:t xml:space="preserve">foi utilizado como referência mínima de desempenho. Além dele, foram avaliadas regressão logística, Random Forest e HistGradientBoosting.</w:t>
      </w:r>
    </w:p>
    <w:p>
      <w:pPr>
        <w:pStyle w:val="BodyText"/>
      </w:pPr>
      <w:r>
        <w:t xml:space="preserve">A comparação entre diferentes algoritmos permitiu avaliar modelos com diferentes níveis de complexidade e interpretabilidade. Abordagens baseadas em aprendizado de máquina também vêm sendo estudadas para identificação de fatores associados à violência contra pessoas idosas e recorrência de diferentes formas de violência</w:t>
      </w:r>
      <w:r>
        <w:t xml:space="preserve"> </w:t>
      </w:r>
      <w:r>
        <w:t xml:space="preserve">(Zeng et al. 2025; Pappadis et al. 2025; Oguztuzun et al. 2025)</w:t>
      </w:r>
      <w:r>
        <w:t xml:space="preserve">.</w:t>
      </w:r>
    </w:p>
    <w:p>
      <w:pPr>
        <w:pStyle w:val="BodyText"/>
      </w:pPr>
      <w:r>
        <w:t xml:space="preserve">Além da avaliação no conjunto de teste, foi aplicada validação cruzada com cinco divisões sobre o conjunto de treinamento. Essa estratégia permitiu analisar a estabilidade das métricas e verificar se o desempenho observado dependia excessivamente de uma divisão específica dos registros.</w:t>
      </w:r>
    </w:p>
    <w:bookmarkEnd w:id="27"/>
    <w:bookmarkStart w:id="28" w:name="avaliação-do-modelo"/>
    <w:p>
      <w:pPr>
        <w:pStyle w:val="Heading2"/>
      </w:pPr>
      <w:r>
        <w:rPr>
          <w:rStyle w:val="SectionNumber"/>
        </w:rPr>
        <w:t xml:space="preserve">5.4</w:t>
      </w:r>
      <w:r>
        <w:tab/>
      </w:r>
      <w:r>
        <w:t xml:space="preserve">Avaliação do modelo</w:t>
      </w:r>
    </w:p>
    <w:p>
      <w:pPr>
        <w:pStyle w:val="FirstParagraph"/>
      </w:pPr>
      <w:r>
        <w:t xml:space="preserve">A quarta fase do CRISP-ML(Q) verifica se os resultados obtidos atendem aos requisitos definidos durante a compreensão do negócio. Além das métricas tradicionais, devem ser consideradas propriedades como robustez, explicabilidade, justiça e possíveis vieses</w:t>
      </w:r>
      <w:r>
        <w:t xml:space="preserve"> </w:t>
      </w:r>
      <w:r>
        <w:t xml:space="preserve">(Studer et al. 2021)</w:t>
      </w:r>
      <w:r>
        <w:t xml:space="preserve">.</w:t>
      </w:r>
    </w:p>
    <w:p>
      <w:pPr>
        <w:pStyle w:val="BodyText"/>
      </w:pPr>
      <w:r>
        <w:t xml:space="preserve">Grande parte dessa fase foi realizada durante a Sprint 2. O HistGradientBoosting apresentou AUC de 0,836 no conjunto de teste, enquanto o Random Forest apresentou AUC de 0,831 e a regressão logística alcançou 0,824. O classificador de referência apresentou AUC de 0,500.</w:t>
      </w:r>
    </w:p>
    <w:p>
      <w:pPr>
        <w:pStyle w:val="BodyText"/>
      </w:pPr>
      <w:r>
        <w:t xml:space="preserve">A AUC permite avaliar a capacidade discriminativa do classificador em diferentes limiares de decisão</w:t>
      </w:r>
      <w:r>
        <w:t xml:space="preserve"> </w:t>
      </w:r>
      <w:r>
        <w:t xml:space="preserve">(Fawcett 2006)</w:t>
      </w:r>
      <w:r>
        <w:t xml:space="preserve">. O HistGradientBoosting apresentou ainda acurácia de 0,758, precisão de 0,762 e</w:t>
      </w:r>
      <w:r>
        <w:t xml:space="preserve"> </w:t>
      </w:r>
      <w:r>
        <w:rPr>
          <w:i/>
          <w:iCs/>
        </w:rPr>
        <w:t xml:space="preserve">recall</w:t>
      </w:r>
      <w:r>
        <w:t xml:space="preserve"> </w:t>
      </w:r>
      <w:r>
        <w:t xml:space="preserve">de 0,810. Dessa forma, o modelo identificou aproximadamente quatro em cada cinco casos positivos no conjunto avaliado.</w:t>
      </w:r>
    </w:p>
    <w:p>
      <w:pPr>
        <w:pStyle w:val="BodyText"/>
      </w:pPr>
      <w:r>
        <w:t xml:space="preserve">Na validação cruzada, o HistGradientBoosting apresentou AUC média de 0,836, com desvio-padrão de 0,005. A proximidade entre o desempenho obtido na validação cruzada e no conjunto de teste indica que o resultado não dependeu exclusivamente de uma divisão favorável da base.</w:t>
      </w:r>
    </w:p>
    <w:p>
      <w:pPr>
        <w:pStyle w:val="BodyText"/>
      </w:pPr>
      <w:r>
        <w:t xml:space="preserve">Além da capacidade discriminativa, foi analisada a calibração das probabilidades produzidas pelo modelo. A curva de calibração apresentou aderência à diagonal em todas as dez faixas analisadas, com desvio máximo de 6 pontos percentuais, indicando que as probabilidades estimadas podem ser interpretadas como frequências esperadas e não apenas como um escore utilizado para ordenação dos casos.</w:t>
      </w:r>
    </w:p>
    <w:p>
      <w:pPr>
        <w:pStyle w:val="BodyText"/>
      </w:pPr>
      <w:r>
        <w:t xml:space="preserve">Também foram realizados testes de robustez. A remoção dos 1.039 registros duplicados reduziu a AUC de 0,846 para 0,836, correspondendo a uma queda de 0,010. Esse resultado indica que o desempenho observado não era explicado principalmente pela memorização de registros repetidos.</w:t>
      </w:r>
    </w:p>
    <w:p>
      <w:pPr>
        <w:pStyle w:val="BodyText"/>
      </w:pPr>
      <w:r>
        <w:t xml:space="preserve">Outro experimento comparou os modelos com e sem as sete variáveis derivadas durante a preparação dos dados. As AUCs obtidas foram, respectivamente, 0,846 e 0,847. Portanto, a engenharia de atributos não produziu ganho mensurável de desempenho. As variáveis foram mantidas principalmente por facilitarem a interpretação das informações apresentadas ao usuário.</w:t>
      </w:r>
    </w:p>
    <w:p>
      <w:pPr>
        <w:pStyle w:val="BodyText"/>
      </w:pPr>
      <w:r>
        <w:t xml:space="preserve">A análise dos fatores associados também apresentou padrões coerentes com aqueles descritos na literatura sobre violência intrafamiliar e maus-tratos contra pessoas idosas</w:t>
      </w:r>
      <w:r>
        <w:t xml:space="preserve"> </w:t>
      </w:r>
      <w:r>
        <w:t xml:space="preserve">(</w:t>
      </w:r>
      <w:r>
        <w:t xml:space="preserve">Mascarenhas et al.</w:t>
      </w:r>
      <w:r>
        <w:t xml:space="preserve"> </w:t>
      </w:r>
      <w:r>
        <w:t xml:space="preserve">2012; Andrade et al. 2023; Pappadis et al. 2025; Zeng et al. 2025)</w:t>
      </w:r>
      <w:r>
        <w:t xml:space="preserve">. Casos com agressor desconhecido apresentaram taxa de recorrência de 11,6%, enquanto aqueles em que o provável autor era filho ou filha apresentaram taxa de 69,0%, considerando uma taxa de referência de 54,6% na base analisada.</w:t>
      </w:r>
    </w:p>
    <w:p>
      <w:pPr>
        <w:pStyle w:val="BodyText"/>
      </w:pPr>
      <w:r>
        <w:t xml:space="preserve">Também foram observadas diferenças importantes segundo o tipo de violência. A violência física apresentou taxa de recorrência de 44,8%, inferior à taxa geral da base, enquanto a violência psicológica apresentou 75,1% e a negligência 61,0%. O padrão observado sugere que a cronicidade da violência está associada principalmente a formas processuais e contínuas de violência e a vínculos familiares ou de convivência, e não necessariamente à gravidade aparente de uma agressão isolada. Esse resultado possui implicação direta para estratégias de triagem baseadas predominantemente na presença de lesões físicas visíveis.</w:t>
      </w:r>
    </w:p>
    <w:p>
      <w:pPr>
        <w:pStyle w:val="BodyText"/>
      </w:pPr>
      <w:r>
        <w:t xml:space="preserve">A explicabilidade do modelo foi analisada utilizando importância por permutação (</w:t>
      </w:r>
      <w:r>
        <w:rPr>
          <w:i/>
          <w:iCs/>
        </w:rPr>
        <w:t xml:space="preserve">permutation importance</w:t>
      </w:r>
      <w:r>
        <w:t xml:space="preserve">). Nesse procedimento, os valores de cada variável são embaralhados e observa-se a queda no desempenho do modelo. Dessa maneira, é possível estimar o quanto cada atributo contribui para a capacidade preditiva sem depender exclusivamente da importância interna produzida pelo algoritmo.</w:t>
      </w:r>
    </w:p>
    <w:p>
      <w:pPr>
        <w:pStyle w:val="BodyText"/>
      </w:pPr>
      <w:r>
        <w:t xml:space="preserve">A avaliação relacionada à justiça e ao viés ainda não foi concluída. Essa atividade está prevista para a Sprint 4 e deverá comparar principalmente o</w:t>
      </w:r>
      <w:r>
        <w:t xml:space="preserve"> </w:t>
      </w:r>
      <w:r>
        <w:rPr>
          <w:i/>
          <w:iCs/>
        </w:rPr>
        <w:t xml:space="preserve">recall</w:t>
      </w:r>
      <w:r>
        <w:t xml:space="preserve"> </w:t>
      </w:r>
      <w:r>
        <w:t xml:space="preserve">obtido entre subgrupos, incluindo sexo, faixa etária e escolaridade. O objetivo é identificar se o modelo apresenta maior frequência de falsos negativos em determinados grupos.</w:t>
      </w:r>
    </w:p>
    <w:p>
      <w:pPr>
        <w:pStyle w:val="BodyText"/>
      </w:pPr>
      <w:r>
        <w:t xml:space="preserve">A preocupação com equidade e supervisão humana é especialmente relevante em aplicações de inteligência artificial utilizadas em contextos relacionados à saúde e a populações vulneráveis. A Organização Mundial da Saúde recomenda que sistemas de inteligência artificial aplicados à saúde sejam desenvolvidos com transparência, responsabilização e preservação da autonomia humana</w:t>
      </w:r>
      <w:r>
        <w:t xml:space="preserve"> </w:t>
      </w:r>
      <w:r>
        <w:t xml:space="preserve">(World Health Organization 2021)</w:t>
      </w:r>
      <w:r>
        <w:t xml:space="preserve">.</w:t>
      </w:r>
    </w:p>
    <w:p>
      <w:pPr>
        <w:pStyle w:val="BodyText"/>
      </w:pPr>
      <w:r>
        <w:t xml:space="preserve">Por essa razão, foram definidas três salvaguardas para o produto. O modelo apenas reorganiza uma fila existente, sem excluir qualquer caso do atendimento. Todos os casos devem permanecer sujeitos a um prazo máximo de atendimento, independentemente da pontuação. Além disso, a decisão final permanece sob responsabilidade do profissional, que pode analisar os fatores relacionados à pontuação e desconsiderar a recomendação do modelo quando necessário.</w:t>
      </w:r>
    </w:p>
    <w:p>
      <w:pPr>
        <w:pStyle w:val="BodyText"/>
      </w:pPr>
      <w:r>
        <w:t xml:space="preserve">Entre as limitações reconhecidas encontra-se o viés de seleção, pois a base contém apenas casos efetivamente notificados. Pessoas idosas que não possuem acesso aos serviços ou cujas situações de violência não são identificadas não aparecem nos registros. Esse aspecto é particularmente importante diante da subnotificação documentada na literatura</w:t>
      </w:r>
      <w:r>
        <w:t xml:space="preserve"> </w:t>
      </w:r>
      <w:r>
        <w:t xml:space="preserve">(</w:t>
      </w:r>
      <w:r>
        <w:t xml:space="preserve">Mascarenhas et al.</w:t>
      </w:r>
      <w:r>
        <w:t xml:space="preserve"> </w:t>
      </w:r>
      <w:r>
        <w:t xml:space="preserve">2012;</w:t>
      </w:r>
      <w:r>
        <w:t xml:space="preserve"> </w:t>
      </w:r>
      <w:r>
        <w:t xml:space="preserve">Lima et al.</w:t>
      </w:r>
      <w:r>
        <w:t xml:space="preserve"> </w:t>
      </w:r>
      <w:r>
        <w:t xml:space="preserve">2023)</w:t>
      </w:r>
      <w:r>
        <w:t xml:space="preserve">.</w:t>
      </w:r>
    </w:p>
    <w:p>
      <w:pPr>
        <w:pStyle w:val="BodyText"/>
      </w:pPr>
      <w:r>
        <w:t xml:space="preserve">Outra limitação corresponde à utilização da recorrência como variável substituta para risco futuro, devido à ausência de uma medida direta de gravidade nos microdados disponíveis. Além disso, a exclusão de 28,7% dos registros devido à ausência da variável-alvo pode representar um mecanismo de ausência não aleatória.</w:t>
      </w:r>
    </w:p>
    <w:p>
      <w:pPr>
        <w:pStyle w:val="BodyText"/>
      </w:pPr>
      <w:r>
        <w:t xml:space="preserve">Existe ainda o risco de retroalimentação. Caso os registros considerados prioritários recebam maior acompanhamento e, consequentemente, produzam mais informações futuras, esses mesmos dados poderão retornar ao processo de treinamento, reforçando padrões identificados anteriormente pelo próprio modelo.</w:t>
      </w:r>
    </w:p>
    <w:bookmarkEnd w:id="28"/>
    <w:bookmarkStart w:id="29" w:name="implantação"/>
    <w:p>
      <w:pPr>
        <w:pStyle w:val="Heading2"/>
      </w:pPr>
      <w:r>
        <w:rPr>
          <w:rStyle w:val="SectionNumber"/>
        </w:rPr>
        <w:t xml:space="preserve">5.5</w:t>
      </w:r>
      <w:r>
        <w:tab/>
      </w:r>
      <w:r>
        <w:t xml:space="preserve">Implantação</w:t>
      </w:r>
    </w:p>
    <w:p>
      <w:pPr>
        <w:pStyle w:val="FirstParagraph"/>
      </w:pPr>
      <w:r>
        <w:t xml:space="preserve">A quinta fase do CRISP-ML(Q) corresponde à disponibilização do modelo dentro de uma aplicação funcional. A implantação deve considerar não apenas o classificador treinado, mas também a integração com a infraestrutura de software, o pré-processamento dos dados e mecanismos de garantia de qualidade</w:t>
      </w:r>
      <w:r>
        <w:t xml:space="preserve"> </w:t>
      </w:r>
      <w:r>
        <w:t xml:space="preserve">(Studer et al. 2021)</w:t>
      </w:r>
      <w:r>
        <w:t xml:space="preserve">.</w:t>
      </w:r>
    </w:p>
    <w:p>
      <w:pPr>
        <w:pStyle w:val="BodyText"/>
      </w:pPr>
      <w:r>
        <w:t xml:space="preserve">No presente trabalho, essa fase corresponde principalmente à Sprint 3, na qual foi desenvolvido e entregue o MVP do projeto.</w:t>
      </w:r>
    </w:p>
    <w:p>
      <w:pPr>
        <w:pStyle w:val="BodyText"/>
      </w:pPr>
      <w:r>
        <w:t xml:space="preserve">O modelo foi serializado utilizando</w:t>
      </w:r>
      <w:r>
        <w:t xml:space="preserve"> </w:t>
      </w:r>
      <w:r>
        <w:rPr>
          <w:rStyle w:val="VerbatimChar"/>
        </w:rPr>
        <w:t xml:space="preserve">joblib</w:t>
      </w:r>
      <w:r>
        <w:t xml:space="preserve">, contendo o pipeline completo de pré-processamento e o classificador. Dessa maneira, os dados recebidos pela aplicação são submetidos às mesmas transformações utilizadas durante o treinamento.</w:t>
      </w:r>
    </w:p>
    <w:p>
      <w:pPr>
        <w:pStyle w:val="BodyText"/>
      </w:pPr>
      <w:r>
        <w:t xml:space="preserve">Também foi criado um arquivo de metadados contendo informações como algoritmo utilizado, data do treinamento, origem da base, tamanho dos conjuntos, métricas obtidas, variáveis excluídas, versão das bibliotecas utilizadas e aviso de uso. Esse procedimento melhora a rastreabilidade do modelo e permite auditorias posteriores.</w:t>
      </w:r>
    </w:p>
    <w:p>
      <w:pPr>
        <w:pStyle w:val="BodyText"/>
      </w:pPr>
      <w:r>
        <w:t xml:space="preserve">A aplicação foi desenvolvida utilizando Streamlit e disponibilizada no Streamlit Community Cloud, com versionamento em repositório GitHub. A interface informa explicitamente que a pontuação deve ser utilizada como ferramenta de apoio à decisão humana e apresenta os fatores associados ao resultado. Essa característica está alinhada às recomendações de preservação da supervisão humana em aplicações de inteligência artificial em saúde</w:t>
      </w:r>
      <w:r>
        <w:t xml:space="preserve"> </w:t>
      </w:r>
      <w:r>
        <w:t xml:space="preserve">(World Health Organization 2021)</w:t>
      </w:r>
      <w:r>
        <w:t xml:space="preserve">.</w:t>
      </w:r>
    </w:p>
    <w:p>
      <w:pPr>
        <w:pStyle w:val="BodyText"/>
      </w:pPr>
      <w:r>
        <w:t xml:space="preserve">Foram implementados 29 testes automatizados, divididos entre testes unitários, de integração e de aceite. Os testes unitários verificam regras de normalização e engenharia de atributos. Os testes de integração avaliam o fluxo completo entre o formulário, a transformação dos dados e a geração da predição. Os testes de aceite verificam, entre outros aspectos, o carregamento correto do modelo e a presença dos avisos de utilização.</w:t>
      </w:r>
    </w:p>
    <w:p>
      <w:pPr>
        <w:pStyle w:val="BodyText"/>
      </w:pPr>
      <w:r>
        <w:t xml:space="preserve">Durante a implantação também foram identificados problemas que demonstram a importância da garantia de qualidade nessa fase. Um deles foi a dependência entre o modelo serializado e a versão utilizada do</w:t>
      </w:r>
      <w:r>
        <w:t xml:space="preserve"> </w:t>
      </w:r>
      <w:r>
        <w:rPr>
          <w:i/>
          <w:iCs/>
        </w:rPr>
        <w:t xml:space="preserve">scikit-learn</w:t>
      </w:r>
      <w:r>
        <w:t xml:space="preserve">. Por essa razão, a versão 1.6.1 utilizada no treinamento foi fixada nas dependências da aplicação.</w:t>
      </w:r>
    </w:p>
    <w:p>
      <w:pPr>
        <w:pStyle w:val="BodyText"/>
      </w:pPr>
      <w:r>
        <w:t xml:space="preserve">Outro problema identificado esteve relacionado ao mecanismo de cache da plataforma. Mesmo após a substituição do arquivo do modelo no repositório, uma versão anterior poderia permanecer carregada em memória até a reinicialização do serviço. Durante os testes, esse comportamento produziu pontuações idênticas para casos distintos, apesar de o modelo funcionar corretamente no ambiente local.</w:t>
      </w:r>
    </w:p>
    <w:p>
      <w:pPr>
        <w:pStyle w:val="BodyText"/>
      </w:pPr>
      <w:r>
        <w:t xml:space="preserve">Esses achados reforçam um dos princípios centrais do CRISP-ML(Q): a implantação não representa o encerramento do processo de desenvolvimento, pois o ambiente de produção introduz novos modos de falha que precisam ser identificados e controlados</w:t>
      </w:r>
      <w:r>
        <w:t xml:space="preserve"> </w:t>
      </w:r>
      <w:r>
        <w:t xml:space="preserve">(Studer et al. 2021)</w:t>
      </w:r>
      <w:r>
        <w:t xml:space="preserve">.</w:t>
      </w:r>
    </w:p>
    <w:bookmarkEnd w:id="29"/>
    <w:bookmarkStart w:id="30" w:name="monitoramento-e-manutenção"/>
    <w:p>
      <w:pPr>
        <w:pStyle w:val="Heading2"/>
      </w:pPr>
      <w:r>
        <w:rPr>
          <w:rStyle w:val="SectionNumber"/>
        </w:rPr>
        <w:t xml:space="preserve">5.6</w:t>
      </w:r>
      <w:r>
        <w:tab/>
      </w:r>
      <w:r>
        <w:t xml:space="preserve">Monitoramento e manutenção</w:t>
      </w:r>
    </w:p>
    <w:p>
      <w:pPr>
        <w:pStyle w:val="FirstParagraph"/>
      </w:pPr>
      <w:r>
        <w:t xml:space="preserve">A sexta fase do CRISP-ML(Q) corresponde ao acompanhamento do modelo após sua implantação. Modelos de aprendizado de máquina podem apresentar degradação de desempenho ao longo do tempo devido a mudanças nos dados e no contexto em que são utilizados</w:t>
      </w:r>
      <w:r>
        <w:t xml:space="preserve"> </w:t>
      </w:r>
      <w:r>
        <w:t xml:space="preserve">(Studer et al. 2021)</w:t>
      </w:r>
      <w:r>
        <w:t xml:space="preserve">.</w:t>
      </w:r>
    </w:p>
    <w:p>
      <w:pPr>
        <w:pStyle w:val="BodyText"/>
      </w:pPr>
      <w:r>
        <w:t xml:space="preserve">Essa etapa ainda não foi executada integralmente no projeto, pois depende da utilização continuada da aplicação e da obtenção de novos dados. Entretanto, seu planejamento já foi definido e deverá ser complementado nas próximas etapas do trabalho.</w:t>
      </w:r>
    </w:p>
    <w:p>
      <w:pPr>
        <w:pStyle w:val="BodyText"/>
      </w:pPr>
      <w:r>
        <w:t xml:space="preserve">Entre os fenômenos que deverão ser acompanhados encontra-se o</w:t>
      </w:r>
      <w:r>
        <w:t xml:space="preserve"> </w:t>
      </w:r>
      <w:r>
        <w:rPr>
          <w:i/>
          <w:iCs/>
        </w:rPr>
        <w:t xml:space="preserve">data drift</w:t>
      </w:r>
      <w:r>
        <w:t xml:space="preserve">, caracterizado por alterações na distribuição das variáveis de entrada. Mudanças na ficha de notificação, campanhas de conscientização, ampliação dos serviços ou alterações no perfil das pessoas que realizam denúncias podem modificar a distribuição dos dados recebidos pela aplicação.</w:t>
      </w:r>
    </w:p>
    <w:p>
      <w:pPr>
        <w:pStyle w:val="BodyText"/>
      </w:pPr>
      <w:r>
        <w:t xml:space="preserve">Também existe a possibilidade de</w:t>
      </w:r>
      <w:r>
        <w:t xml:space="preserve"> </w:t>
      </w:r>
      <w:r>
        <w:rPr>
          <w:i/>
          <w:iCs/>
        </w:rPr>
        <w:t xml:space="preserve">concept drift</w:t>
      </w:r>
      <w:r>
        <w:t xml:space="preserve">, que ocorre quando a relação entre as variáveis de entrada e o desfecho se modifica. Determinados fatores associados à recorrência em um período podem deixar de apresentar a mesma relação após alterações sociais, institucionais ou em políticas públicas.</w:t>
      </w:r>
    </w:p>
    <w:p>
      <w:pPr>
        <w:pStyle w:val="BodyText"/>
      </w:pPr>
      <w:r>
        <w:t xml:space="preserve">O planejamento prevê a comparação periódica entre valores previstos e resultados posteriormente observados, acompanhamento da distribuição das variáveis de entrada, repetição da auditoria de equidade entre subgrupos e definição de critérios para retreinamento.</w:t>
      </w:r>
    </w:p>
    <w:p>
      <w:pPr>
        <w:pStyle w:val="BodyText"/>
      </w:pPr>
      <w:r>
        <w:t xml:space="preserve">O monitoramento é particularmente importante porque um modelo degradado pode continuar produzindo probabilidades aparentemente válidas sem sinalizar diretamente a redução de sua capacidade preditiva. Portanto, o acompanhamento contínuo deve ser considerado parte da operação da solução e não apenas uma atividade opcional posterior à implantação.</w:t>
      </w:r>
    </w:p>
    <w:p>
      <w:pPr>
        <w:pStyle w:val="BodyText"/>
      </w:pPr>
      <w:r>
        <w:t xml:space="preserve">Essa característica também possui implicações para o próprio modelo de negócio. A necessidade de monitoramento, auditoria e retreinamento periódico significa que a solução não deve ser compreendida como um produto estático disponibilizado uma única vez, mas como um sistema que necessita de manutenção durante seu ciclo de vida.</w:t>
      </w:r>
    </w:p>
    <w:bookmarkEnd w:id="30"/>
    <w:bookmarkStart w:id="49" w:name="X039f534f005e473aa0a2ab20d42a61b2f1d039b"/>
    <w:p>
      <w:pPr>
        <w:pStyle w:val="Heading2"/>
      </w:pPr>
      <w:r>
        <w:rPr>
          <w:rStyle w:val="SectionNumber"/>
        </w:rPr>
        <w:t xml:space="preserve">5.7</w:t>
      </w:r>
      <w:r>
        <w:tab/>
      </w:r>
      <w:r>
        <w:t xml:space="preserve">Relação entre o CRISP-ML(Q), as Sprints e o MVP</w:t>
      </w:r>
    </w:p>
    <w:p>
      <w:pPr>
        <w:pStyle w:val="FirstParagraph"/>
      </w:pPr>
      <w:r>
        <w:t xml:space="preserve">A aplicação do CRISP-ML(Q) permite estabelecer uma relação direta entre as fases do ciclo de vida de uma aplicação de aprendizado de máquina e as atividades desenvolvidas durante as Sprints do projeto.</w:t>
      </w:r>
    </w:p>
    <w:bookmarkStart w:id="31" w:name="tab:crisp-sprints"/>
    <w:p>
      <w:pPr>
        <w:pStyle w:val="TableCaption"/>
      </w:pPr>
      <w:r>
        <w:t xml:space="preserve">Relação entre as fases do CRISP-ML(Q) e as Sprints do projeto.</w:t>
      </w:r>
    </w:p>
    <w:tbl>
      <w:tblPr>
        <w:tblStyle w:val="Table"/>
        <w:tblW w:type="auto" w:w="0"/>
        <w:tblLook w:firstRow="1" w:lastRow="0" w:firstColumn="0" w:lastColumn="0" w:noHBand="0" w:noVBand="0" w:val="0020"/>
        <w:tblCaption w:val="Relação entre as fases do CRISP-ML(Q) e as Sprints do projeto."/>
      </w:tblPr>
      <w:tblGrid>
        <w:gridCol w:w="2640"/>
        <w:gridCol w:w="2640"/>
        <w:gridCol w:w="2640"/>
      </w:tblGrid>
      <w:tr>
        <w:trPr>
          <w:tblHeader w:val="on"/>
        </w:trPr>
        <w:tc>
          <w:tcPr/>
          <w:p>
            <w:pPr>
              <w:pStyle w:val="Compact"/>
              <w:jc w:val="left"/>
            </w:pPr>
            <w:r>
              <w:rPr>
                <w:b/>
                <w:bCs/>
              </w:rPr>
              <w:t xml:space="preserve">Fase</w:t>
            </w:r>
          </w:p>
        </w:tc>
        <w:tc>
          <w:tcPr/>
          <w:p>
            <w:pPr>
              <w:pStyle w:val="Compact"/>
              <w:jc w:val="left"/>
            </w:pPr>
            <w:r>
              <w:rPr>
                <w:b/>
                <w:bCs/>
              </w:rPr>
              <w:t xml:space="preserve">Relação com o projeto</w:t>
            </w:r>
          </w:p>
        </w:tc>
        <w:tc>
          <w:tcPr/>
          <w:p>
            <w:pPr>
              <w:pStyle w:val="Compact"/>
              <w:jc w:val="left"/>
            </w:pPr>
            <w:r>
              <w:rPr>
                <w:b/>
                <w:bCs/>
              </w:rPr>
              <w:t xml:space="preserve">Sprint</w:t>
            </w:r>
          </w:p>
        </w:tc>
      </w:tr>
      <w:tr>
        <w:tc>
          <w:tcPr/>
          <w:p>
            <w:pPr>
              <w:pStyle w:val="Compact"/>
              <w:jc w:val="left"/>
            </w:pPr>
            <w:r>
              <w:t xml:space="preserve">Compreensão do negócio e dos dados</w:t>
            </w:r>
          </w:p>
        </w:tc>
        <w:tc>
          <w:tcPr/>
          <w:p>
            <w:pPr>
              <w:pStyle w:val="Compact"/>
              <w:jc w:val="left"/>
            </w:pPr>
            <w:r>
              <w:t xml:space="preserve">Definição do problema, usuários, indicadores de desempenho, viabilidade e análise inicial da qualidade dos registros do SINAN.</w:t>
            </w:r>
          </w:p>
        </w:tc>
        <w:tc>
          <w:tcPr/>
          <w:p>
            <w:pPr>
              <w:pStyle w:val="Compact"/>
              <w:jc w:val="left"/>
            </w:pPr>
            <w:r>
              <w:t xml:space="preserve">Sprints 0 e 1</w:t>
            </w:r>
          </w:p>
        </w:tc>
      </w:tr>
      <w:tr>
        <w:tc>
          <w:tcPr/>
          <w:p>
            <w:pPr>
              <w:pStyle w:val="Compact"/>
              <w:jc w:val="left"/>
            </w:pPr>
            <w:r>
              <w:t xml:space="preserve">Preparação dos dados</w:t>
            </w:r>
          </w:p>
        </w:tc>
        <w:tc>
          <w:tcPr/>
          <w:p>
            <w:pPr>
              <w:pStyle w:val="Compact"/>
              <w:jc w:val="left"/>
            </w:pPr>
            <w:r>
              <w:t xml:space="preserve">Limpeza, tratamento dos valores ausentes, remoção de duplicatas, seleção das 52 variáveis, engenharia de atributos e criação do pipeline reprodutível.</w:t>
            </w:r>
          </w:p>
        </w:tc>
        <w:tc>
          <w:tcPr/>
          <w:p>
            <w:pPr>
              <w:pStyle w:val="Compact"/>
              <w:jc w:val="left"/>
            </w:pPr>
            <w:r>
              <w:t xml:space="preserve">Sprints 1 e 2</w:t>
            </w:r>
          </w:p>
        </w:tc>
      </w:tr>
      <w:tr>
        <w:tc>
          <w:tcPr/>
          <w:p>
            <w:pPr>
              <w:pStyle w:val="Compact"/>
              <w:jc w:val="left"/>
            </w:pPr>
            <w:r>
              <w:t xml:space="preserve">Engenharia de modelagem</w:t>
            </w:r>
          </w:p>
        </w:tc>
        <w:tc>
          <w:tcPr/>
          <w:p>
            <w:pPr>
              <w:pStyle w:val="Compact"/>
              <w:jc w:val="left"/>
            </w:pPr>
            <w:r>
              <w:t xml:space="preserve">Separação entre treinamento e teste, treinamento de quatro modelos e realização de validação cruzada.</w:t>
            </w:r>
          </w:p>
        </w:tc>
        <w:tc>
          <w:tcPr/>
          <w:p>
            <w:pPr>
              <w:pStyle w:val="Compact"/>
              <w:jc w:val="left"/>
            </w:pPr>
            <w:r>
              <w:t xml:space="preserve">Sprint 2</w:t>
            </w:r>
          </w:p>
        </w:tc>
      </w:tr>
      <w:tr>
        <w:tc>
          <w:tcPr/>
          <w:p>
            <w:pPr>
              <w:pStyle w:val="Compact"/>
              <w:jc w:val="left"/>
            </w:pPr>
            <w:r>
              <w:t xml:space="preserve">Avaliação</w:t>
            </w:r>
          </w:p>
        </w:tc>
        <w:tc>
          <w:tcPr/>
          <w:p>
            <w:pPr>
              <w:pStyle w:val="Compact"/>
              <w:jc w:val="left"/>
            </w:pPr>
            <w:r>
              <w:t xml:space="preserve">Análise da AUC, recall, precisão, calibração, testes de robustez, fatores associados e explicabilidade. A auditoria de equidade permanece prevista.</w:t>
            </w:r>
          </w:p>
        </w:tc>
        <w:tc>
          <w:tcPr/>
          <w:p>
            <w:pPr>
              <w:pStyle w:val="Compact"/>
              <w:jc w:val="left"/>
            </w:pPr>
            <w:r>
              <w:t xml:space="preserve">Sprint 2 e Sprint 4</w:t>
            </w:r>
          </w:p>
        </w:tc>
      </w:tr>
      <w:tr>
        <w:tc>
          <w:tcPr/>
          <w:p>
            <w:pPr>
              <w:pStyle w:val="Compact"/>
              <w:jc w:val="left"/>
            </w:pPr>
            <w:r>
              <w:t xml:space="preserve">Implantação</w:t>
            </w:r>
          </w:p>
        </w:tc>
        <w:tc>
          <w:tcPr/>
          <w:p>
            <w:pPr>
              <w:pStyle w:val="Compact"/>
              <w:jc w:val="left"/>
            </w:pPr>
            <w:r>
              <w:t xml:space="preserve">Serialização do pipeline, desenvolvimento da aplicação em Streamlit, publicação do MVP e realização de 29 testes automatizados.</w:t>
            </w:r>
          </w:p>
        </w:tc>
        <w:tc>
          <w:tcPr/>
          <w:p>
            <w:pPr>
              <w:pStyle w:val="Compact"/>
              <w:jc w:val="left"/>
            </w:pPr>
            <w:r>
              <w:t xml:space="preserve">Sprint 3</w:t>
            </w:r>
          </w:p>
        </w:tc>
      </w:tr>
      <w:tr>
        <w:tc>
          <w:tcPr/>
          <w:p>
            <w:pPr>
              <w:pStyle w:val="Compact"/>
              <w:jc w:val="left"/>
            </w:pPr>
            <w:r>
              <w:t xml:space="preserve">Monitoramento e manutenção</w:t>
            </w:r>
          </w:p>
        </w:tc>
        <w:tc>
          <w:tcPr/>
          <w:p>
            <w:pPr>
              <w:pStyle w:val="Compact"/>
              <w:jc w:val="left"/>
            </w:pPr>
            <w:r>
              <w:t xml:space="preserve">Planejamento do acompanhamento de desempenho,</w:t>
            </w:r>
            <w:r>
              <w:t xml:space="preserve"> </w:t>
            </w:r>
            <w:r>
              <w:rPr>
                <w:i/>
                <w:iCs/>
              </w:rPr>
              <w:t xml:space="preserve">data drift</w:t>
            </w:r>
            <w:r>
              <w:t xml:space="preserve">,</w:t>
            </w:r>
            <w:r>
              <w:t xml:space="preserve"> </w:t>
            </w:r>
            <w:r>
              <w:rPr>
                <w:i/>
                <w:iCs/>
              </w:rPr>
              <w:t xml:space="preserve">concept drift</w:t>
            </w:r>
            <w:r>
              <w:t xml:space="preserve">, equidade e retreinamento.</w:t>
            </w:r>
          </w:p>
        </w:tc>
        <w:tc>
          <w:tcPr/>
          <w:p>
            <w:pPr>
              <w:pStyle w:val="Compact"/>
              <w:jc w:val="left"/>
            </w:pPr>
            <w:r>
              <w:t xml:space="preserve">Planejado / Sprint 4</w:t>
            </w:r>
          </w:p>
        </w:tc>
      </w:tr>
    </w:tbl>
    <w:bookmarkEnd w:id="31"/>
    <w:p>
      <w:pPr>
        <w:pStyle w:val="BodyText"/>
      </w:pPr>
      <w:r>
        <w:t xml:space="preserve">As Sprints 0 e 1 estiveram relacionadas principalmente à compreensão do negócio e dos dados. As Sprints 1 e 2 concentraram as atividades de preparação e transformação da base. A Sprint 2 também contemplou a engenharia de modelagem e grande parte da avaliação experimental.</w:t>
      </w:r>
    </w:p>
    <w:p>
      <w:pPr>
        <w:pStyle w:val="BodyText"/>
      </w:pPr>
      <w:r>
        <w:t xml:space="preserve">A Sprint 3 correspondeu principalmente à fase de implantação, na qual o modelo passou a integrar o MVP desenvolvido em Streamlit. Nessa etapa, além da construção da interface, foram realizados testes automatizados e identificados problemas específicos do ambiente de produção.</w:t>
      </w:r>
    </w:p>
    <w:p>
      <w:pPr>
        <w:pStyle w:val="BodyText"/>
      </w:pPr>
      <w:r>
        <w:t xml:space="preserve">Por fim, a Sprint 4 deverá complementar principalmente a avaliação de equidade e o planejamento de monitoramento. A fase de monitoramento propriamente dita depende de uma utilização continuada da aplicação e da disponibilidade de novos registros.</w:t>
      </w:r>
    </w:p>
    <w:p>
      <w:pPr>
        <w:pStyle w:val="BodyText"/>
      </w:pPr>
      <w:r>
        <w:t xml:space="preserve">Dessa forma, as entregas realizadas até o momento apresentam aderência às etapas propostas pelo CRISP-ML(Q), embora o ciclo ainda não tenha sido percorrido integralmente. A disponibilização do MVP representa a transição entre a experimentação e a operação da solução, mas não o encerramento do desenvolvimento.</w:t>
      </w:r>
    </w:p>
    <w:p>
      <w:pPr>
        <w:pStyle w:val="BodyText"/>
      </w:pPr>
      <w:r>
        <w:t xml:space="preserve">O CRISP-ML(Q) permite, portanto, compreender as Sprints não apenas como incrementos de implementação, mas como partes de um ciclo contínuo de compreensão, desenvolvimento, avaliação, implantação e manutenção. Para uma ferramenta destinada a apoiar decisões relacionadas a uma população vulnerável, a manutenção da qualidade ao longo desse ciclo é especialmente relevante, devendo ser acompanhada por mecanismos de transparência e supervisão humana</w:t>
      </w:r>
      <w:r>
        <w:t xml:space="preserve"> </w:t>
      </w:r>
      <w:r>
        <w:t xml:space="preserve">(World Health Organization 2021)</w:t>
      </w:r>
      <w:r>
        <w:t xml:space="preserve">.</w:t>
      </w:r>
    </w:p>
    <w:bookmarkStart w:id="48" w:name="refs"/>
    <w:bookmarkStart w:id="32" w:name="ref-andrade2023"/>
    <w:p>
      <w:pPr>
        <w:pStyle w:val="Bibliography"/>
      </w:pPr>
      <w:r>
        <w:t xml:space="preserve">Andrade, F. M. D., E. Machado, M. I. F. Freitas, M. F. M. Souza, and D. C. Malta. 2023.</w:t>
      </w:r>
      <w:r>
        <w:t xml:space="preserve"> </w:t>
      </w:r>
      <w:r>
        <w:t xml:space="preserve">“Patterns of Abuse of Elderly People in Brazil: Analysis of Notifications.”</w:t>
      </w:r>
      <w:r>
        <w:t xml:space="preserve"> </w:t>
      </w:r>
      <w:r>
        <w:rPr>
          <w:i/>
          <w:iCs/>
        </w:rPr>
        <w:t xml:space="preserve">Cadernos de Sa</w:t>
      </w:r>
      <w:r>
        <w:rPr>
          <w:i/>
          <w:iCs/>
        </w:rPr>
        <w:t xml:space="preserve">ú</w:t>
      </w:r>
      <w:r>
        <w:rPr>
          <w:i/>
          <w:iCs/>
        </w:rPr>
        <w:t xml:space="preserve">de P</w:t>
      </w:r>
      <w:r>
        <w:rPr>
          <w:i/>
          <w:iCs/>
        </w:rPr>
        <w:t xml:space="preserve">ú</w:t>
      </w:r>
      <w:r>
        <w:rPr>
          <w:i/>
          <w:iCs/>
        </w:rPr>
        <w:t xml:space="preserve">blica</w:t>
      </w:r>
      <w:r>
        <w:t xml:space="preserve"> </w:t>
      </w:r>
      <w:r>
        <w:t xml:space="preserve">39 (1): e00075722.</w:t>
      </w:r>
    </w:p>
    <w:bookmarkEnd w:id="32"/>
    <w:bookmarkStart w:id="33" w:name="ref-bandierapaiva2026"/>
    <w:p>
      <w:pPr>
        <w:pStyle w:val="Bibliography"/>
      </w:pPr>
      <w:r>
        <w:t xml:space="preserve">Bandiera-Paiva, P., A. M. Shimaoka, A. C. Silva Junior, et al. 2026.</w:t>
      </w:r>
      <w:r>
        <w:t xml:space="preserve"> </w:t>
      </w:r>
      <w:r>
        <w:t xml:space="preserve">“Uso de Intelig</w:t>
      </w:r>
      <w:r>
        <w:t xml:space="preserve">ê</w:t>
      </w:r>
      <w:r>
        <w:t xml:space="preserve">ncia Artificial Para an</w:t>
      </w:r>
      <w:r>
        <w:t xml:space="preserve">á</w:t>
      </w:r>
      <w:r>
        <w:t xml:space="preserve">lise Da Viol</w:t>
      </w:r>
      <w:r>
        <w:t xml:space="preserve">ê</w:t>
      </w:r>
      <w:r>
        <w:t xml:space="preserve">ncia Contra Mulheres Em s</w:t>
      </w:r>
      <w:r>
        <w:t xml:space="preserve">ã</w:t>
      </w:r>
      <w:r>
        <w:t xml:space="preserve">o Paulo.”</w:t>
      </w:r>
      <w:r>
        <w:t xml:space="preserve"> </w:t>
      </w:r>
      <w:r>
        <w:rPr>
          <w:i/>
          <w:iCs/>
        </w:rPr>
        <w:t xml:space="preserve">Revista de Sa</w:t>
      </w:r>
      <w:r>
        <w:rPr>
          <w:i/>
          <w:iCs/>
        </w:rPr>
        <w:t xml:space="preserve">ú</w:t>
      </w:r>
      <w:r>
        <w:rPr>
          <w:i/>
          <w:iCs/>
        </w:rPr>
        <w:t xml:space="preserve">de P</w:t>
      </w:r>
      <w:r>
        <w:rPr>
          <w:i/>
          <w:iCs/>
        </w:rPr>
        <w:t xml:space="preserve">ú</w:t>
      </w:r>
      <w:r>
        <w:rPr>
          <w:i/>
          <w:iCs/>
        </w:rPr>
        <w:t xml:space="preserve">blica</w:t>
      </w:r>
      <w:r>
        <w:t xml:space="preserve"> </w:t>
      </w:r>
      <w:r>
        <w:t xml:space="preserve">60: e28.</w:t>
      </w:r>
    </w:p>
    <w:bookmarkEnd w:id="33"/>
    <w:bookmarkStart w:id="34" w:name="ref-brasil2016"/>
    <w:p>
      <w:pPr>
        <w:pStyle w:val="Bibliography"/>
      </w:pPr>
      <w:r>
        <w:t xml:space="preserve">Brasil. Ministério da Saúde. 2016.</w:t>
      </w:r>
      <w:r>
        <w:t xml:space="preserve"> </w:t>
      </w:r>
      <w:r>
        <w:rPr>
          <w:i/>
          <w:iCs/>
        </w:rPr>
        <w:t xml:space="preserve">Viva: Instrutivo Sobre a Notifica</w:t>
      </w:r>
      <w:r>
        <w:rPr>
          <w:i/>
          <w:iCs/>
        </w:rPr>
        <w:t xml:space="preserve">ç</w:t>
      </w:r>
      <w:r>
        <w:rPr>
          <w:i/>
          <w:iCs/>
        </w:rPr>
        <w:t xml:space="preserve">ã</w:t>
      </w:r>
      <w:r>
        <w:rPr>
          <w:i/>
          <w:iCs/>
        </w:rPr>
        <w:t xml:space="preserve">o de Viol</w:t>
      </w:r>
      <w:r>
        <w:rPr>
          <w:i/>
          <w:iCs/>
        </w:rPr>
        <w:t xml:space="preserve">ê</w:t>
      </w:r>
      <w:r>
        <w:rPr>
          <w:i/>
          <w:iCs/>
        </w:rPr>
        <w:t xml:space="preserve">ncia Interpessoal e Autoprovocada</w:t>
      </w:r>
      <w:r>
        <w:t xml:space="preserve">. 2nd ed. Minist</w:t>
      </w:r>
      <w:r>
        <w:t xml:space="preserve">é</w:t>
      </w:r>
      <w:r>
        <w:t xml:space="preserve">rio da Sa</w:t>
      </w:r>
      <w:r>
        <w:t xml:space="preserve">ú</w:t>
      </w:r>
      <w:r>
        <w:t xml:space="preserve">de.</w:t>
      </w:r>
    </w:p>
    <w:bookmarkEnd w:id="34"/>
    <w:bookmarkStart w:id="35" w:name="ref-brasil2019"/>
    <w:p>
      <w:pPr>
        <w:pStyle w:val="Bibliography"/>
      </w:pPr>
      <w:r>
        <w:t xml:space="preserve">Brasil. Ministério da Saúde. 2019.</w:t>
      </w:r>
      <w:r>
        <w:t xml:space="preserve"> </w:t>
      </w:r>
      <w:r>
        <w:rPr>
          <w:i/>
          <w:iCs/>
        </w:rPr>
        <w:t xml:space="preserve">Caderno de an</w:t>
      </w:r>
      <w:r>
        <w:rPr>
          <w:i/>
          <w:iCs/>
        </w:rPr>
        <w:t xml:space="preserve">á</w:t>
      </w:r>
      <w:r>
        <w:rPr>
          <w:i/>
          <w:iCs/>
        </w:rPr>
        <w:t xml:space="preserve">lise: Roteiro Para Uso Do SINAN NET, an</w:t>
      </w:r>
      <w:r>
        <w:rPr>
          <w:i/>
          <w:iCs/>
        </w:rPr>
        <w:t xml:space="preserve">á</w:t>
      </w:r>
      <w:r>
        <w:rPr>
          <w:i/>
          <w:iCs/>
        </w:rPr>
        <w:t xml:space="preserve">lise Da Qualidade Da Base de Dados e c</w:t>
      </w:r>
      <w:r>
        <w:rPr>
          <w:i/>
          <w:iCs/>
        </w:rPr>
        <w:t xml:space="preserve">á</w:t>
      </w:r>
      <w:r>
        <w:rPr>
          <w:i/>
          <w:iCs/>
        </w:rPr>
        <w:t xml:space="preserve">lculo de Indicadores Epidemiol</w:t>
      </w:r>
      <w:r>
        <w:rPr>
          <w:i/>
          <w:iCs/>
        </w:rPr>
        <w:t xml:space="preserve">ó</w:t>
      </w:r>
      <w:r>
        <w:rPr>
          <w:i/>
          <w:iCs/>
        </w:rPr>
        <w:t xml:space="preserve">gicos e Operacionais: Viol</w:t>
      </w:r>
      <w:r>
        <w:rPr>
          <w:i/>
          <w:iCs/>
        </w:rPr>
        <w:t xml:space="preserve">ê</w:t>
      </w:r>
      <w:r>
        <w:rPr>
          <w:i/>
          <w:iCs/>
        </w:rPr>
        <w:t xml:space="preserve">ncia Interpessoal/Autoprovocada</w:t>
      </w:r>
      <w:r>
        <w:t xml:space="preserve">. Minist</w:t>
      </w:r>
      <w:r>
        <w:t xml:space="preserve">é</w:t>
      </w:r>
      <w:r>
        <w:t xml:space="preserve">rio da Sa</w:t>
      </w:r>
      <w:r>
        <w:t xml:space="preserve">ú</w:t>
      </w:r>
      <w:r>
        <w:t xml:space="preserve">de.</w:t>
      </w:r>
    </w:p>
    <w:bookmarkEnd w:id="35"/>
    <w:bookmarkStart w:id="36" w:name="ref-fawcett2006"/>
    <w:p>
      <w:pPr>
        <w:pStyle w:val="Bibliography"/>
      </w:pPr>
      <w:r>
        <w:t xml:space="preserve">Fawcett, Tom. 2006.</w:t>
      </w:r>
      <w:r>
        <w:t xml:space="preserve"> </w:t>
      </w:r>
      <w:r>
        <w:t xml:space="preserve">“An Introduction to ROC Analysis.”</w:t>
      </w:r>
      <w:r>
        <w:t xml:space="preserve"> </w:t>
      </w:r>
      <w:r>
        <w:rPr>
          <w:i/>
          <w:iCs/>
        </w:rPr>
        <w:t xml:space="preserve">Pattern Recognition Letters</w:t>
      </w:r>
      <w:r>
        <w:t xml:space="preserve"> </w:t>
      </w:r>
      <w:r>
        <w:t xml:space="preserve">27 (8): 861–74.</w:t>
      </w:r>
    </w:p>
    <w:bookmarkEnd w:id="36"/>
    <w:bookmarkStart w:id="37" w:name="ref-ibge2023"/>
    <w:p>
      <w:pPr>
        <w:pStyle w:val="Bibliography"/>
      </w:pPr>
      <w:r>
        <w:t xml:space="preserve">Instituto Brasileiro de Geografia e Estatística. 2023.</w:t>
      </w:r>
      <w:r>
        <w:t xml:space="preserve"> </w:t>
      </w:r>
      <w:r>
        <w:rPr>
          <w:i/>
          <w:iCs/>
        </w:rPr>
        <w:t xml:space="preserve">Censo Demogr</w:t>
      </w:r>
      <w:r>
        <w:rPr>
          <w:i/>
          <w:iCs/>
        </w:rPr>
        <w:t xml:space="preserve">á</w:t>
      </w:r>
      <w:r>
        <w:rPr>
          <w:i/>
          <w:iCs/>
        </w:rPr>
        <w:t xml:space="preserve">fico 2022: Popula</w:t>
      </w:r>
      <w:r>
        <w:rPr>
          <w:i/>
          <w:iCs/>
        </w:rPr>
        <w:t xml:space="preserve">ç</w:t>
      </w:r>
      <w:r>
        <w:rPr>
          <w:i/>
          <w:iCs/>
        </w:rPr>
        <w:t xml:space="preserve">ã</w:t>
      </w:r>
      <w:r>
        <w:rPr>
          <w:i/>
          <w:iCs/>
        </w:rPr>
        <w:t xml:space="preserve">o Por Idade e Sexo – Pessoas de 60 Anos Ou Mais de Idade</w:t>
      </w:r>
      <w:r>
        <w:t xml:space="preserve">. IBGE.</w:t>
      </w:r>
    </w:p>
    <w:bookmarkEnd w:id="37"/>
    <w:bookmarkStart w:id="38" w:name="ref-kaufman2012"/>
    <w:p>
      <w:pPr>
        <w:pStyle w:val="Bibliography"/>
      </w:pPr>
      <w:r>
        <w:t xml:space="preserve">Kaufman, Shachar, Saharon Rosset, Claudia Perlich, and Ori Stitelman. 2012.</w:t>
      </w:r>
      <w:r>
        <w:t xml:space="preserve"> </w:t>
      </w:r>
      <w:r>
        <w:t xml:space="preserve">“Leakage in Data Mining: Formulation, Detection, and Avoidance.”</w:t>
      </w:r>
      <w:r>
        <w:t xml:space="preserve"> </w:t>
      </w:r>
      <w:r>
        <w:rPr>
          <w:i/>
          <w:iCs/>
        </w:rPr>
        <w:t xml:space="preserve">ACM Transactions on Knowledge Discovery from Data</w:t>
      </w:r>
      <w:r>
        <w:t xml:space="preserve"> </w:t>
      </w:r>
      <w:r>
        <w:t xml:space="preserve">6 (4): 15:1–21.</w:t>
      </w:r>
    </w:p>
    <w:bookmarkEnd w:id="38"/>
    <w:bookmarkStart w:id="39" w:name="ref-lima2023"/>
    <w:p>
      <w:pPr>
        <w:pStyle w:val="Bibliography"/>
      </w:pPr>
      <w:r>
        <w:t xml:space="preserve">Lima, V. M. F. et al.</w:t>
      </w:r>
      <w:r>
        <w:t xml:space="preserve"> 2023.</w:t>
      </w:r>
      <w:r>
        <w:t xml:space="preserve"> </w:t>
      </w:r>
      <w:r>
        <w:t xml:space="preserve">“Caracteriza</w:t>
      </w:r>
      <w:r>
        <w:t xml:space="preserve">ç</w:t>
      </w:r>
      <w:r>
        <w:t xml:space="preserve">ã</w:t>
      </w:r>
      <w:r>
        <w:t xml:space="preserve">o e Completitude Das Fichas de Notifica</w:t>
      </w:r>
      <w:r>
        <w:t xml:space="preserve">ç</w:t>
      </w:r>
      <w:r>
        <w:t xml:space="preserve">ã</w:t>
      </w:r>
      <w:r>
        <w:t xml:space="preserve">o de Viol</w:t>
      </w:r>
      <w:r>
        <w:t xml:space="preserve">ê</w:t>
      </w:r>
      <w:r>
        <w:t xml:space="preserve">ncia Contra a Pessoa Idosa Em Niter</w:t>
      </w:r>
      <w:r>
        <w:t xml:space="preserve">ó</w:t>
      </w:r>
      <w:r>
        <w:t xml:space="preserve">i-RJ, 2011–2020.”</w:t>
      </w:r>
      <w:r>
        <w:t xml:space="preserve"> </w:t>
      </w:r>
      <w:r>
        <w:rPr>
          <w:i/>
          <w:iCs/>
        </w:rPr>
        <w:t xml:space="preserve">Epidemiologia e Servi</w:t>
      </w:r>
      <w:r>
        <w:rPr>
          <w:i/>
          <w:iCs/>
        </w:rPr>
        <w:t xml:space="preserve">ç</w:t>
      </w:r>
      <w:r>
        <w:rPr>
          <w:i/>
          <w:iCs/>
        </w:rPr>
        <w:t xml:space="preserve">os de Sa</w:t>
      </w:r>
      <w:r>
        <w:rPr>
          <w:i/>
          <w:iCs/>
        </w:rPr>
        <w:t xml:space="preserve">ú</w:t>
      </w:r>
      <w:r>
        <w:rPr>
          <w:i/>
          <w:iCs/>
        </w:rPr>
        <w:t xml:space="preserve">de</w:t>
      </w:r>
      <w:r>
        <w:t xml:space="preserve"> </w:t>
      </w:r>
      <w:r>
        <w:t xml:space="preserve">32 (1): e2022451.</w:t>
      </w:r>
    </w:p>
    <w:bookmarkEnd w:id="39"/>
    <w:bookmarkStart w:id="40" w:name="ref-mascarenhas2012"/>
    <w:p>
      <w:pPr>
        <w:pStyle w:val="Bibliography"/>
      </w:pPr>
      <w:r>
        <w:t xml:space="preserve">Mascarenhas, M. D. M. et al.</w:t>
      </w:r>
      <w:r>
        <w:t xml:space="preserve"> 2012.</w:t>
      </w:r>
      <w:r>
        <w:t xml:space="preserve"> </w:t>
      </w:r>
      <w:r>
        <w:t xml:space="preserve">“Viol</w:t>
      </w:r>
      <w:r>
        <w:t xml:space="preserve">ê</w:t>
      </w:r>
      <w:r>
        <w:t xml:space="preserve">ncia Contra a Pessoa Idosa: An</w:t>
      </w:r>
      <w:r>
        <w:t xml:space="preserve">á</w:t>
      </w:r>
      <w:r>
        <w:t xml:space="preserve">lise Das Notifica</w:t>
      </w:r>
      <w:r>
        <w:t xml:space="preserve">ç</w:t>
      </w:r>
      <w:r>
        <w:t xml:space="preserve">õ</w:t>
      </w:r>
      <w:r>
        <w:t xml:space="preserve">es Realizadas No Setor Sa</w:t>
      </w:r>
      <w:r>
        <w:t xml:space="preserve">ú</w:t>
      </w:r>
      <w:r>
        <w:t xml:space="preserve">de – Brasil, 2010.”</w:t>
      </w:r>
      <w:r>
        <w:t xml:space="preserve"> </w:t>
      </w:r>
      <w:r>
        <w:rPr>
          <w:i/>
          <w:iCs/>
        </w:rPr>
        <w:t xml:space="preserve">Ci</w:t>
      </w:r>
      <w:r>
        <w:rPr>
          <w:i/>
          <w:iCs/>
        </w:rPr>
        <w:t xml:space="preserve">ê</w:t>
      </w:r>
      <w:r>
        <w:rPr>
          <w:i/>
          <w:iCs/>
        </w:rPr>
        <w:t xml:space="preserve">ncia &amp; Sa</w:t>
      </w:r>
      <w:r>
        <w:rPr>
          <w:i/>
          <w:iCs/>
        </w:rPr>
        <w:t xml:space="preserve">ú</w:t>
      </w:r>
      <w:r>
        <w:rPr>
          <w:i/>
          <w:iCs/>
        </w:rPr>
        <w:t xml:space="preserve">de Coletiva</w:t>
      </w:r>
      <w:r>
        <w:t xml:space="preserve"> </w:t>
      </w:r>
      <w:r>
        <w:t xml:space="preserve">17 (9): 2331–41.</w:t>
      </w:r>
    </w:p>
    <w:bookmarkEnd w:id="40"/>
    <w:bookmarkStart w:id="41" w:name="ref-oguztuzun2025"/>
    <w:p>
      <w:pPr>
        <w:pStyle w:val="Bibliography"/>
      </w:pPr>
      <w:r>
        <w:t xml:space="preserve">Oguztuzun, C., M. Koyutürk, and G. Karakurt. 2025.</w:t>
      </w:r>
      <w:r>
        <w:t xml:space="preserve"> </w:t>
      </w:r>
      <w:r>
        <w:t xml:space="preserve">“Interpretable Machine Learning to Identify Risk Factors for Recidivism in Intimate Partner Violence.”</w:t>
      </w:r>
      <w:r>
        <w:t xml:space="preserve"> </w:t>
      </w:r>
      <w:r>
        <w:rPr>
          <w:i/>
          <w:iCs/>
        </w:rPr>
        <w:t xml:space="preserve">AMIA Annual Symposium Proceedings</w:t>
      </w:r>
      <w:r>
        <w:t xml:space="preserve">, 1285–94.</w:t>
      </w:r>
    </w:p>
    <w:bookmarkEnd w:id="41"/>
    <w:bookmarkStart w:id="42" w:name="ref-pappadis2025"/>
    <w:p>
      <w:pPr>
        <w:pStyle w:val="Bibliography"/>
      </w:pPr>
      <w:r>
        <w:t xml:space="preserve">Pappadis, M. R., K. E. Schlag, J. Westra, et al. 2025.</w:t>
      </w:r>
      <w:r>
        <w:t xml:space="preserve"> </w:t>
      </w:r>
      <w:r>
        <w:t xml:space="preserve">“Clinical Factors and Social Determinants of Health Predict Elder Mistreatment at Two Years Among Older Adults: A Preliminary Prediction Model.”</w:t>
      </w:r>
      <w:r>
        <w:t xml:space="preserve"> </w:t>
      </w:r>
      <w:r>
        <w:rPr>
          <w:i/>
          <w:iCs/>
        </w:rPr>
        <w:t xml:space="preserve">INQUIRY: The Journal of Health Care Organization, Provision, and Financing</w:t>
      </w:r>
      <w:r>
        <w:t xml:space="preserve">.</w:t>
      </w:r>
    </w:p>
    <w:bookmarkEnd w:id="42"/>
    <w:bookmarkStart w:id="43" w:name="ref-peffers2007"/>
    <w:p>
      <w:pPr>
        <w:pStyle w:val="Bibliography"/>
      </w:pPr>
      <w:r>
        <w:t xml:space="preserve">Peffers, Ken, Tuure Tuunanen, Marcus A. Rothenberger, and Samir Chatterjee. 2007.</w:t>
      </w:r>
      <w:r>
        <w:t xml:space="preserve"> </w:t>
      </w:r>
      <w:r>
        <w:t xml:space="preserve">“A Design Science Research Methodology for Information Systems Research.”</w:t>
      </w:r>
      <w:r>
        <w:t xml:space="preserve"> </w:t>
      </w:r>
      <w:r>
        <w:rPr>
          <w:i/>
          <w:iCs/>
        </w:rPr>
        <w:t xml:space="preserve">Journal of Management Information Systems</w:t>
      </w:r>
      <w:r>
        <w:t xml:space="preserve"> </w:t>
      </w:r>
      <w:r>
        <w:t xml:space="preserve">24 (3): 45–77.</w:t>
      </w:r>
    </w:p>
    <w:bookmarkEnd w:id="43"/>
    <w:bookmarkStart w:id="45" w:name="ref-studer2021"/>
    <w:p>
      <w:pPr>
        <w:pStyle w:val="Bibliography"/>
      </w:pPr>
      <w:r>
        <w:t xml:space="preserve">Studer, Stefan, Thanh Binh Bui, Christian Drescher, et al. 2021.</w:t>
      </w:r>
      <w:r>
        <w:t xml:space="preserve"> </w:t>
      </w:r>
      <w:r>
        <w:t xml:space="preserve">“Towards CRISP-ML(q): A Machine Learning Process Model with Quality Assurance Methodology.”</w:t>
      </w:r>
      <w:r>
        <w:t xml:space="preserve"> </w:t>
      </w:r>
      <w:r>
        <w:rPr>
          <w:i/>
          <w:iCs/>
        </w:rPr>
        <w:t xml:space="preserve">Machine Learning and Knowledge Extraction</w:t>
      </w:r>
      <w:r>
        <w:t xml:space="preserve"> </w:t>
      </w:r>
      <w:r>
        <w:t xml:space="preserve">3 (2): 392–413.</w:t>
      </w:r>
      <w:r>
        <w:t xml:space="preserve"> </w:t>
      </w:r>
      <w:hyperlink r:id="rId44">
        <w:r>
          <w:rPr>
            <w:rStyle w:val="Hyperlink"/>
          </w:rPr>
          <w:t xml:space="preserve">https://doi.org/10.3390/make3020020</w:t>
        </w:r>
      </w:hyperlink>
      <w:r>
        <w:t xml:space="preserve">.</w:t>
      </w:r>
    </w:p>
    <w:bookmarkEnd w:id="45"/>
    <w:bookmarkStart w:id="46" w:name="ref-who2021"/>
    <w:p>
      <w:pPr>
        <w:pStyle w:val="Bibliography"/>
      </w:pPr>
      <w:r>
        <w:t xml:space="preserve">World Health Organization. 2021.</w:t>
      </w:r>
      <w:r>
        <w:t xml:space="preserve"> </w:t>
      </w:r>
      <w:r>
        <w:rPr>
          <w:i/>
          <w:iCs/>
        </w:rPr>
        <w:t xml:space="preserve">Ethics and Governance of Artificial Intelligence for Health: WHO Guidance</w:t>
      </w:r>
      <w:r>
        <w:t xml:space="preserve">. World Health Organization.</w:t>
      </w:r>
    </w:p>
    <w:bookmarkEnd w:id="46"/>
    <w:bookmarkStart w:id="47" w:name="ref-zeng2025"/>
    <w:p>
      <w:pPr>
        <w:pStyle w:val="Bibliography"/>
      </w:pPr>
      <w:r>
        <w:t xml:space="preserve">Zeng, Q., Y. Wang, F. Zhao, and Z. He. 2025.</w:t>
      </w:r>
      <w:r>
        <w:t xml:space="preserve"> </w:t>
      </w:r>
      <w:r>
        <w:t xml:space="preserve">“Predicting Elder Abuse Using a Random Forest Classifier.”</w:t>
      </w:r>
      <w:r>
        <w:t xml:space="preserve"> </w:t>
      </w:r>
      <w:r>
        <w:rPr>
          <w:i/>
          <w:iCs/>
        </w:rPr>
        <w:t xml:space="preserve">Journal of Interpersonal Violence</w:t>
      </w:r>
      <w:r>
        <w:t xml:space="preserve">.</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doi.org/10.3390/make3020020"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3390/make3020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Estimativa da Recorrência de Violência contra a Pessoa Idosa a partir de Dados do SINAN Utilizando Aprendizado de Máquina</dc:title>
  <dc:creator>Nicole Moritz e Morgane De Avila Universidade Federal da Fronteira Sul Chapecó – SC – Brasil</dc:creator>
  <cp:keywords/>
  <dcterms:created xsi:type="dcterms:W3CDTF">2026-10-06T20:08:55Z</dcterms:created>
  <dcterms:modified xsi:type="dcterms:W3CDTF">2026-10-06T20:08:55Z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ies>
</file>