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AC018" w14:textId="77777777" w:rsidR="00A75179" w:rsidRDefault="00000000">
      <w:pPr>
        <w:jc w:val="center"/>
        <w:rPr>
          <w:rFonts w:hint="eastAsia"/>
        </w:rPr>
      </w:pPr>
      <w:r>
        <w:rPr>
          <w:b/>
          <w:color w:val="57068C"/>
          <w:sz w:val="28"/>
        </w:rPr>
        <w:t>EMERGING TECHNOLOGIES</w:t>
      </w:r>
    </w:p>
    <w:p w14:paraId="0E684345" w14:textId="77777777" w:rsidR="00A75179" w:rsidRDefault="00000000">
      <w:pPr>
        <w:pStyle w:val="Title"/>
        <w:jc w:val="center"/>
      </w:pPr>
      <w:r>
        <w:t>Specialist Agent Record Template</w:t>
      </w:r>
    </w:p>
    <w:p w14:paraId="50E96CC8" w14:textId="77777777" w:rsidR="00A75179"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A75179" w14:paraId="450CCD9C" w14:textId="77777777">
        <w:tc>
          <w:tcPr>
            <w:tcW w:w="10454" w:type="dxa"/>
            <w:shd w:val="clear" w:color="auto" w:fill="F3EDF7"/>
            <w:tcMar>
              <w:top w:w="90" w:type="dxa"/>
              <w:left w:w="120" w:type="dxa"/>
              <w:bottom w:w="90" w:type="dxa"/>
              <w:right w:w="120" w:type="dxa"/>
            </w:tcMar>
          </w:tcPr>
          <w:p w14:paraId="25FF0FC5" w14:textId="77777777" w:rsidR="00A75179"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1738B9BC" w14:textId="77777777" w:rsidR="00A75179" w:rsidRDefault="00000000">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A75179" w14:paraId="413E15FD" w14:textId="77777777" w:rsidTr="002E6DF3">
        <w:trPr>
          <w:jc w:val="center"/>
        </w:trPr>
        <w:tc>
          <w:tcPr>
            <w:tcW w:w="5220" w:type="dxa"/>
            <w:shd w:val="clear" w:color="auto" w:fill="57068C"/>
            <w:tcMar>
              <w:top w:w="70" w:type="dxa"/>
              <w:left w:w="90" w:type="dxa"/>
              <w:bottom w:w="70" w:type="dxa"/>
              <w:right w:w="90" w:type="dxa"/>
            </w:tcMar>
          </w:tcPr>
          <w:p w14:paraId="763A0F86" w14:textId="77777777" w:rsidR="00A75179" w:rsidRDefault="00000000">
            <w:pPr>
              <w:spacing w:after="20"/>
              <w:rPr>
                <w:rFonts w:hint="eastAsia"/>
              </w:rPr>
            </w:pPr>
            <w:r>
              <w:rPr>
                <w:b/>
                <w:color w:val="FFFFFF"/>
                <w:sz w:val="17"/>
              </w:rPr>
              <w:t>Field</w:t>
            </w:r>
          </w:p>
        </w:tc>
        <w:tc>
          <w:tcPr>
            <w:tcW w:w="5224" w:type="dxa"/>
            <w:shd w:val="clear" w:color="auto" w:fill="57068C"/>
            <w:tcMar>
              <w:top w:w="70" w:type="dxa"/>
              <w:left w:w="90" w:type="dxa"/>
              <w:bottom w:w="70" w:type="dxa"/>
              <w:right w:w="90" w:type="dxa"/>
            </w:tcMar>
          </w:tcPr>
          <w:p w14:paraId="2C728AA8" w14:textId="77777777" w:rsidR="00A75179" w:rsidRDefault="00000000">
            <w:pPr>
              <w:spacing w:after="20"/>
              <w:rPr>
                <w:rFonts w:hint="eastAsia"/>
              </w:rPr>
            </w:pPr>
            <w:r>
              <w:rPr>
                <w:b/>
                <w:color w:val="FFFFFF"/>
                <w:sz w:val="17"/>
              </w:rPr>
              <w:t>Student record</w:t>
            </w:r>
          </w:p>
        </w:tc>
      </w:tr>
      <w:tr w:rsidR="00913E77" w14:paraId="11004CDD" w14:textId="77777777" w:rsidTr="002E6DF3">
        <w:trPr>
          <w:jc w:val="center"/>
        </w:trPr>
        <w:tc>
          <w:tcPr>
            <w:tcW w:w="5220" w:type="dxa"/>
            <w:tcMar>
              <w:top w:w="70" w:type="dxa"/>
              <w:left w:w="90" w:type="dxa"/>
              <w:bottom w:w="70" w:type="dxa"/>
              <w:right w:w="90" w:type="dxa"/>
            </w:tcMar>
          </w:tcPr>
          <w:p w14:paraId="05DE6547" w14:textId="77777777" w:rsidR="00913E77" w:rsidRDefault="00913E77" w:rsidP="00913E77">
            <w:pPr>
              <w:spacing w:after="20"/>
              <w:rPr>
                <w:rFonts w:hint="eastAsia"/>
              </w:rPr>
            </w:pPr>
            <w:r>
              <w:rPr>
                <w:sz w:val="17"/>
              </w:rPr>
              <w:t>Student / team</w:t>
            </w:r>
          </w:p>
        </w:tc>
        <w:tc>
          <w:tcPr>
            <w:tcW w:w="5224" w:type="dxa"/>
            <w:tcMar>
              <w:top w:w="70" w:type="dxa"/>
              <w:left w:w="90" w:type="dxa"/>
              <w:bottom w:w="70" w:type="dxa"/>
              <w:right w:w="90" w:type="dxa"/>
            </w:tcMar>
            <w:vAlign w:val="center"/>
          </w:tcPr>
          <w:p w14:paraId="3FE00A84" w14:textId="46A44785" w:rsidR="00913E77" w:rsidRDefault="00913E77" w:rsidP="00913E77">
            <w:pPr>
              <w:spacing w:after="20"/>
              <w:rPr>
                <w:rFonts w:hint="eastAsia"/>
              </w:rPr>
            </w:pPr>
            <w:r>
              <w:rPr>
                <w:rFonts w:ascii="Calibri" w:hAnsi="Calibri"/>
                <w:color w:val="000000"/>
                <w:sz w:val="22"/>
              </w:rPr>
              <w:t>Nini Huang | Individual assignment</w:t>
            </w:r>
          </w:p>
        </w:tc>
      </w:tr>
      <w:tr w:rsidR="00913E77" w14:paraId="53880F19" w14:textId="77777777" w:rsidTr="002E6DF3">
        <w:trPr>
          <w:jc w:val="center"/>
        </w:trPr>
        <w:tc>
          <w:tcPr>
            <w:tcW w:w="5220" w:type="dxa"/>
            <w:tcMar>
              <w:top w:w="70" w:type="dxa"/>
              <w:left w:w="90" w:type="dxa"/>
              <w:bottom w:w="70" w:type="dxa"/>
              <w:right w:w="90" w:type="dxa"/>
            </w:tcMar>
          </w:tcPr>
          <w:p w14:paraId="539164C5" w14:textId="77777777" w:rsidR="00913E77" w:rsidRDefault="00913E77" w:rsidP="00913E77">
            <w:pPr>
              <w:spacing w:after="20"/>
              <w:rPr>
                <w:rFonts w:hint="eastAsia"/>
              </w:rPr>
            </w:pPr>
            <w:r>
              <w:rPr>
                <w:sz w:val="17"/>
              </w:rPr>
              <w:t>Assignment / specialist agent</w:t>
            </w:r>
          </w:p>
        </w:tc>
        <w:tc>
          <w:tcPr>
            <w:tcW w:w="5224" w:type="dxa"/>
            <w:tcMar>
              <w:top w:w="70" w:type="dxa"/>
              <w:left w:w="90" w:type="dxa"/>
              <w:bottom w:w="70" w:type="dxa"/>
              <w:right w:w="90" w:type="dxa"/>
            </w:tcMar>
            <w:vAlign w:val="center"/>
          </w:tcPr>
          <w:p w14:paraId="0BD3B309" w14:textId="0D59E877" w:rsidR="00913E77" w:rsidRDefault="00913E77" w:rsidP="00913E77">
            <w:pPr>
              <w:spacing w:after="20"/>
              <w:rPr>
                <w:rFonts w:hint="eastAsia"/>
              </w:rPr>
            </w:pPr>
            <w:r>
              <w:rPr>
                <w:rFonts w:ascii="Calibri" w:hAnsi="Calibri"/>
                <w:color w:val="000000"/>
                <w:sz w:val="22"/>
              </w:rPr>
              <w:t>Assignment 3 | Innovation and Disruption Agent | Active version 0.2-student</w:t>
            </w:r>
          </w:p>
        </w:tc>
      </w:tr>
      <w:tr w:rsidR="00913E77" w14:paraId="353469C3" w14:textId="77777777" w:rsidTr="002E6DF3">
        <w:trPr>
          <w:jc w:val="center"/>
        </w:trPr>
        <w:tc>
          <w:tcPr>
            <w:tcW w:w="5220" w:type="dxa"/>
            <w:tcMar>
              <w:top w:w="70" w:type="dxa"/>
              <w:left w:w="90" w:type="dxa"/>
              <w:bottom w:w="70" w:type="dxa"/>
              <w:right w:w="90" w:type="dxa"/>
            </w:tcMar>
          </w:tcPr>
          <w:p w14:paraId="25B82014" w14:textId="77777777" w:rsidR="00913E77" w:rsidRDefault="00913E77" w:rsidP="00913E77">
            <w:pPr>
              <w:spacing w:after="20"/>
              <w:rPr>
                <w:rFonts w:hint="eastAsia"/>
              </w:rPr>
            </w:pPr>
            <w:r>
              <w:rPr>
                <w:sz w:val="17"/>
              </w:rPr>
              <w:t>Date</w:t>
            </w:r>
          </w:p>
        </w:tc>
        <w:tc>
          <w:tcPr>
            <w:tcW w:w="5224" w:type="dxa"/>
            <w:tcMar>
              <w:top w:w="70" w:type="dxa"/>
              <w:left w:w="90" w:type="dxa"/>
              <w:bottom w:w="70" w:type="dxa"/>
              <w:right w:w="90" w:type="dxa"/>
            </w:tcMar>
            <w:vAlign w:val="center"/>
          </w:tcPr>
          <w:p w14:paraId="23B36B9F" w14:textId="6FD3127F" w:rsidR="00913E77" w:rsidRDefault="00913E77" w:rsidP="00913E77">
            <w:pPr>
              <w:spacing w:after="20"/>
              <w:rPr>
                <w:rFonts w:hint="eastAsia"/>
              </w:rPr>
            </w:pPr>
            <w:r>
              <w:rPr>
                <w:rFonts w:ascii="Calibri" w:hAnsi="Calibri"/>
                <w:color w:val="000000"/>
                <w:sz w:val="22"/>
              </w:rPr>
              <w:t>October 10, 2026</w:t>
            </w:r>
          </w:p>
        </w:tc>
      </w:tr>
      <w:tr w:rsidR="00913E77" w14:paraId="0B5C9C53" w14:textId="77777777" w:rsidTr="002E6DF3">
        <w:trPr>
          <w:jc w:val="center"/>
        </w:trPr>
        <w:tc>
          <w:tcPr>
            <w:tcW w:w="5220" w:type="dxa"/>
            <w:tcMar>
              <w:top w:w="70" w:type="dxa"/>
              <w:left w:w="90" w:type="dxa"/>
              <w:bottom w:w="70" w:type="dxa"/>
              <w:right w:w="90" w:type="dxa"/>
            </w:tcMar>
          </w:tcPr>
          <w:p w14:paraId="36CA1DC1" w14:textId="77777777" w:rsidR="00913E77" w:rsidRDefault="00913E77" w:rsidP="00913E77">
            <w:pPr>
              <w:spacing w:after="20"/>
              <w:rPr>
                <w:rFonts w:hint="eastAsia"/>
              </w:rPr>
            </w:pPr>
            <w:r>
              <w:rPr>
                <w:sz w:val="17"/>
              </w:rPr>
              <w:t>GitHub repository</w:t>
            </w:r>
          </w:p>
        </w:tc>
        <w:tc>
          <w:tcPr>
            <w:tcW w:w="5224" w:type="dxa"/>
            <w:tcMar>
              <w:top w:w="70" w:type="dxa"/>
              <w:left w:w="90" w:type="dxa"/>
              <w:bottom w:w="70" w:type="dxa"/>
              <w:right w:w="90" w:type="dxa"/>
            </w:tcMar>
            <w:vAlign w:val="center"/>
          </w:tcPr>
          <w:p w14:paraId="02E44CA2" w14:textId="54CB2955" w:rsidR="00913E77" w:rsidRDefault="00913E77" w:rsidP="00913E77">
            <w:pPr>
              <w:spacing w:after="20"/>
              <w:rPr>
                <w:rFonts w:hint="eastAsia"/>
              </w:rPr>
            </w:pPr>
            <w:r>
              <w:rPr>
                <w:rFonts w:ascii="Calibri" w:hAnsi="Calibri"/>
                <w:color w:val="000000"/>
                <w:sz w:val="22"/>
              </w:rPr>
              <w:t>https://github.com/ninihuang8/Lab-3-Sub-Agent-2-Cycles</w:t>
            </w:r>
          </w:p>
        </w:tc>
      </w:tr>
      <w:tr w:rsidR="00913E77" w14:paraId="46F4F7BF" w14:textId="77777777" w:rsidTr="002E6DF3">
        <w:trPr>
          <w:jc w:val="center"/>
        </w:trPr>
        <w:tc>
          <w:tcPr>
            <w:tcW w:w="5220" w:type="dxa"/>
            <w:tcMar>
              <w:top w:w="70" w:type="dxa"/>
              <w:left w:w="90" w:type="dxa"/>
              <w:bottom w:w="70" w:type="dxa"/>
              <w:right w:w="90" w:type="dxa"/>
            </w:tcMar>
          </w:tcPr>
          <w:p w14:paraId="7AE5DBD7" w14:textId="77777777" w:rsidR="00913E77" w:rsidRDefault="00913E77" w:rsidP="00913E77">
            <w:pPr>
              <w:spacing w:after="20"/>
              <w:rPr>
                <w:rFonts w:hint="eastAsia"/>
              </w:rPr>
            </w:pPr>
            <w:r>
              <w:rPr>
                <w:sz w:val="17"/>
              </w:rPr>
              <w:t>Branch</w:t>
            </w:r>
          </w:p>
        </w:tc>
        <w:tc>
          <w:tcPr>
            <w:tcW w:w="5224" w:type="dxa"/>
            <w:tcMar>
              <w:top w:w="70" w:type="dxa"/>
              <w:left w:w="90" w:type="dxa"/>
              <w:bottom w:w="70" w:type="dxa"/>
              <w:right w:w="90" w:type="dxa"/>
            </w:tcMar>
            <w:vAlign w:val="center"/>
          </w:tcPr>
          <w:p w14:paraId="5F2FC712" w14:textId="40DF02D0" w:rsidR="00913E77" w:rsidRDefault="00913E77" w:rsidP="00913E77">
            <w:pPr>
              <w:spacing w:after="20"/>
              <w:rPr>
                <w:rFonts w:hint="eastAsia"/>
              </w:rPr>
            </w:pPr>
            <w:r>
              <w:rPr>
                <w:rFonts w:ascii="Calibri" w:hAnsi="Calibri"/>
                <w:color w:val="000000"/>
                <w:sz w:val="22"/>
              </w:rPr>
              <w:t>Planned: assignment-3-innovation-disruption-agent</w:t>
            </w:r>
            <w:r>
              <w:rPr>
                <w:rFonts w:ascii="Calibri" w:hAnsi="Calibri"/>
                <w:color w:val="000000"/>
                <w:sz w:val="22"/>
              </w:rPr>
              <w:br/>
              <w:t>Not created; GitHub integration returned 403 on branch creation.</w:t>
            </w:r>
          </w:p>
        </w:tc>
      </w:tr>
      <w:tr w:rsidR="00913E77" w14:paraId="22F39018" w14:textId="77777777" w:rsidTr="002E6DF3">
        <w:trPr>
          <w:jc w:val="center"/>
        </w:trPr>
        <w:tc>
          <w:tcPr>
            <w:tcW w:w="5220" w:type="dxa"/>
            <w:tcMar>
              <w:top w:w="70" w:type="dxa"/>
              <w:left w:w="90" w:type="dxa"/>
              <w:bottom w:w="70" w:type="dxa"/>
              <w:right w:w="90" w:type="dxa"/>
            </w:tcMar>
          </w:tcPr>
          <w:p w14:paraId="3ED13E0B" w14:textId="77777777" w:rsidR="00913E77" w:rsidRDefault="00913E77" w:rsidP="00913E77">
            <w:pPr>
              <w:spacing w:after="20"/>
              <w:rPr>
                <w:rFonts w:hint="eastAsia"/>
              </w:rPr>
            </w:pPr>
            <w:r>
              <w:rPr>
                <w:sz w:val="17"/>
              </w:rPr>
              <w:t>Commit</w:t>
            </w:r>
          </w:p>
        </w:tc>
        <w:tc>
          <w:tcPr>
            <w:tcW w:w="5224" w:type="dxa"/>
            <w:tcMar>
              <w:top w:w="70" w:type="dxa"/>
              <w:left w:w="90" w:type="dxa"/>
              <w:bottom w:w="70" w:type="dxa"/>
              <w:right w:w="90" w:type="dxa"/>
            </w:tcMar>
            <w:vAlign w:val="center"/>
          </w:tcPr>
          <w:p w14:paraId="7C45F5CC" w14:textId="12F7D4C7" w:rsidR="00913E77" w:rsidRDefault="00913E77" w:rsidP="00913E77">
            <w:pPr>
              <w:spacing w:after="20"/>
              <w:rPr>
                <w:rFonts w:hint="eastAsia"/>
              </w:rPr>
            </w:pPr>
            <w:r>
              <w:rPr>
                <w:rFonts w:ascii="Calibri" w:hAnsi="Calibri"/>
                <w:color w:val="000000"/>
                <w:sz w:val="22"/>
              </w:rPr>
              <w:t>No Assignment 3 commit verified. Manual preservation pending.</w:t>
            </w:r>
          </w:p>
        </w:tc>
      </w:tr>
      <w:tr w:rsidR="002E6DF3" w14:paraId="6D242371" w14:textId="77777777" w:rsidTr="002E6DF3">
        <w:trPr>
          <w:jc w:val="center"/>
        </w:trPr>
        <w:tc>
          <w:tcPr>
            <w:tcW w:w="5220" w:type="dxa"/>
            <w:tcMar>
              <w:top w:w="70" w:type="dxa"/>
              <w:left w:w="90" w:type="dxa"/>
              <w:bottom w:w="70" w:type="dxa"/>
              <w:right w:w="90" w:type="dxa"/>
            </w:tcMar>
          </w:tcPr>
          <w:p w14:paraId="74EB9B4B" w14:textId="77777777" w:rsidR="002E6DF3" w:rsidRDefault="002E6DF3" w:rsidP="002E6DF3">
            <w:pPr>
              <w:spacing w:after="20"/>
              <w:rPr>
                <w:rFonts w:hint="eastAsia"/>
              </w:rPr>
            </w:pPr>
            <w:r>
              <w:rPr>
                <w:sz w:val="17"/>
              </w:rPr>
              <w:t>Frozen scaffold version</w:t>
            </w:r>
          </w:p>
        </w:tc>
        <w:tc>
          <w:tcPr>
            <w:tcW w:w="5224" w:type="dxa"/>
            <w:tcMar>
              <w:top w:w="70" w:type="dxa"/>
              <w:left w:w="90" w:type="dxa"/>
              <w:bottom w:w="70" w:type="dxa"/>
              <w:right w:w="90" w:type="dxa"/>
            </w:tcMar>
          </w:tcPr>
          <w:p w14:paraId="0DB17D64" w14:textId="77777777" w:rsidR="002E6DF3" w:rsidRDefault="002E6DF3" w:rsidP="002E6DF3">
            <w:pPr>
              <w:spacing w:after="20"/>
              <w:rPr>
                <w:rFonts w:hint="eastAsia"/>
              </w:rPr>
            </w:pPr>
            <w:r>
              <w:rPr>
                <w:sz w:val="17"/>
              </w:rPr>
              <w:t>MASY1800_ET_Agent_Scaffold_v1_0</w:t>
            </w:r>
          </w:p>
        </w:tc>
      </w:tr>
    </w:tbl>
    <w:p w14:paraId="1E709625" w14:textId="77777777" w:rsidR="00A75179"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4993"/>
        <w:gridCol w:w="5451"/>
      </w:tblGrid>
      <w:tr w:rsidR="00A75179" w14:paraId="3EBEE746" w14:textId="77777777" w:rsidTr="002E6DF3">
        <w:trPr>
          <w:jc w:val="center"/>
        </w:trPr>
        <w:tc>
          <w:tcPr>
            <w:tcW w:w="5222" w:type="dxa"/>
            <w:shd w:val="clear" w:color="auto" w:fill="57068C"/>
            <w:tcMar>
              <w:top w:w="70" w:type="dxa"/>
              <w:left w:w="90" w:type="dxa"/>
              <w:bottom w:w="70" w:type="dxa"/>
              <w:right w:w="90" w:type="dxa"/>
            </w:tcMar>
          </w:tcPr>
          <w:p w14:paraId="603CD917" w14:textId="77777777" w:rsidR="00A75179" w:rsidRDefault="00000000">
            <w:pPr>
              <w:spacing w:after="20"/>
              <w:rPr>
                <w:rFonts w:hint="eastAsia"/>
              </w:rPr>
            </w:pPr>
            <w:r>
              <w:rPr>
                <w:b/>
                <w:color w:val="FFFFFF"/>
                <w:sz w:val="17"/>
              </w:rPr>
              <w:t>Field</w:t>
            </w:r>
          </w:p>
        </w:tc>
        <w:tc>
          <w:tcPr>
            <w:tcW w:w="5222" w:type="dxa"/>
            <w:shd w:val="clear" w:color="auto" w:fill="57068C"/>
            <w:tcMar>
              <w:top w:w="70" w:type="dxa"/>
              <w:left w:w="90" w:type="dxa"/>
              <w:bottom w:w="70" w:type="dxa"/>
              <w:right w:w="90" w:type="dxa"/>
            </w:tcMar>
          </w:tcPr>
          <w:p w14:paraId="1961246B" w14:textId="77777777" w:rsidR="00A75179" w:rsidRDefault="00000000">
            <w:pPr>
              <w:spacing w:after="20"/>
              <w:rPr>
                <w:rFonts w:hint="eastAsia"/>
              </w:rPr>
            </w:pPr>
            <w:r>
              <w:rPr>
                <w:b/>
                <w:color w:val="FFFFFF"/>
                <w:sz w:val="17"/>
              </w:rPr>
              <w:t>Student record</w:t>
            </w:r>
          </w:p>
        </w:tc>
      </w:tr>
      <w:tr w:rsidR="00913E77" w14:paraId="793FB362" w14:textId="77777777" w:rsidTr="002E6DF3">
        <w:trPr>
          <w:jc w:val="center"/>
        </w:trPr>
        <w:tc>
          <w:tcPr>
            <w:tcW w:w="5222" w:type="dxa"/>
            <w:tcMar>
              <w:top w:w="70" w:type="dxa"/>
              <w:left w:w="90" w:type="dxa"/>
              <w:bottom w:w="70" w:type="dxa"/>
              <w:right w:w="90" w:type="dxa"/>
            </w:tcMar>
          </w:tcPr>
          <w:p w14:paraId="3CBB506E" w14:textId="77777777" w:rsidR="00913E77" w:rsidRDefault="00913E77" w:rsidP="00913E77">
            <w:pPr>
              <w:spacing w:after="20"/>
              <w:rPr>
                <w:rFonts w:hint="eastAsia"/>
              </w:rPr>
            </w:pPr>
            <w:r>
              <w:rPr>
                <w:sz w:val="17"/>
              </w:rPr>
              <w:t>Governing analytical question</w:t>
            </w:r>
          </w:p>
        </w:tc>
        <w:tc>
          <w:tcPr>
            <w:tcW w:w="5222" w:type="dxa"/>
            <w:tcMar>
              <w:top w:w="70" w:type="dxa"/>
              <w:left w:w="90" w:type="dxa"/>
              <w:bottom w:w="70" w:type="dxa"/>
              <w:right w:w="90" w:type="dxa"/>
            </w:tcMar>
            <w:vAlign w:val="center"/>
          </w:tcPr>
          <w:p w14:paraId="79096A4B" w14:textId="5B112089" w:rsidR="00913E77" w:rsidRDefault="00913E77" w:rsidP="00913E77">
            <w:pPr>
              <w:spacing w:after="20"/>
              <w:rPr>
                <w:rFonts w:hint="eastAsia"/>
              </w:rPr>
            </w:pPr>
            <w:r>
              <w:rPr>
                <w:rFonts w:ascii="Calibri" w:hAnsi="Calibri"/>
                <w:color w:val="000000"/>
                <w:sz w:val="22"/>
              </w:rPr>
              <w:t>What kind of innovation is this technology and application, and how could it create, displace, commoditize, or reshape value in this organization and business model?</w:t>
            </w:r>
            <w:r>
              <w:t xml:space="preserve"> Explicit criteria for invention, innovation, commercialization, entrepreneurship, incremental innovation, and breakthrough innovation are documented in agents/</w:t>
            </w:r>
            <w:proofErr w:type="spellStart"/>
            <w:r>
              <w:t>innovation_disruption_agent</w:t>
            </w:r>
            <w:proofErr w:type="spellEnd"/>
            <w:r>
              <w:t>/specialist_instructions.md.</w:t>
            </w:r>
          </w:p>
        </w:tc>
      </w:tr>
      <w:tr w:rsidR="00913E77" w14:paraId="1ECB4013" w14:textId="77777777" w:rsidTr="002E6DF3">
        <w:trPr>
          <w:jc w:val="center"/>
        </w:trPr>
        <w:tc>
          <w:tcPr>
            <w:tcW w:w="5222" w:type="dxa"/>
            <w:tcMar>
              <w:top w:w="70" w:type="dxa"/>
              <w:left w:w="90" w:type="dxa"/>
              <w:bottom w:w="70" w:type="dxa"/>
              <w:right w:w="90" w:type="dxa"/>
            </w:tcMar>
          </w:tcPr>
          <w:p w14:paraId="1BD1A546" w14:textId="77777777" w:rsidR="00913E77" w:rsidRDefault="00913E77" w:rsidP="00913E77">
            <w:pPr>
              <w:spacing w:after="20"/>
              <w:rPr>
                <w:rFonts w:hint="eastAsia"/>
              </w:rPr>
            </w:pPr>
            <w:r>
              <w:rPr>
                <w:sz w:val="17"/>
              </w:rPr>
              <w:t>Emerging technology</w:t>
            </w:r>
          </w:p>
        </w:tc>
        <w:tc>
          <w:tcPr>
            <w:tcW w:w="5222" w:type="dxa"/>
            <w:tcMar>
              <w:top w:w="70" w:type="dxa"/>
              <w:left w:w="90" w:type="dxa"/>
              <w:bottom w:w="70" w:type="dxa"/>
              <w:right w:w="90" w:type="dxa"/>
            </w:tcMar>
            <w:vAlign w:val="center"/>
          </w:tcPr>
          <w:p w14:paraId="54BE2CD8" w14:textId="737CA425" w:rsidR="00913E77" w:rsidRDefault="00913E77" w:rsidP="00913E77">
            <w:pPr>
              <w:spacing w:after="20"/>
              <w:rPr>
                <w:rFonts w:hint="eastAsia"/>
              </w:rPr>
            </w:pPr>
            <w:r>
              <w:rPr>
                <w:rFonts w:ascii="Calibri" w:hAnsi="Calibri"/>
                <w:color w:val="000000"/>
                <w:sz w:val="22"/>
              </w:rPr>
              <w:t>Agentic AI for bounded IT tickets. Model-directed action selection distinguishes an agent from fixed-rule paths; tools and workflow state alone are insufficient.</w:t>
            </w:r>
          </w:p>
        </w:tc>
      </w:tr>
      <w:tr w:rsidR="00913E77" w14:paraId="07ED28FB" w14:textId="77777777" w:rsidTr="002E6DF3">
        <w:trPr>
          <w:jc w:val="center"/>
        </w:trPr>
        <w:tc>
          <w:tcPr>
            <w:tcW w:w="5222" w:type="dxa"/>
            <w:tcMar>
              <w:top w:w="70" w:type="dxa"/>
              <w:left w:w="90" w:type="dxa"/>
              <w:bottom w:w="70" w:type="dxa"/>
              <w:right w:w="90" w:type="dxa"/>
            </w:tcMar>
          </w:tcPr>
          <w:p w14:paraId="7665D810" w14:textId="77777777" w:rsidR="00913E77" w:rsidRDefault="00913E77" w:rsidP="00913E77">
            <w:pPr>
              <w:spacing w:after="20"/>
              <w:rPr>
                <w:rFonts w:hint="eastAsia"/>
              </w:rPr>
            </w:pPr>
            <w:r>
              <w:rPr>
                <w:sz w:val="17"/>
              </w:rPr>
              <w:t>Intended application</w:t>
            </w:r>
          </w:p>
        </w:tc>
        <w:tc>
          <w:tcPr>
            <w:tcW w:w="5222" w:type="dxa"/>
            <w:tcMar>
              <w:top w:w="70" w:type="dxa"/>
              <w:left w:w="90" w:type="dxa"/>
              <w:bottom w:w="70" w:type="dxa"/>
              <w:right w:w="90" w:type="dxa"/>
            </w:tcMar>
            <w:vAlign w:val="center"/>
          </w:tcPr>
          <w:p w14:paraId="3C1EE2BC" w14:textId="4015C772" w:rsidR="00913E77" w:rsidRDefault="00913E77" w:rsidP="00913E77">
            <w:pPr>
              <w:spacing w:after="20"/>
              <w:rPr>
                <w:rFonts w:hint="eastAsia"/>
              </w:rPr>
            </w:pPr>
            <w:r>
              <w:rPr>
                <w:rFonts w:ascii="Calibri" w:hAnsi="Calibri"/>
                <w:color w:val="000000"/>
                <w:sz w:val="22"/>
              </w:rPr>
              <w:t>Standard IT service tickets using approved tools and knowledge, authorization checks, audit trails, and human escalation. No unrestricted autonomy.</w:t>
            </w:r>
          </w:p>
        </w:tc>
      </w:tr>
      <w:tr w:rsidR="00913E77" w14:paraId="64F02C35" w14:textId="77777777" w:rsidTr="002E6DF3">
        <w:trPr>
          <w:jc w:val="center"/>
        </w:trPr>
        <w:tc>
          <w:tcPr>
            <w:tcW w:w="5222" w:type="dxa"/>
            <w:tcMar>
              <w:top w:w="70" w:type="dxa"/>
              <w:left w:w="90" w:type="dxa"/>
              <w:bottom w:w="70" w:type="dxa"/>
              <w:right w:w="90" w:type="dxa"/>
            </w:tcMar>
          </w:tcPr>
          <w:p w14:paraId="3049E121" w14:textId="77777777" w:rsidR="00913E77" w:rsidRDefault="00913E77" w:rsidP="00913E77">
            <w:pPr>
              <w:spacing w:after="20"/>
              <w:rPr>
                <w:rFonts w:hint="eastAsia"/>
              </w:rPr>
            </w:pPr>
            <w:r>
              <w:rPr>
                <w:sz w:val="17"/>
              </w:rPr>
              <w:t>Organization / industry</w:t>
            </w:r>
          </w:p>
        </w:tc>
        <w:tc>
          <w:tcPr>
            <w:tcW w:w="5222" w:type="dxa"/>
            <w:tcMar>
              <w:top w:w="70" w:type="dxa"/>
              <w:left w:w="90" w:type="dxa"/>
              <w:bottom w:w="70" w:type="dxa"/>
              <w:right w:w="90" w:type="dxa"/>
            </w:tcMar>
            <w:vAlign w:val="center"/>
          </w:tcPr>
          <w:p w14:paraId="1D4E6E74" w14:textId="4557B712" w:rsidR="00913E77" w:rsidRDefault="00913E77" w:rsidP="00913E77">
            <w:pPr>
              <w:spacing w:after="20"/>
              <w:rPr>
                <w:rFonts w:hint="eastAsia"/>
              </w:rPr>
            </w:pPr>
            <w:r>
              <w:rPr>
                <w:rFonts w:ascii="Calibri" w:hAnsi="Calibri"/>
                <w:color w:val="000000"/>
                <w:sz w:val="22"/>
              </w:rPr>
              <w:t xml:space="preserve">All organizational details are hypothetical: internal corporate IT cost center; outsourced hour-billed IT </w:t>
            </w:r>
            <w:r>
              <w:rPr>
                <w:rFonts w:ascii="Calibri" w:hAnsi="Calibri"/>
                <w:color w:val="000000"/>
                <w:sz w:val="22"/>
              </w:rPr>
              <w:lastRenderedPageBreak/>
              <w:t>provider; provider with unspecified pricing. Supplementary case adds explicit materiality premises to outsourced service.</w:t>
            </w:r>
          </w:p>
        </w:tc>
      </w:tr>
      <w:tr w:rsidR="00913E77" w14:paraId="6DD72DE3" w14:textId="77777777" w:rsidTr="002E6DF3">
        <w:trPr>
          <w:jc w:val="center"/>
        </w:trPr>
        <w:tc>
          <w:tcPr>
            <w:tcW w:w="5222" w:type="dxa"/>
            <w:tcMar>
              <w:top w:w="70" w:type="dxa"/>
              <w:left w:w="90" w:type="dxa"/>
              <w:bottom w:w="70" w:type="dxa"/>
              <w:right w:w="90" w:type="dxa"/>
            </w:tcMar>
          </w:tcPr>
          <w:p w14:paraId="6CDCE5D0" w14:textId="77777777" w:rsidR="00913E77" w:rsidRDefault="00913E77" w:rsidP="00913E77">
            <w:pPr>
              <w:spacing w:after="20"/>
              <w:rPr>
                <w:rFonts w:hint="eastAsia"/>
              </w:rPr>
            </w:pPr>
            <w:r>
              <w:rPr>
                <w:sz w:val="17"/>
              </w:rPr>
              <w:lastRenderedPageBreak/>
              <w:t>Adoption posture</w:t>
            </w:r>
          </w:p>
        </w:tc>
        <w:tc>
          <w:tcPr>
            <w:tcW w:w="5222" w:type="dxa"/>
            <w:tcMar>
              <w:top w:w="70" w:type="dxa"/>
              <w:left w:w="90" w:type="dxa"/>
              <w:bottom w:w="70" w:type="dxa"/>
              <w:right w:w="90" w:type="dxa"/>
            </w:tcMar>
            <w:vAlign w:val="center"/>
          </w:tcPr>
          <w:p w14:paraId="7169405D" w14:textId="78A5E6E3" w:rsidR="00913E77" w:rsidRDefault="00913E77" w:rsidP="00913E77">
            <w:pPr>
              <w:spacing w:after="20"/>
              <w:rPr>
                <w:rFonts w:hint="eastAsia"/>
              </w:rPr>
            </w:pPr>
            <w:r>
              <w:rPr>
                <w:rFonts w:ascii="Calibri" w:hAnsi="Calibri"/>
                <w:color w:val="000000"/>
                <w:sz w:val="22"/>
              </w:rPr>
              <w:t xml:space="preserve">Moderate / </w:t>
            </w:r>
            <w:proofErr w:type="gramStart"/>
            <w:r>
              <w:rPr>
                <w:rFonts w:ascii="Calibri" w:hAnsi="Calibri"/>
                <w:color w:val="000000"/>
                <w:sz w:val="22"/>
              </w:rPr>
              <w:t>fast-follower</w:t>
            </w:r>
            <w:proofErr w:type="gramEnd"/>
            <w:r>
              <w:rPr>
                <w:rFonts w:ascii="Calibri" w:hAnsi="Calibri"/>
                <w:color w:val="000000"/>
                <w:sz w:val="22"/>
              </w:rPr>
              <w:t xml:space="preserve"> in every case.</w:t>
            </w:r>
          </w:p>
        </w:tc>
      </w:tr>
      <w:tr w:rsidR="00913E77" w14:paraId="145657B4" w14:textId="77777777" w:rsidTr="002E6DF3">
        <w:trPr>
          <w:jc w:val="center"/>
        </w:trPr>
        <w:tc>
          <w:tcPr>
            <w:tcW w:w="5222" w:type="dxa"/>
            <w:tcMar>
              <w:top w:w="70" w:type="dxa"/>
              <w:left w:w="90" w:type="dxa"/>
              <w:bottom w:w="70" w:type="dxa"/>
              <w:right w:w="90" w:type="dxa"/>
            </w:tcMar>
          </w:tcPr>
          <w:p w14:paraId="73085246" w14:textId="77777777" w:rsidR="00913E77" w:rsidRDefault="00913E77" w:rsidP="00913E77">
            <w:pPr>
              <w:spacing w:after="20"/>
              <w:rPr>
                <w:rFonts w:hint="eastAsia"/>
              </w:rPr>
            </w:pPr>
            <w:r>
              <w:rPr>
                <w:sz w:val="17"/>
              </w:rPr>
              <w:t>Risk / consequence context</w:t>
            </w:r>
          </w:p>
        </w:tc>
        <w:tc>
          <w:tcPr>
            <w:tcW w:w="5222" w:type="dxa"/>
            <w:tcMar>
              <w:top w:w="70" w:type="dxa"/>
              <w:left w:w="90" w:type="dxa"/>
              <w:bottom w:w="70" w:type="dxa"/>
              <w:right w:w="90" w:type="dxa"/>
            </w:tcMar>
            <w:vAlign w:val="center"/>
          </w:tcPr>
          <w:p w14:paraId="21494E87" w14:textId="415344CA" w:rsidR="00913E77" w:rsidRDefault="00913E77" w:rsidP="00913E77">
            <w:pPr>
              <w:spacing w:after="20"/>
              <w:rPr>
                <w:rFonts w:hint="eastAsia"/>
              </w:rPr>
            </w:pPr>
            <w:r>
              <w:rPr>
                <w:rFonts w:ascii="Calibri" w:hAnsi="Calibri"/>
                <w:color w:val="000000"/>
                <w:sz w:val="22"/>
              </w:rPr>
              <w:t>Only explicitly authorized low-risk actions; high-risk, exceptional, unclear, or ambiguous requests require human escalation. The analyst agent executes no service actions.</w:t>
            </w:r>
          </w:p>
        </w:tc>
      </w:tr>
      <w:tr w:rsidR="00913E77" w14:paraId="2353AE1C" w14:textId="77777777" w:rsidTr="002E6DF3">
        <w:trPr>
          <w:jc w:val="center"/>
        </w:trPr>
        <w:tc>
          <w:tcPr>
            <w:tcW w:w="5222" w:type="dxa"/>
            <w:tcMar>
              <w:top w:w="70" w:type="dxa"/>
              <w:left w:w="90" w:type="dxa"/>
              <w:bottom w:w="70" w:type="dxa"/>
              <w:right w:w="90" w:type="dxa"/>
            </w:tcMar>
          </w:tcPr>
          <w:p w14:paraId="4F6F52E1" w14:textId="77777777" w:rsidR="00913E77" w:rsidRDefault="00913E77" w:rsidP="00913E77">
            <w:pPr>
              <w:spacing w:after="20"/>
              <w:rPr>
                <w:rFonts w:hint="eastAsia"/>
              </w:rPr>
            </w:pPr>
            <w:r>
              <w:rPr>
                <w:sz w:val="17"/>
              </w:rPr>
              <w:t>Management question / time horizon</w:t>
            </w:r>
          </w:p>
        </w:tc>
        <w:tc>
          <w:tcPr>
            <w:tcW w:w="5222" w:type="dxa"/>
            <w:tcMar>
              <w:top w:w="70" w:type="dxa"/>
              <w:left w:w="90" w:type="dxa"/>
              <w:bottom w:w="70" w:type="dxa"/>
              <w:right w:w="90" w:type="dxa"/>
            </w:tcMar>
            <w:vAlign w:val="center"/>
          </w:tcPr>
          <w:p w14:paraId="7CCB6E4E" w14:textId="602A60A9" w:rsidR="00913E77" w:rsidRDefault="00913E77" w:rsidP="00913E77">
            <w:pPr>
              <w:spacing w:after="20"/>
              <w:rPr>
                <w:rFonts w:hint="eastAsia"/>
              </w:rPr>
            </w:pPr>
            <w:r>
              <w:rPr>
                <w:rFonts w:ascii="Calibri" w:hAnsi="Calibri"/>
                <w:color w:val="000000"/>
                <w:sz w:val="22"/>
              </w:rPr>
              <w:t>Interpret innovation significance and business-model exposure at general, application, and organization levels. Horizon: one year; no actual implementation date assumed.</w:t>
            </w:r>
          </w:p>
        </w:tc>
      </w:tr>
    </w:tbl>
    <w:p w14:paraId="5C4B20BE" w14:textId="77777777" w:rsidR="00A75179" w:rsidRDefault="00000000">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A75179" w14:paraId="4355C3A1" w14:textId="77777777" w:rsidTr="002E6DF3">
        <w:trPr>
          <w:jc w:val="center"/>
        </w:trPr>
        <w:tc>
          <w:tcPr>
            <w:tcW w:w="5222" w:type="dxa"/>
            <w:shd w:val="clear" w:color="auto" w:fill="57068C"/>
            <w:tcMar>
              <w:top w:w="70" w:type="dxa"/>
              <w:left w:w="90" w:type="dxa"/>
              <w:bottom w:w="70" w:type="dxa"/>
              <w:right w:w="90" w:type="dxa"/>
            </w:tcMar>
          </w:tcPr>
          <w:p w14:paraId="4933F82F" w14:textId="77777777" w:rsidR="00A75179" w:rsidRDefault="00000000">
            <w:pPr>
              <w:spacing w:after="20"/>
              <w:rPr>
                <w:rFonts w:hint="eastAsia"/>
              </w:rPr>
            </w:pPr>
            <w:r>
              <w:rPr>
                <w:b/>
                <w:color w:val="FFFFFF"/>
                <w:sz w:val="17"/>
              </w:rPr>
              <w:t>Field</w:t>
            </w:r>
          </w:p>
        </w:tc>
        <w:tc>
          <w:tcPr>
            <w:tcW w:w="5222" w:type="dxa"/>
            <w:shd w:val="clear" w:color="auto" w:fill="57068C"/>
            <w:tcMar>
              <w:top w:w="70" w:type="dxa"/>
              <w:left w:w="90" w:type="dxa"/>
              <w:bottom w:w="70" w:type="dxa"/>
              <w:right w:w="90" w:type="dxa"/>
            </w:tcMar>
          </w:tcPr>
          <w:p w14:paraId="69C4F0C6" w14:textId="77777777" w:rsidR="00A75179" w:rsidRDefault="00000000">
            <w:pPr>
              <w:spacing w:after="20"/>
              <w:rPr>
                <w:rFonts w:hint="eastAsia"/>
              </w:rPr>
            </w:pPr>
            <w:r>
              <w:rPr>
                <w:b/>
                <w:color w:val="FFFFFF"/>
                <w:sz w:val="17"/>
              </w:rPr>
              <w:t>Student record</w:t>
            </w:r>
          </w:p>
        </w:tc>
      </w:tr>
      <w:tr w:rsidR="00913E77" w14:paraId="0C60A5F7" w14:textId="77777777" w:rsidTr="002E6DF3">
        <w:trPr>
          <w:jc w:val="center"/>
        </w:trPr>
        <w:tc>
          <w:tcPr>
            <w:tcW w:w="5222" w:type="dxa"/>
            <w:tcMar>
              <w:top w:w="70" w:type="dxa"/>
              <w:left w:w="90" w:type="dxa"/>
              <w:bottom w:w="70" w:type="dxa"/>
              <w:right w:w="90" w:type="dxa"/>
            </w:tcMar>
          </w:tcPr>
          <w:p w14:paraId="4C3EE050" w14:textId="77777777" w:rsidR="00913E77" w:rsidRDefault="00913E77" w:rsidP="00913E77">
            <w:pPr>
              <w:spacing w:after="20"/>
              <w:rPr>
                <w:rFonts w:hint="eastAsia"/>
              </w:rPr>
            </w:pPr>
            <w:r>
              <w:rPr>
                <w:sz w:val="17"/>
              </w:rPr>
              <w:t>ET generally</w:t>
            </w:r>
          </w:p>
        </w:tc>
        <w:tc>
          <w:tcPr>
            <w:tcW w:w="5222" w:type="dxa"/>
            <w:tcMar>
              <w:top w:w="70" w:type="dxa"/>
              <w:left w:w="90" w:type="dxa"/>
              <w:bottom w:w="70" w:type="dxa"/>
              <w:right w:w="90" w:type="dxa"/>
            </w:tcMar>
            <w:vAlign w:val="center"/>
          </w:tcPr>
          <w:p w14:paraId="23303B53" w14:textId="1C0F580F" w:rsidR="00913E77" w:rsidRDefault="00913E77" w:rsidP="00913E77">
            <w:pPr>
              <w:spacing w:after="20"/>
              <w:rPr>
                <w:rFonts w:hint="eastAsia"/>
              </w:rPr>
            </w:pPr>
            <w:r>
              <w:rPr>
                <w:rFonts w:ascii="Calibri" w:hAnsi="Calibri"/>
                <w:color w:val="000000"/>
                <w:sz w:val="22"/>
              </w:rPr>
              <w:t>Demonstrated reasoning/action research approach; vendor-described ITSM functionality and announced commercial offerings. Availability does not prove uptake or profitability; entrepreneurship is unestablished. Innovation degree remains uncertain/mixed against conventional automation; no global breakthrough claim.</w:t>
            </w:r>
          </w:p>
        </w:tc>
      </w:tr>
      <w:tr w:rsidR="00913E77" w14:paraId="4039B522" w14:textId="77777777" w:rsidTr="002E6DF3">
        <w:trPr>
          <w:jc w:val="center"/>
        </w:trPr>
        <w:tc>
          <w:tcPr>
            <w:tcW w:w="5222" w:type="dxa"/>
            <w:tcMar>
              <w:top w:w="70" w:type="dxa"/>
              <w:left w:w="90" w:type="dxa"/>
              <w:bottom w:w="70" w:type="dxa"/>
              <w:right w:w="90" w:type="dxa"/>
            </w:tcMar>
          </w:tcPr>
          <w:p w14:paraId="72CB9ACB" w14:textId="77777777" w:rsidR="00913E77" w:rsidRDefault="00913E77" w:rsidP="00913E77">
            <w:pPr>
              <w:spacing w:after="20"/>
              <w:rPr>
                <w:rFonts w:hint="eastAsia"/>
              </w:rPr>
            </w:pPr>
            <w:r>
              <w:rPr>
                <w:sz w:val="17"/>
              </w:rPr>
              <w:t>ET for this application</w:t>
            </w:r>
          </w:p>
        </w:tc>
        <w:tc>
          <w:tcPr>
            <w:tcW w:w="5222" w:type="dxa"/>
            <w:tcMar>
              <w:top w:w="70" w:type="dxa"/>
              <w:left w:w="90" w:type="dxa"/>
              <w:bottom w:w="70" w:type="dxa"/>
              <w:right w:w="90" w:type="dxa"/>
            </w:tcMar>
            <w:vAlign w:val="center"/>
          </w:tcPr>
          <w:p w14:paraId="07FE4214" w14:textId="2DDBB443" w:rsidR="00913E77" w:rsidRDefault="00913E77" w:rsidP="00913E77">
            <w:pPr>
              <w:spacing w:after="20"/>
              <w:rPr>
                <w:rFonts w:hint="eastAsia"/>
              </w:rPr>
            </w:pPr>
            <w:r>
              <w:rPr>
                <w:rFonts w:ascii="Calibri" w:hAnsi="Calibri"/>
                <w:color w:val="000000"/>
                <w:sz w:val="22"/>
              </w:rPr>
              <w:t>Proposed process innovation in standard-ticket delivery; incremental optimization and substantial local process change are competing interpretations. Original cases establish no measured local value. Supplementary pilot support is hypothetical and does not establish general reliability or model-directed control.</w:t>
            </w:r>
          </w:p>
        </w:tc>
      </w:tr>
      <w:tr w:rsidR="00913E77" w14:paraId="603F2205" w14:textId="77777777" w:rsidTr="002E6DF3">
        <w:trPr>
          <w:jc w:val="center"/>
        </w:trPr>
        <w:tc>
          <w:tcPr>
            <w:tcW w:w="5222" w:type="dxa"/>
            <w:tcMar>
              <w:top w:w="70" w:type="dxa"/>
              <w:left w:w="90" w:type="dxa"/>
              <w:bottom w:w="70" w:type="dxa"/>
              <w:right w:w="90" w:type="dxa"/>
            </w:tcMar>
          </w:tcPr>
          <w:p w14:paraId="00E6B837" w14:textId="77777777" w:rsidR="00913E77" w:rsidRDefault="00913E77" w:rsidP="00913E77">
            <w:pPr>
              <w:spacing w:after="20"/>
              <w:rPr>
                <w:rFonts w:hint="eastAsia"/>
              </w:rPr>
            </w:pPr>
            <w:r>
              <w:rPr>
                <w:sz w:val="17"/>
              </w:rPr>
              <w:t>ET for this application in this organization</w:t>
            </w:r>
          </w:p>
        </w:tc>
        <w:tc>
          <w:tcPr>
            <w:tcW w:w="5222" w:type="dxa"/>
            <w:tcMar>
              <w:top w:w="70" w:type="dxa"/>
              <w:left w:w="90" w:type="dxa"/>
              <w:bottom w:w="70" w:type="dxa"/>
              <w:right w:w="90" w:type="dxa"/>
            </w:tcMar>
            <w:vAlign w:val="center"/>
          </w:tcPr>
          <w:p w14:paraId="2E35C7CF" w14:textId="5814303B" w:rsidR="00913E77" w:rsidRDefault="00913E77" w:rsidP="00913E77">
            <w:pPr>
              <w:spacing w:after="20"/>
              <w:rPr>
                <w:rFonts w:hint="eastAsia"/>
              </w:rPr>
            </w:pPr>
            <w:r>
              <w:rPr>
                <w:rFonts w:ascii="Calibri" w:hAnsi="Calibri"/>
                <w:color w:val="000000"/>
                <w:sz w:val="22"/>
              </w:rPr>
              <w:t>Primary: capacity, cost, delivery, and funding mechanisms; v0.2 withholds severity because materiality is missing. Hour-billed contrast: substitution may reduce chargeable activity, subject to terms and offsets; severity withheld. Unspecified pricing: request the capture basis and keep alternatives conditional. Supplementary: conditional High capture exposure; 60% affected revenue × 50% effort substitution implies approximately 30% baseline revenue exposure at full realization, not actual loss, profit change, or insolvency.</w:t>
            </w:r>
          </w:p>
        </w:tc>
      </w:tr>
      <w:tr w:rsidR="00913E77" w14:paraId="6CD34640" w14:textId="77777777" w:rsidTr="002E6DF3">
        <w:trPr>
          <w:jc w:val="center"/>
        </w:trPr>
        <w:tc>
          <w:tcPr>
            <w:tcW w:w="5222" w:type="dxa"/>
            <w:tcMar>
              <w:top w:w="70" w:type="dxa"/>
              <w:left w:w="90" w:type="dxa"/>
              <w:bottom w:w="70" w:type="dxa"/>
              <w:right w:w="90" w:type="dxa"/>
            </w:tcMar>
          </w:tcPr>
          <w:p w14:paraId="71090CA4" w14:textId="77777777" w:rsidR="00913E77" w:rsidRDefault="00913E77" w:rsidP="00913E77">
            <w:pPr>
              <w:spacing w:after="20"/>
              <w:rPr>
                <w:rFonts w:hint="eastAsia"/>
              </w:rPr>
            </w:pPr>
            <w:r>
              <w:rPr>
                <w:sz w:val="17"/>
              </w:rPr>
              <w:t>Bounded management implication</w:t>
            </w:r>
          </w:p>
        </w:tc>
        <w:tc>
          <w:tcPr>
            <w:tcW w:w="5222" w:type="dxa"/>
            <w:tcMar>
              <w:top w:w="70" w:type="dxa"/>
              <w:left w:w="90" w:type="dxa"/>
              <w:bottom w:w="70" w:type="dxa"/>
              <w:right w:w="90" w:type="dxa"/>
            </w:tcMar>
            <w:vAlign w:val="center"/>
          </w:tcPr>
          <w:p w14:paraId="0336EA9D" w14:textId="08745885" w:rsidR="00913E77" w:rsidRDefault="00913E77" w:rsidP="00913E77">
            <w:pPr>
              <w:spacing w:after="20"/>
              <w:rPr>
                <w:rFonts w:hint="eastAsia"/>
              </w:rPr>
            </w:pPr>
            <w:r>
              <w:rPr>
                <w:rFonts w:ascii="Calibri" w:hAnsi="Calibri"/>
                <w:color w:val="000000"/>
                <w:sz w:val="22"/>
              </w:rPr>
              <w:t xml:space="preserve">Assess value created through service capacity and effort substitution alongside displaced routine effort and chargeable hours. Stage contract-compatible analysis and examine adaptation; this specialist does not approve deployment. Refer adoption to Adoption; readiness/governance to Organizational Adoption; </w:t>
            </w:r>
            <w:r>
              <w:rPr>
                <w:rFonts w:ascii="Calibri" w:hAnsi="Calibri"/>
                <w:color w:val="000000"/>
                <w:sz w:val="22"/>
              </w:rPr>
              <w:lastRenderedPageBreak/>
              <w:t>alternatives/competitors to Landscape; timing/spread to Diffusion; civilization-scale significance to Promethean.</w:t>
            </w:r>
            <w:r>
              <w:t xml:space="preserve"> Early adoption could introduce service errors and implementation costs, while delaying a response could leave the organization exposed if competitors deliver comparable service more efficiently. Current evidence does not establish competitor adoption; both risks require assessment.</w:t>
            </w:r>
          </w:p>
        </w:tc>
      </w:tr>
      <w:tr w:rsidR="00913E77" w14:paraId="31BD14F3" w14:textId="77777777" w:rsidTr="002E6DF3">
        <w:trPr>
          <w:jc w:val="center"/>
        </w:trPr>
        <w:tc>
          <w:tcPr>
            <w:tcW w:w="5222" w:type="dxa"/>
            <w:tcMar>
              <w:top w:w="70" w:type="dxa"/>
              <w:left w:w="90" w:type="dxa"/>
              <w:bottom w:w="70" w:type="dxa"/>
              <w:right w:w="90" w:type="dxa"/>
            </w:tcMar>
          </w:tcPr>
          <w:p w14:paraId="003AEE75" w14:textId="77777777" w:rsidR="00913E77" w:rsidRDefault="00913E77" w:rsidP="00913E77">
            <w:pPr>
              <w:spacing w:after="20"/>
              <w:rPr>
                <w:rFonts w:hint="eastAsia"/>
              </w:rPr>
            </w:pPr>
            <w:r>
              <w:rPr>
                <w:sz w:val="17"/>
              </w:rPr>
              <w:lastRenderedPageBreak/>
              <w:t>Confidence / uncertainty</w:t>
            </w:r>
          </w:p>
        </w:tc>
        <w:tc>
          <w:tcPr>
            <w:tcW w:w="5222" w:type="dxa"/>
            <w:tcMar>
              <w:top w:w="70" w:type="dxa"/>
              <w:left w:w="90" w:type="dxa"/>
              <w:bottom w:w="70" w:type="dxa"/>
              <w:right w:w="90" w:type="dxa"/>
            </w:tcMar>
            <w:vAlign w:val="center"/>
          </w:tcPr>
          <w:p w14:paraId="6FDAA371" w14:textId="7FF77E80" w:rsidR="00913E77" w:rsidRDefault="00913E77" w:rsidP="00913E77">
            <w:pPr>
              <w:spacing w:after="20"/>
              <w:rPr>
                <w:rFonts w:hint="eastAsia"/>
              </w:rPr>
            </w:pPr>
            <w:r>
              <w:rPr>
                <w:rFonts w:ascii="Calibri" w:hAnsi="Calibri"/>
                <w:color w:val="000000"/>
                <w:sz w:val="22"/>
              </w:rPr>
              <w:t>Narrow general claims are supported; degree classification remains qualified. Original organizational severity lacks decisive economic evidence. Supplementary capture judgment is supported only within stipulated premises; rollout, costs, and adaptation remain uncertain. Safeguards do not prove limited economic impact.</w:t>
            </w:r>
          </w:p>
        </w:tc>
      </w:tr>
      <w:tr w:rsidR="00913E77" w14:paraId="6347CF09" w14:textId="77777777" w:rsidTr="002E6DF3">
        <w:trPr>
          <w:jc w:val="center"/>
        </w:trPr>
        <w:tc>
          <w:tcPr>
            <w:tcW w:w="5222" w:type="dxa"/>
            <w:tcMar>
              <w:top w:w="70" w:type="dxa"/>
              <w:left w:w="90" w:type="dxa"/>
              <w:bottom w:w="70" w:type="dxa"/>
              <w:right w:w="90" w:type="dxa"/>
            </w:tcMar>
          </w:tcPr>
          <w:p w14:paraId="3DD9698C" w14:textId="77777777" w:rsidR="00913E77" w:rsidRDefault="00913E77" w:rsidP="00913E77">
            <w:pPr>
              <w:spacing w:after="20"/>
              <w:rPr>
                <w:rFonts w:hint="eastAsia"/>
              </w:rPr>
            </w:pPr>
            <w:r>
              <w:rPr>
                <w:sz w:val="17"/>
              </w:rPr>
              <w:t>What evidence or condition would change the conclusion</w:t>
            </w:r>
          </w:p>
        </w:tc>
        <w:tc>
          <w:tcPr>
            <w:tcW w:w="5222" w:type="dxa"/>
            <w:tcMar>
              <w:top w:w="70" w:type="dxa"/>
              <w:left w:w="90" w:type="dxa"/>
              <w:bottom w:w="70" w:type="dxa"/>
              <w:right w:w="90" w:type="dxa"/>
            </w:tcMar>
            <w:vAlign w:val="center"/>
          </w:tcPr>
          <w:p w14:paraId="58B2ED56" w14:textId="6CD413DD" w:rsidR="00913E77" w:rsidRDefault="00913E77" w:rsidP="00913E77">
            <w:pPr>
              <w:spacing w:after="20"/>
              <w:rPr>
                <w:rFonts w:hint="eastAsia"/>
              </w:rPr>
            </w:pPr>
            <w:r>
              <w:rPr>
                <w:rFonts w:ascii="Calibri" w:hAnsi="Calibri"/>
                <w:color w:val="000000"/>
                <w:sz w:val="22"/>
              </w:rPr>
              <w:t>Comparative conventional-automation results and action-selection traces could refine innovation degree. Affected-work scale, cost/funding dependence, chargeable share, actual pricing/terms, rollout coverage, and feasible adaptation could change severity. Net-profit and viability claims need relevant financial evidence.</w:t>
            </w:r>
          </w:p>
        </w:tc>
      </w:tr>
    </w:tbl>
    <w:p w14:paraId="54DE8175" w14:textId="77777777" w:rsidR="00A75179" w:rsidRDefault="00000000">
      <w:pPr>
        <w:pStyle w:val="Heading1"/>
      </w:pPr>
      <w:r>
        <w:t>D. Evidence and Testing</w:t>
      </w:r>
    </w:p>
    <w:tbl>
      <w:tblPr>
        <w:tblStyle w:val="TableGrid"/>
        <w:tblW w:w="0" w:type="auto"/>
        <w:jc w:val="center"/>
        <w:tblLook w:val="04A0" w:firstRow="1" w:lastRow="0" w:firstColumn="1" w:lastColumn="0" w:noHBand="0" w:noVBand="1"/>
      </w:tblPr>
      <w:tblGrid>
        <w:gridCol w:w="5114"/>
        <w:gridCol w:w="5330"/>
      </w:tblGrid>
      <w:tr w:rsidR="00A75179" w14:paraId="6B2D7428" w14:textId="77777777" w:rsidTr="00B95843">
        <w:trPr>
          <w:jc w:val="center"/>
        </w:trPr>
        <w:tc>
          <w:tcPr>
            <w:tcW w:w="5114" w:type="dxa"/>
            <w:shd w:val="clear" w:color="auto" w:fill="57068C"/>
            <w:tcMar>
              <w:top w:w="70" w:type="dxa"/>
              <w:left w:w="90" w:type="dxa"/>
              <w:bottom w:w="70" w:type="dxa"/>
              <w:right w:w="90" w:type="dxa"/>
            </w:tcMar>
          </w:tcPr>
          <w:p w14:paraId="771942A3" w14:textId="77777777" w:rsidR="00A75179" w:rsidRDefault="00000000">
            <w:pPr>
              <w:spacing w:after="20"/>
              <w:rPr>
                <w:rFonts w:hint="eastAsia"/>
              </w:rPr>
            </w:pPr>
            <w:r>
              <w:rPr>
                <w:b/>
                <w:color w:val="FFFFFF"/>
                <w:sz w:val="17"/>
              </w:rPr>
              <w:t>Field</w:t>
            </w:r>
          </w:p>
        </w:tc>
        <w:tc>
          <w:tcPr>
            <w:tcW w:w="5330" w:type="dxa"/>
            <w:shd w:val="clear" w:color="auto" w:fill="57068C"/>
            <w:tcMar>
              <w:top w:w="70" w:type="dxa"/>
              <w:left w:w="90" w:type="dxa"/>
              <w:bottom w:w="70" w:type="dxa"/>
              <w:right w:w="90" w:type="dxa"/>
            </w:tcMar>
          </w:tcPr>
          <w:p w14:paraId="1F1E5EF4" w14:textId="77777777" w:rsidR="00A75179" w:rsidRDefault="00000000">
            <w:pPr>
              <w:spacing w:after="20"/>
              <w:rPr>
                <w:rFonts w:hint="eastAsia"/>
              </w:rPr>
            </w:pPr>
            <w:r>
              <w:rPr>
                <w:b/>
                <w:color w:val="FFFFFF"/>
                <w:sz w:val="17"/>
              </w:rPr>
              <w:t>Student record</w:t>
            </w:r>
          </w:p>
        </w:tc>
      </w:tr>
      <w:tr w:rsidR="00913E77" w14:paraId="01A3B95C" w14:textId="77777777" w:rsidTr="00B95843">
        <w:trPr>
          <w:jc w:val="center"/>
        </w:trPr>
        <w:tc>
          <w:tcPr>
            <w:tcW w:w="5114" w:type="dxa"/>
            <w:tcMar>
              <w:top w:w="70" w:type="dxa"/>
              <w:left w:w="90" w:type="dxa"/>
              <w:bottom w:w="70" w:type="dxa"/>
              <w:right w:w="90" w:type="dxa"/>
            </w:tcMar>
          </w:tcPr>
          <w:p w14:paraId="49CE013E" w14:textId="77777777" w:rsidR="00913E77" w:rsidRDefault="00913E77" w:rsidP="00913E77">
            <w:pPr>
              <w:spacing w:after="20"/>
              <w:rPr>
                <w:rFonts w:hint="eastAsia"/>
              </w:rPr>
            </w:pPr>
            <w:r>
              <w:rPr>
                <w:sz w:val="17"/>
              </w:rPr>
              <w:t>Most important evidence/source(s)</w:t>
            </w:r>
          </w:p>
        </w:tc>
        <w:tc>
          <w:tcPr>
            <w:tcW w:w="5330" w:type="dxa"/>
            <w:tcMar>
              <w:top w:w="70" w:type="dxa"/>
              <w:left w:w="90" w:type="dxa"/>
              <w:bottom w:w="70" w:type="dxa"/>
              <w:right w:w="90" w:type="dxa"/>
            </w:tcMar>
            <w:vAlign w:val="center"/>
          </w:tcPr>
          <w:p w14:paraId="7F1271C6" w14:textId="3A55800B" w:rsidR="00913E77" w:rsidRDefault="00913E77" w:rsidP="00913E77">
            <w:pPr>
              <w:spacing w:after="20"/>
              <w:rPr>
                <w:rFonts w:hint="eastAsia"/>
              </w:rPr>
            </w:pPr>
            <w:r>
              <w:rPr>
                <w:rFonts w:ascii="Calibri" w:hAnsi="Calibri"/>
                <w:color w:val="000000"/>
                <w:sz w:val="22"/>
              </w:rPr>
              <w:t xml:space="preserve">E1 </w:t>
            </w:r>
            <w:proofErr w:type="spellStart"/>
            <w:r>
              <w:rPr>
                <w:rFonts w:ascii="Calibri" w:hAnsi="Calibri"/>
                <w:color w:val="000000"/>
                <w:sz w:val="22"/>
              </w:rPr>
              <w:t>ReAct</w:t>
            </w:r>
            <w:proofErr w:type="spellEnd"/>
            <w:r>
              <w:rPr>
                <w:rFonts w:ascii="Calibri" w:hAnsi="Calibri"/>
                <w:color w:val="000000"/>
                <w:sz w:val="22"/>
              </w:rPr>
              <w:t>, submitted 2022-10-06; revised 2023-03-10: https://arxiv.org/abs/2210.03629</w:t>
            </w:r>
            <w:r>
              <w:rPr>
                <w:rFonts w:ascii="Calibri" w:hAnsi="Calibri"/>
                <w:color w:val="000000"/>
                <w:sz w:val="22"/>
              </w:rPr>
              <w:br/>
              <w:t>E2 Building effective agents, 2024-12-19: https://www.anthropic.com/engineering/building-effective-agents</w:t>
            </w:r>
            <w:r>
              <w:rPr>
                <w:rFonts w:ascii="Calibri" w:hAnsi="Calibri"/>
                <w:color w:val="000000"/>
                <w:sz w:val="22"/>
              </w:rPr>
              <w:br/>
              <w:t>E3 ServiceNow platform release announcement, 2025-03-12: exact URL and scope in records/evidence_register.md. Supports announced availability only.</w:t>
            </w:r>
            <w:r>
              <w:rPr>
                <w:rFonts w:ascii="Calibri" w:hAnsi="Calibri"/>
                <w:color w:val="000000"/>
                <w:sz w:val="22"/>
              </w:rPr>
              <w:br/>
              <w:t xml:space="preserve">E4 </w:t>
            </w:r>
            <w:proofErr w:type="spellStart"/>
            <w:r>
              <w:rPr>
                <w:rFonts w:ascii="Calibri" w:hAnsi="Calibri"/>
                <w:color w:val="000000"/>
                <w:sz w:val="22"/>
              </w:rPr>
              <w:t>ITBench</w:t>
            </w:r>
            <w:proofErr w:type="spellEnd"/>
            <w:r>
              <w:rPr>
                <w:rFonts w:ascii="Calibri" w:hAnsi="Calibri"/>
                <w:color w:val="000000"/>
                <w:sz w:val="22"/>
              </w:rPr>
              <w:t>, submitted 2025-02-07: https://arxiv.org/abs/2502.05352</w:t>
            </w:r>
            <w:r>
              <w:rPr>
                <w:rFonts w:ascii="Calibri" w:hAnsi="Calibri"/>
                <w:color w:val="000000"/>
                <w:sz w:val="22"/>
              </w:rPr>
              <w:br/>
              <w:t>E5 ServiceNow ITSM release notes, dated May/August 2025 and January 2026: https://www.servicenow.com/docs/r/yokohama/release-notes/now-assist-for-itsm-rn.html</w:t>
            </w:r>
            <w:r>
              <w:rPr>
                <w:rFonts w:ascii="Calibri" w:hAnsi="Calibri"/>
                <w:color w:val="000000"/>
                <w:sz w:val="22"/>
              </w:rPr>
              <w:br/>
              <w:t>All accessed 2026-10-10. Research is author-reported; vendor sources establish descriptions/offerings, not independent effectiveness, adoption, profitability, or disruption. Full titles, URLs, inspection scope, dates, limitations, and claim mapping are preserved in the evidence register.</w:t>
            </w:r>
          </w:p>
        </w:tc>
      </w:tr>
      <w:tr w:rsidR="00913E77" w14:paraId="7FED655E" w14:textId="77777777" w:rsidTr="00B95843">
        <w:trPr>
          <w:jc w:val="center"/>
        </w:trPr>
        <w:tc>
          <w:tcPr>
            <w:tcW w:w="5114" w:type="dxa"/>
            <w:tcMar>
              <w:top w:w="70" w:type="dxa"/>
              <w:left w:w="90" w:type="dxa"/>
              <w:bottom w:w="70" w:type="dxa"/>
              <w:right w:w="90" w:type="dxa"/>
            </w:tcMar>
          </w:tcPr>
          <w:p w14:paraId="010ABEA4" w14:textId="77777777" w:rsidR="00913E77" w:rsidRDefault="00913E77" w:rsidP="00913E77">
            <w:pPr>
              <w:spacing w:after="20"/>
              <w:rPr>
                <w:rFonts w:hint="eastAsia"/>
              </w:rPr>
            </w:pPr>
            <w:r>
              <w:rPr>
                <w:sz w:val="17"/>
              </w:rPr>
              <w:lastRenderedPageBreak/>
              <w:t>Primary test - result</w:t>
            </w:r>
          </w:p>
        </w:tc>
        <w:tc>
          <w:tcPr>
            <w:tcW w:w="5330" w:type="dxa"/>
            <w:tcMar>
              <w:top w:w="70" w:type="dxa"/>
              <w:left w:w="90" w:type="dxa"/>
              <w:bottom w:w="70" w:type="dxa"/>
              <w:right w:w="90" w:type="dxa"/>
            </w:tcMar>
            <w:vAlign w:val="center"/>
          </w:tcPr>
          <w:p w14:paraId="1440403F" w14:textId="01E9D20F" w:rsidR="00913E77" w:rsidRDefault="00913E77" w:rsidP="00913E77">
            <w:pPr>
              <w:spacing w:after="20"/>
              <w:rPr>
                <w:rFonts w:hint="eastAsia"/>
              </w:rPr>
            </w:pPr>
            <w:r>
              <w:rPr>
                <w:rFonts w:ascii="Calibri" w:hAnsi="Calibri"/>
                <w:color w:val="000000"/>
                <w:sz w:val="22"/>
              </w:rPr>
              <w:t>v0.1: provisional Low judgment was under-supported by unspecified economic scale. v0.</w:t>
            </w:r>
            <w:proofErr w:type="gramStart"/>
            <w:r>
              <w:rPr>
                <w:rFonts w:ascii="Calibri" w:hAnsi="Calibri"/>
                <w:color w:val="000000"/>
                <w:sz w:val="22"/>
              </w:rPr>
              <w:t>2:</w:t>
            </w:r>
            <w:proofErr w:type="gramEnd"/>
            <w:r>
              <w:rPr>
                <w:rFonts w:ascii="Calibri" w:hAnsi="Calibri"/>
                <w:color w:val="000000"/>
                <w:sz w:val="22"/>
              </w:rPr>
              <w:t xml:space="preserve"> withholds endorsement and identifies substitutable work’s materiality to delivery and cost/funding as decisive. Improvement is the corrected inference, not the changed label. Complete raw responses preserved.</w:t>
            </w:r>
          </w:p>
        </w:tc>
      </w:tr>
      <w:tr w:rsidR="00913E77" w14:paraId="0EF3A7CA" w14:textId="77777777" w:rsidTr="00B95843">
        <w:trPr>
          <w:jc w:val="center"/>
        </w:trPr>
        <w:tc>
          <w:tcPr>
            <w:tcW w:w="5114" w:type="dxa"/>
            <w:tcMar>
              <w:top w:w="70" w:type="dxa"/>
              <w:left w:w="90" w:type="dxa"/>
              <w:bottom w:w="70" w:type="dxa"/>
              <w:right w:w="90" w:type="dxa"/>
            </w:tcMar>
          </w:tcPr>
          <w:p w14:paraId="5156CCB5" w14:textId="77777777" w:rsidR="00913E77" w:rsidRDefault="00913E77" w:rsidP="00913E77">
            <w:pPr>
              <w:spacing w:after="20"/>
              <w:rPr>
                <w:rFonts w:hint="eastAsia"/>
              </w:rPr>
            </w:pPr>
            <w:r>
              <w:rPr>
                <w:sz w:val="17"/>
              </w:rPr>
              <w:t>Contrast test - what appropriately stayed stable</w:t>
            </w:r>
          </w:p>
        </w:tc>
        <w:tc>
          <w:tcPr>
            <w:tcW w:w="5330" w:type="dxa"/>
            <w:tcMar>
              <w:top w:w="70" w:type="dxa"/>
              <w:left w:w="90" w:type="dxa"/>
              <w:bottom w:w="70" w:type="dxa"/>
              <w:right w:w="90" w:type="dxa"/>
            </w:tcMar>
            <w:vAlign w:val="center"/>
          </w:tcPr>
          <w:p w14:paraId="09F82016" w14:textId="74303888" w:rsidR="00913E77" w:rsidRDefault="00913E77" w:rsidP="00913E77">
            <w:pPr>
              <w:spacing w:after="20"/>
              <w:rPr>
                <w:rFonts w:hint="eastAsia"/>
              </w:rPr>
            </w:pPr>
            <w:r>
              <w:rPr>
                <w:rFonts w:ascii="Calibri" w:hAnsi="Calibri"/>
                <w:color w:val="000000"/>
                <w:sz w:val="22"/>
              </w:rPr>
              <w:t>Across original cases and versions: demonstrated approach, described functionality, announced commercialization, entrepreneurship unestablished, uncertain/mixed degree, and model-directed-choice distinction. Organizational billing does not rewrite general technology evidence.</w:t>
            </w:r>
          </w:p>
        </w:tc>
      </w:tr>
      <w:tr w:rsidR="00913E77" w14:paraId="7383DF73" w14:textId="77777777" w:rsidTr="00B95843">
        <w:trPr>
          <w:jc w:val="center"/>
        </w:trPr>
        <w:tc>
          <w:tcPr>
            <w:tcW w:w="5114" w:type="dxa"/>
            <w:tcMar>
              <w:top w:w="70" w:type="dxa"/>
              <w:left w:w="90" w:type="dxa"/>
              <w:bottom w:w="70" w:type="dxa"/>
              <w:right w:w="90" w:type="dxa"/>
            </w:tcMar>
          </w:tcPr>
          <w:p w14:paraId="3478A1E9" w14:textId="77777777" w:rsidR="00913E77" w:rsidRDefault="00913E77" w:rsidP="00913E77">
            <w:pPr>
              <w:spacing w:after="20"/>
              <w:rPr>
                <w:rFonts w:hint="eastAsia"/>
              </w:rPr>
            </w:pPr>
            <w:r>
              <w:rPr>
                <w:sz w:val="17"/>
              </w:rPr>
              <w:t>Contrast test - what appropriately changed</w:t>
            </w:r>
          </w:p>
        </w:tc>
        <w:tc>
          <w:tcPr>
            <w:tcW w:w="5330" w:type="dxa"/>
            <w:tcMar>
              <w:top w:w="70" w:type="dxa"/>
              <w:left w:w="90" w:type="dxa"/>
              <w:bottom w:w="70" w:type="dxa"/>
              <w:right w:w="90" w:type="dxa"/>
            </w:tcMar>
            <w:vAlign w:val="center"/>
          </w:tcPr>
          <w:p w14:paraId="12E843F6" w14:textId="02F5BAD6" w:rsidR="00913E77" w:rsidRDefault="00913E77" w:rsidP="00913E77">
            <w:pPr>
              <w:spacing w:after="20"/>
              <w:rPr>
                <w:rFonts w:hint="eastAsia"/>
              </w:rPr>
            </w:pPr>
            <w:r>
              <w:rPr>
                <w:rFonts w:ascii="Calibri" w:hAnsi="Calibri"/>
                <w:color w:val="000000"/>
                <w:sz w:val="22"/>
              </w:rPr>
              <w:t>Internal capacity/cost/funding differs from outsourced billable-hour capture. Unspecified-pricing case asks for the revenue model without importing one. Supplementary conditional High judgment uses material substitution and contractual capture constraints, retains a Moderate alternative, and rejects unsupported existential claims.</w:t>
            </w:r>
          </w:p>
        </w:tc>
      </w:tr>
      <w:tr w:rsidR="00913E77" w14:paraId="6A866C1B" w14:textId="77777777" w:rsidTr="00B95843">
        <w:trPr>
          <w:jc w:val="center"/>
        </w:trPr>
        <w:tc>
          <w:tcPr>
            <w:tcW w:w="5114" w:type="dxa"/>
            <w:tcMar>
              <w:top w:w="70" w:type="dxa"/>
              <w:left w:w="90" w:type="dxa"/>
              <w:bottom w:w="70" w:type="dxa"/>
              <w:right w:w="90" w:type="dxa"/>
            </w:tcMar>
          </w:tcPr>
          <w:p w14:paraId="252029A1" w14:textId="77777777" w:rsidR="00913E77" w:rsidRDefault="00913E77" w:rsidP="00913E77">
            <w:pPr>
              <w:spacing w:after="20"/>
              <w:rPr>
                <w:rFonts w:hint="eastAsia"/>
              </w:rPr>
            </w:pPr>
            <w:r>
              <w:rPr>
                <w:sz w:val="17"/>
              </w:rPr>
              <w:t>Weakness/failure found</w:t>
            </w:r>
          </w:p>
        </w:tc>
        <w:tc>
          <w:tcPr>
            <w:tcW w:w="5330" w:type="dxa"/>
            <w:tcMar>
              <w:top w:w="70" w:type="dxa"/>
              <w:left w:w="90" w:type="dxa"/>
              <w:bottom w:w="70" w:type="dxa"/>
              <w:right w:w="90" w:type="dxa"/>
            </w:tcMar>
            <w:vAlign w:val="center"/>
          </w:tcPr>
          <w:p w14:paraId="5DE9B9B6" w14:textId="52F58127" w:rsidR="00913E77" w:rsidRDefault="00913E77" w:rsidP="00913E77">
            <w:pPr>
              <w:spacing w:after="20"/>
              <w:rPr>
                <w:rFonts w:hint="eastAsia"/>
              </w:rPr>
            </w:pPr>
            <w:r>
              <w:rPr>
                <w:rFonts w:ascii="Calibri" w:hAnsi="Calibri"/>
                <w:color w:val="000000"/>
                <w:sz w:val="22"/>
              </w:rPr>
              <w:t xml:space="preserve">Exact v0.1 primary passage: “conditional on the application remaining bounded and supplemental to human escalation.” Supplemental/small economic scope was not supplied; bounded authority and cost-center status do not establish limited economic impact. </w:t>
            </w:r>
          </w:p>
        </w:tc>
      </w:tr>
      <w:tr w:rsidR="00913E77" w14:paraId="5A381B0A" w14:textId="77777777" w:rsidTr="00B95843">
        <w:trPr>
          <w:jc w:val="center"/>
        </w:trPr>
        <w:tc>
          <w:tcPr>
            <w:tcW w:w="5114" w:type="dxa"/>
            <w:tcMar>
              <w:top w:w="70" w:type="dxa"/>
              <w:left w:w="90" w:type="dxa"/>
              <w:bottom w:w="70" w:type="dxa"/>
              <w:right w:w="90" w:type="dxa"/>
            </w:tcMar>
          </w:tcPr>
          <w:p w14:paraId="41EE44B7" w14:textId="77777777" w:rsidR="00913E77" w:rsidRDefault="00913E77" w:rsidP="00913E77">
            <w:pPr>
              <w:spacing w:after="20"/>
              <w:rPr>
                <w:rFonts w:hint="eastAsia"/>
              </w:rPr>
            </w:pPr>
            <w:r>
              <w:rPr>
                <w:sz w:val="17"/>
              </w:rPr>
              <w:t>Revision made and why</w:t>
            </w:r>
          </w:p>
        </w:tc>
        <w:tc>
          <w:tcPr>
            <w:tcW w:w="5330" w:type="dxa"/>
            <w:tcMar>
              <w:top w:w="70" w:type="dxa"/>
              <w:left w:w="90" w:type="dxa"/>
              <w:bottom w:w="70" w:type="dxa"/>
              <w:right w:w="90" w:type="dxa"/>
            </w:tcMar>
            <w:vAlign w:val="center"/>
          </w:tcPr>
          <w:p w14:paraId="6CCEF273" w14:textId="72B3E598" w:rsidR="00913E77" w:rsidRDefault="00913E77" w:rsidP="00913E77">
            <w:pPr>
              <w:spacing w:after="20"/>
              <w:rPr>
                <w:rFonts w:hint="eastAsia"/>
              </w:rPr>
            </w:pPr>
            <w:r>
              <w:rPr>
                <w:rFonts w:ascii="Calibri" w:hAnsi="Calibri"/>
                <w:color w:val="000000"/>
                <w:sz w:val="22"/>
              </w:rPr>
              <w:t>0.2-student adds economic materiality before severity: affirmative grounds required for Low; safeguards, posture, status, and horizon alone are insufficient; examine substitutable scale, capture/funding, delivery, and adaptation; ask only material questions. Withhold or use conditional alternatives if unsupported. Exact diff/rationale: records/revision_v0.2.md. Preserved v0.1 snapshot; unchanged cases/evidence; original cases rerun separately.</w:t>
            </w:r>
          </w:p>
        </w:tc>
      </w:tr>
      <w:tr w:rsidR="00913E77" w14:paraId="1593BDCB" w14:textId="77777777" w:rsidTr="00B95843">
        <w:trPr>
          <w:jc w:val="center"/>
        </w:trPr>
        <w:tc>
          <w:tcPr>
            <w:tcW w:w="5114" w:type="dxa"/>
            <w:tcMar>
              <w:top w:w="70" w:type="dxa"/>
              <w:left w:w="90" w:type="dxa"/>
              <w:bottom w:w="70" w:type="dxa"/>
              <w:right w:w="90" w:type="dxa"/>
            </w:tcMar>
          </w:tcPr>
          <w:p w14:paraId="357232D0" w14:textId="77777777" w:rsidR="00913E77" w:rsidRDefault="00913E77" w:rsidP="00913E77">
            <w:pPr>
              <w:spacing w:after="20"/>
              <w:rPr>
                <w:rFonts w:hint="eastAsia"/>
              </w:rPr>
            </w:pPr>
            <w:r>
              <w:rPr>
                <w:sz w:val="17"/>
              </w:rPr>
              <w:t>Remaining limitation / abstention condition</w:t>
            </w:r>
          </w:p>
        </w:tc>
        <w:tc>
          <w:tcPr>
            <w:tcW w:w="5330" w:type="dxa"/>
            <w:tcMar>
              <w:top w:w="70" w:type="dxa"/>
              <w:left w:w="90" w:type="dxa"/>
              <w:bottom w:w="70" w:type="dxa"/>
              <w:right w:w="90" w:type="dxa"/>
            </w:tcMar>
            <w:vAlign w:val="center"/>
          </w:tcPr>
          <w:p w14:paraId="791429C7" w14:textId="7CA92A6F" w:rsidR="00913E77" w:rsidRDefault="00913E77" w:rsidP="00913E77">
            <w:pPr>
              <w:spacing w:after="20"/>
              <w:rPr>
                <w:rFonts w:hint="eastAsia"/>
              </w:rPr>
            </w:pPr>
            <w:r>
              <w:rPr>
                <w:rFonts w:ascii="Calibri" w:hAnsi="Calibri"/>
                <w:color w:val="000000"/>
                <w:sz w:val="22"/>
              </w:rPr>
              <w:t>Seven saved responses: three v0.1, three v0.2, one supplementary v0.2. Supplied validation, separate full applicable schema checks, input checks, and frozen integrity passed. All generated in the same ChatGPT/Codex session; not isolated replication or deployment tests. No independent actual ticket effectiveness, market response, financial results, or general robustness established. Supplementary pilot and company metrics are hypothetical. High/Moderate remains contestable; no rating-driven revision made.</w:t>
            </w:r>
          </w:p>
        </w:tc>
      </w:tr>
    </w:tbl>
    <w:p w14:paraId="5FE4CA05" w14:textId="77777777" w:rsidR="00A75179" w:rsidRDefault="00000000">
      <w:pPr>
        <w:pStyle w:val="Heading1"/>
      </w:pPr>
      <w:r>
        <w:lastRenderedPageBreak/>
        <w:t>E. Independent Judgment and Handoff</w:t>
      </w:r>
    </w:p>
    <w:tbl>
      <w:tblPr>
        <w:tblStyle w:val="TableGrid"/>
        <w:tblW w:w="0" w:type="auto"/>
        <w:jc w:val="center"/>
        <w:tblLook w:val="04A0" w:firstRow="1" w:lastRow="0" w:firstColumn="1" w:lastColumn="0" w:noHBand="0" w:noVBand="1"/>
      </w:tblPr>
      <w:tblGrid>
        <w:gridCol w:w="5222"/>
        <w:gridCol w:w="5222"/>
      </w:tblGrid>
      <w:tr w:rsidR="00A75179" w14:paraId="74343194" w14:textId="77777777" w:rsidTr="000456A2">
        <w:trPr>
          <w:jc w:val="center"/>
        </w:trPr>
        <w:tc>
          <w:tcPr>
            <w:tcW w:w="5222" w:type="dxa"/>
            <w:shd w:val="clear" w:color="auto" w:fill="57068C"/>
            <w:tcMar>
              <w:top w:w="70" w:type="dxa"/>
              <w:left w:w="90" w:type="dxa"/>
              <w:bottom w:w="70" w:type="dxa"/>
              <w:right w:w="90" w:type="dxa"/>
            </w:tcMar>
          </w:tcPr>
          <w:p w14:paraId="67270146" w14:textId="77777777" w:rsidR="00A75179" w:rsidRDefault="00000000">
            <w:pPr>
              <w:spacing w:after="20"/>
              <w:rPr>
                <w:rFonts w:hint="eastAsia"/>
              </w:rPr>
            </w:pPr>
            <w:r>
              <w:rPr>
                <w:b/>
                <w:color w:val="FFFFFF"/>
                <w:sz w:val="17"/>
              </w:rPr>
              <w:t>Field</w:t>
            </w:r>
          </w:p>
        </w:tc>
        <w:tc>
          <w:tcPr>
            <w:tcW w:w="5222" w:type="dxa"/>
            <w:shd w:val="clear" w:color="auto" w:fill="57068C"/>
            <w:tcMar>
              <w:top w:w="70" w:type="dxa"/>
              <w:left w:w="90" w:type="dxa"/>
              <w:bottom w:w="70" w:type="dxa"/>
              <w:right w:w="90" w:type="dxa"/>
            </w:tcMar>
          </w:tcPr>
          <w:p w14:paraId="5E68C401" w14:textId="77777777" w:rsidR="00A75179" w:rsidRDefault="00000000">
            <w:pPr>
              <w:spacing w:after="20"/>
              <w:rPr>
                <w:rFonts w:hint="eastAsia"/>
              </w:rPr>
            </w:pPr>
            <w:r>
              <w:rPr>
                <w:b/>
                <w:color w:val="FFFFFF"/>
                <w:sz w:val="17"/>
              </w:rPr>
              <w:t>Student record</w:t>
            </w:r>
          </w:p>
        </w:tc>
      </w:tr>
      <w:tr w:rsidR="00913E77" w14:paraId="676AC963" w14:textId="77777777" w:rsidTr="009909CB">
        <w:trPr>
          <w:jc w:val="center"/>
        </w:trPr>
        <w:tc>
          <w:tcPr>
            <w:tcW w:w="5222" w:type="dxa"/>
            <w:tcMar>
              <w:top w:w="70" w:type="dxa"/>
              <w:left w:w="90" w:type="dxa"/>
              <w:bottom w:w="70" w:type="dxa"/>
              <w:right w:w="90" w:type="dxa"/>
            </w:tcMar>
          </w:tcPr>
          <w:p w14:paraId="115EE518" w14:textId="77777777" w:rsidR="00913E77" w:rsidRDefault="00913E77" w:rsidP="00913E77">
            <w:pPr>
              <w:spacing w:after="20"/>
              <w:rPr>
                <w:rFonts w:hint="eastAsia"/>
              </w:rPr>
            </w:pPr>
            <w:r>
              <w:rPr>
                <w:sz w:val="17"/>
              </w:rPr>
              <w:t>Is the agent credible enough for team consideration? Why?</w:t>
            </w:r>
          </w:p>
        </w:tc>
        <w:tc>
          <w:tcPr>
            <w:tcW w:w="5222" w:type="dxa"/>
            <w:tcMar>
              <w:top w:w="70" w:type="dxa"/>
              <w:left w:w="90" w:type="dxa"/>
              <w:bottom w:w="70" w:type="dxa"/>
              <w:right w:w="90" w:type="dxa"/>
            </w:tcMar>
            <w:vAlign w:val="center"/>
          </w:tcPr>
          <w:p w14:paraId="0087739C" w14:textId="1E4D14F7" w:rsidR="00913E77" w:rsidRDefault="00913E77" w:rsidP="00913E77">
            <w:pPr>
              <w:spacing w:after="20"/>
              <w:rPr>
                <w:rFonts w:hint="eastAsia"/>
              </w:rPr>
            </w:pPr>
            <w:r>
              <w:rPr>
                <w:rFonts w:ascii="Calibri" w:hAnsi="Calibri"/>
                <w:color w:val="000000"/>
                <w:sz w:val="22"/>
              </w:rPr>
              <w:t>I consider the agent credible enough for bounded team consideration because it separates analytical dimensions, adapts mechanisms to pricing, preserves uncertainty, and retains test evidence. It is not a validated deployment or financial forecasting system. Human review and actual organizational evidence remain necessary.</w:t>
            </w:r>
          </w:p>
        </w:tc>
      </w:tr>
      <w:tr w:rsidR="00913E77" w14:paraId="32DCBF80" w14:textId="77777777" w:rsidTr="009909CB">
        <w:trPr>
          <w:jc w:val="center"/>
        </w:trPr>
        <w:tc>
          <w:tcPr>
            <w:tcW w:w="5222" w:type="dxa"/>
            <w:tcMar>
              <w:top w:w="70" w:type="dxa"/>
              <w:left w:w="90" w:type="dxa"/>
              <w:bottom w:w="70" w:type="dxa"/>
              <w:right w:w="90" w:type="dxa"/>
            </w:tcMar>
          </w:tcPr>
          <w:p w14:paraId="06BCD122" w14:textId="77777777" w:rsidR="00913E77" w:rsidRDefault="00913E77" w:rsidP="00913E77">
            <w:pPr>
              <w:spacing w:after="20"/>
              <w:rPr>
                <w:rFonts w:hint="eastAsia"/>
              </w:rPr>
            </w:pPr>
            <w:r>
              <w:rPr>
                <w:sz w:val="17"/>
              </w:rPr>
              <w:t>Most important recommendation to the team</w:t>
            </w:r>
          </w:p>
        </w:tc>
        <w:tc>
          <w:tcPr>
            <w:tcW w:w="5222" w:type="dxa"/>
            <w:tcMar>
              <w:top w:w="70" w:type="dxa"/>
              <w:left w:w="90" w:type="dxa"/>
              <w:bottom w:w="70" w:type="dxa"/>
              <w:right w:w="90" w:type="dxa"/>
            </w:tcMar>
            <w:vAlign w:val="center"/>
          </w:tcPr>
          <w:p w14:paraId="14AFAF17" w14:textId="7F2BE8AB" w:rsidR="00913E77" w:rsidRDefault="00913E77" w:rsidP="00913E77">
            <w:pPr>
              <w:spacing w:after="20"/>
              <w:rPr>
                <w:rFonts w:hint="eastAsia"/>
              </w:rPr>
            </w:pPr>
            <w:r>
              <w:rPr>
                <w:rFonts w:ascii="Calibri" w:hAnsi="Calibri"/>
                <w:color w:val="000000"/>
                <w:sz w:val="22"/>
              </w:rPr>
              <w:t>My main recommendation to the team is to use 0.2-student with the frozen schemas; require economic-materiality reasoning before severity. Inspect evidence and causal mechanisms alongside the label. Preserve all v0.1/v0.2 packets and outputs. Compare against conventional automation and check model-directed control. Treat the supplementary case as a reasoning test only.</w:t>
            </w:r>
          </w:p>
        </w:tc>
      </w:tr>
      <w:tr w:rsidR="00913E77" w14:paraId="3DFA21CF" w14:textId="77777777" w:rsidTr="009909CB">
        <w:trPr>
          <w:jc w:val="center"/>
        </w:trPr>
        <w:tc>
          <w:tcPr>
            <w:tcW w:w="5222" w:type="dxa"/>
            <w:tcMar>
              <w:top w:w="70" w:type="dxa"/>
              <w:left w:w="90" w:type="dxa"/>
              <w:bottom w:w="70" w:type="dxa"/>
              <w:right w:w="90" w:type="dxa"/>
            </w:tcMar>
          </w:tcPr>
          <w:p w14:paraId="59AB698A" w14:textId="77777777" w:rsidR="00913E77" w:rsidRDefault="00913E77" w:rsidP="00913E77">
            <w:pPr>
              <w:spacing w:after="20"/>
              <w:rPr>
                <w:rFonts w:hint="eastAsia"/>
              </w:rPr>
            </w:pPr>
            <w:r>
              <w:rPr>
                <w:sz w:val="17"/>
              </w:rPr>
              <w:t xml:space="preserve">AI / verification </w:t>
            </w:r>
            <w:proofErr w:type="gramStart"/>
            <w:r>
              <w:rPr>
                <w:sz w:val="17"/>
              </w:rPr>
              <w:t>note</w:t>
            </w:r>
            <w:proofErr w:type="gramEnd"/>
          </w:p>
        </w:tc>
        <w:tc>
          <w:tcPr>
            <w:tcW w:w="5222" w:type="dxa"/>
            <w:tcMar>
              <w:top w:w="70" w:type="dxa"/>
              <w:left w:w="90" w:type="dxa"/>
              <w:bottom w:w="70" w:type="dxa"/>
              <w:right w:w="90" w:type="dxa"/>
            </w:tcMar>
            <w:vAlign w:val="center"/>
          </w:tcPr>
          <w:p w14:paraId="1FFCBD62" w14:textId="0E077C52" w:rsidR="00913E77" w:rsidRDefault="00913E77" w:rsidP="00913E77">
            <w:pPr>
              <w:spacing w:after="20"/>
              <w:rPr>
                <w:rFonts w:hint="eastAsia"/>
              </w:rPr>
            </w:pPr>
            <w:r>
              <w:rPr>
                <w:rFonts w:ascii="Calibri" w:hAnsi="Calibri"/>
                <w:color w:val="000000"/>
                <w:sz w:val="22"/>
              </w:rPr>
              <w:t xml:space="preserve">ChatGPT/Codex inspected the scaffold, specialized editable instructions, prepared evidence summaries and packets, generated JSON runs, diagnosed the exact weakness, implemented the authorized revision, and checked outputs/integrity. Consequential claims were checked against identified primary/authoritative sources before runs; no fresh verification occurred during generation. Schema checking separately evaluated every applicable keyword of the actual schemas, beyond the basic validator. Original outputs remain unrepaired. </w:t>
            </w:r>
            <w:r w:rsidRPr="00D21B40">
              <w:rPr>
                <w:rFonts w:ascii="Calibri" w:hAnsi="Calibri"/>
                <w:color w:val="000000"/>
                <w:sz w:val="22"/>
              </w:rPr>
              <w:t>The self-reflection is based on my own observations and views. ChatGPT helped organize them and polish the English wording.</w:t>
            </w:r>
          </w:p>
        </w:tc>
      </w:tr>
    </w:tbl>
    <w:p w14:paraId="19EA6FF8" w14:textId="77777777" w:rsidR="000456A2" w:rsidRPr="0070314E" w:rsidRDefault="000456A2" w:rsidP="000456A2">
      <w:pPr>
        <w:pStyle w:val="Heading1"/>
        <w:spacing w:before="360"/>
        <w:rPr>
          <w:rFonts w:ascii="Arial" w:hAnsi="Arial" w:cs="Arial"/>
        </w:rPr>
      </w:pPr>
      <w:r w:rsidRPr="0070314E">
        <w:rPr>
          <w:rFonts w:ascii="Arial" w:hAnsi="Arial" w:cs="Arial"/>
        </w:rPr>
        <w:lastRenderedPageBreak/>
        <w:t>F. Self</w:t>
      </w:r>
      <w:r>
        <w:rPr>
          <w:rFonts w:ascii="Microsoft JhengHei" w:eastAsia="Microsoft JhengHei" w:hAnsi="Microsoft JhengHei" w:cs="Microsoft JhengHei" w:hint="eastAsia"/>
          <w:lang w:eastAsia="zh-TW"/>
        </w:rPr>
        <w:t>-</w:t>
      </w:r>
      <w:r w:rsidRPr="0070314E">
        <w:rPr>
          <w:rFonts w:ascii="Arial" w:hAnsi="Arial" w:cs="Arial" w:hint="eastAsia"/>
          <w:lang w:eastAsia="zh-TW"/>
        </w:rPr>
        <w:t>R</w:t>
      </w:r>
      <w:r w:rsidRPr="0070314E">
        <w:rPr>
          <w:rFonts w:ascii="Arial" w:hAnsi="Arial" w:cs="Arial"/>
        </w:rPr>
        <w:t>eflection</w:t>
      </w:r>
    </w:p>
    <w:tbl>
      <w:tblPr>
        <w:tblStyle w:val="TableGrid"/>
        <w:tblW w:w="0" w:type="auto"/>
        <w:jc w:val="center"/>
        <w:tblLook w:val="04A0" w:firstRow="1" w:lastRow="0" w:firstColumn="1" w:lastColumn="0" w:noHBand="0" w:noVBand="1"/>
      </w:tblPr>
      <w:tblGrid>
        <w:gridCol w:w="5222"/>
        <w:gridCol w:w="5222"/>
      </w:tblGrid>
      <w:tr w:rsidR="000456A2" w:rsidRPr="0070314E" w14:paraId="2258648B" w14:textId="77777777" w:rsidTr="002E6DF3">
        <w:trPr>
          <w:cantSplit/>
          <w:tblHeader/>
          <w:jc w:val="center"/>
        </w:trPr>
        <w:tc>
          <w:tcPr>
            <w:tcW w:w="5222" w:type="dxa"/>
            <w:shd w:val="clear" w:color="auto" w:fill="57068C"/>
            <w:tcMar>
              <w:top w:w="70" w:type="dxa"/>
              <w:left w:w="90" w:type="dxa"/>
              <w:bottom w:w="70" w:type="dxa"/>
              <w:right w:w="90" w:type="dxa"/>
            </w:tcMar>
          </w:tcPr>
          <w:p w14:paraId="51D636B6" w14:textId="77777777" w:rsidR="000456A2" w:rsidRPr="0070314E" w:rsidRDefault="000456A2" w:rsidP="005604D5">
            <w:pPr>
              <w:spacing w:after="0"/>
              <w:rPr>
                <w:rFonts w:ascii="Arial" w:hAnsi="Arial" w:cs="Arial"/>
              </w:rPr>
            </w:pPr>
            <w:r w:rsidRPr="0070314E">
              <w:rPr>
                <w:rFonts w:ascii="Arial" w:hAnsi="Arial" w:cs="Arial"/>
                <w:b/>
                <w:color w:val="FFFFFF"/>
                <w:sz w:val="17"/>
              </w:rPr>
              <w:t>Field</w:t>
            </w:r>
          </w:p>
        </w:tc>
        <w:tc>
          <w:tcPr>
            <w:tcW w:w="5222" w:type="dxa"/>
            <w:shd w:val="clear" w:color="auto" w:fill="57068C"/>
            <w:tcMar>
              <w:top w:w="70" w:type="dxa"/>
              <w:left w:w="90" w:type="dxa"/>
              <w:bottom w:w="70" w:type="dxa"/>
              <w:right w:w="90" w:type="dxa"/>
            </w:tcMar>
          </w:tcPr>
          <w:p w14:paraId="21FDD81C" w14:textId="77777777" w:rsidR="000456A2" w:rsidRPr="0070314E" w:rsidRDefault="000456A2" w:rsidP="005604D5">
            <w:pPr>
              <w:spacing w:after="0" w:line="240" w:lineRule="auto"/>
              <w:rPr>
                <w:rFonts w:ascii="Arial" w:hAnsi="Arial" w:cs="Arial"/>
              </w:rPr>
            </w:pPr>
            <w:r w:rsidRPr="0070314E">
              <w:rPr>
                <w:rFonts w:ascii="Arial" w:hAnsi="Arial" w:cs="Arial"/>
                <w:b/>
                <w:color w:val="FFFFFF"/>
                <w:sz w:val="17"/>
              </w:rPr>
              <w:t>Student record</w:t>
            </w:r>
          </w:p>
        </w:tc>
      </w:tr>
      <w:tr w:rsidR="00913E77" w:rsidRPr="0070314E" w14:paraId="324F927F" w14:textId="77777777" w:rsidTr="002E6DF3">
        <w:trPr>
          <w:cantSplit/>
          <w:jc w:val="center"/>
        </w:trPr>
        <w:tc>
          <w:tcPr>
            <w:tcW w:w="5222" w:type="dxa"/>
            <w:tcMar>
              <w:top w:w="70" w:type="dxa"/>
              <w:left w:w="90" w:type="dxa"/>
              <w:bottom w:w="70" w:type="dxa"/>
              <w:right w:w="90" w:type="dxa"/>
            </w:tcMar>
          </w:tcPr>
          <w:p w14:paraId="3415EF14" w14:textId="77777777" w:rsidR="00913E77" w:rsidRPr="0070314E" w:rsidRDefault="00913E77" w:rsidP="00913E77">
            <w:pPr>
              <w:spacing w:after="0"/>
              <w:rPr>
                <w:rFonts w:ascii="Arial" w:hAnsi="Arial" w:cs="Arial"/>
                <w:sz w:val="17"/>
                <w:szCs w:val="17"/>
              </w:rPr>
            </w:pPr>
            <w:r w:rsidRPr="0070314E">
              <w:rPr>
                <w:rFonts w:ascii="Arial" w:hAnsi="Arial" w:cs="Arial"/>
                <w:sz w:val="17"/>
                <w:szCs w:val="17"/>
              </w:rPr>
              <w:t>Self-reflection</w:t>
            </w:r>
          </w:p>
        </w:tc>
        <w:tc>
          <w:tcPr>
            <w:tcW w:w="5222" w:type="dxa"/>
            <w:tcMar>
              <w:top w:w="70" w:type="dxa"/>
              <w:left w:w="90" w:type="dxa"/>
              <w:bottom w:w="70" w:type="dxa"/>
              <w:right w:w="90" w:type="dxa"/>
            </w:tcMar>
            <w:vAlign w:val="center"/>
          </w:tcPr>
          <w:p w14:paraId="4881B027" w14:textId="3C62F8BE" w:rsidR="00913E77" w:rsidRPr="0070314E" w:rsidRDefault="00913E77" w:rsidP="00913E77">
            <w:pPr>
              <w:spacing w:after="0" w:line="240" w:lineRule="auto"/>
              <w:rPr>
                <w:rFonts w:ascii="Arial" w:hAnsi="Arial" w:cs="Arial"/>
                <w:sz w:val="17"/>
                <w:szCs w:val="17"/>
                <w:lang w:eastAsia="zh-TW"/>
              </w:rPr>
            </w:pPr>
            <w:r>
              <w:rPr>
                <w:rFonts w:ascii="Calibri" w:hAnsi="Calibri"/>
                <w:sz w:val="20"/>
              </w:rPr>
              <w:t>The hourly-billing case stood out to me because if AI reduces the time people spend on a task, it could also reduce what the company can charge. My first reaction was that this would mean lower revenue, but contracts, demand, and changes in pricing also matter. Saving time in an internal IT department and saving time in a company that sells working hours can therefore have different consequences. I also think people still need to evaluate the agent’s conclusions. The first Low rating is a good example: having human escalation does not tell us how much of the company’s work could be replaced. For future evaluations, I would pay more attention to the assumptions behind a rating and ask what information would change it, especially when the company’s revenue model is unclear.</w:t>
            </w:r>
          </w:p>
        </w:tc>
      </w:tr>
    </w:tbl>
    <w:p w14:paraId="3FEFC76F" w14:textId="77777777" w:rsidR="00995421" w:rsidRDefault="00995421">
      <w:pPr>
        <w:rPr>
          <w:rFonts w:hint="eastAsia"/>
        </w:rPr>
      </w:pPr>
    </w:p>
    <w:sectPr w:rsidR="00995421"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8EDB03" w14:textId="77777777" w:rsidR="00D8779D" w:rsidRDefault="00D8779D">
      <w:pPr>
        <w:spacing w:after="0" w:line="240" w:lineRule="auto"/>
        <w:rPr>
          <w:rFonts w:hint="eastAsia"/>
        </w:rPr>
      </w:pPr>
      <w:r>
        <w:separator/>
      </w:r>
    </w:p>
  </w:endnote>
  <w:endnote w:type="continuationSeparator" w:id="0">
    <w:p w14:paraId="3D6A030B" w14:textId="77777777" w:rsidR="00D8779D" w:rsidRDefault="00D877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82C6"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827BA3" w14:textId="77777777" w:rsidR="00D8779D" w:rsidRDefault="00D8779D">
      <w:pPr>
        <w:spacing w:after="0" w:line="240" w:lineRule="auto"/>
        <w:rPr>
          <w:rFonts w:hint="eastAsia"/>
        </w:rPr>
      </w:pPr>
      <w:r>
        <w:separator/>
      </w:r>
    </w:p>
  </w:footnote>
  <w:footnote w:type="continuationSeparator" w:id="0">
    <w:p w14:paraId="65EA30D9" w14:textId="77777777" w:rsidR="00D8779D" w:rsidRDefault="00D8779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96C3F"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6A2"/>
    <w:rsid w:val="0006063C"/>
    <w:rsid w:val="00090E69"/>
    <w:rsid w:val="0015074B"/>
    <w:rsid w:val="00214B14"/>
    <w:rsid w:val="00262995"/>
    <w:rsid w:val="0029639D"/>
    <w:rsid w:val="002E6DF3"/>
    <w:rsid w:val="00326F90"/>
    <w:rsid w:val="003A5253"/>
    <w:rsid w:val="005224B0"/>
    <w:rsid w:val="00630F3A"/>
    <w:rsid w:val="006D2B92"/>
    <w:rsid w:val="006E721C"/>
    <w:rsid w:val="00797697"/>
    <w:rsid w:val="00913E77"/>
    <w:rsid w:val="00995421"/>
    <w:rsid w:val="00A75179"/>
    <w:rsid w:val="00AA1D8D"/>
    <w:rsid w:val="00B47730"/>
    <w:rsid w:val="00B95843"/>
    <w:rsid w:val="00C93EDA"/>
    <w:rsid w:val="00CB0664"/>
    <w:rsid w:val="00D21B40"/>
    <w:rsid w:val="00D8779D"/>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1E77B"/>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馨 黃</cp:lastModifiedBy>
  <cp:revision>10</cp:revision>
  <dcterms:created xsi:type="dcterms:W3CDTF">2026-08-13T19:48:00Z</dcterms:created>
  <dcterms:modified xsi:type="dcterms:W3CDTF">2026-10-11T00:08:00Z</dcterms:modified>
  <cp:category/>
</cp:coreProperties>
</file>