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BAC018" w14:textId="77777777" w:rsidR="00A75179" w:rsidRPr="000C1D13" w:rsidRDefault="00000000">
      <w:pPr>
        <w:jc w:val="center"/>
        <w:rPr>
          <w:rFonts w:asciiTheme="majorHAnsi" w:hAnsiTheme="majorHAnsi" w:cstheme="majorHAnsi"/>
        </w:rPr>
      </w:pPr>
      <w:r w:rsidRPr="000C1D13">
        <w:rPr>
          <w:rFonts w:asciiTheme="majorHAnsi" w:hAnsiTheme="majorHAnsi" w:cstheme="majorHAnsi"/>
          <w:b/>
          <w:color w:val="57068C"/>
          <w:sz w:val="28"/>
        </w:rPr>
        <w:t>EMERGING TECHNOLOGIES</w:t>
      </w:r>
    </w:p>
    <w:p w14:paraId="0E684345" w14:textId="77777777" w:rsidR="00A75179" w:rsidRPr="000C1D13" w:rsidRDefault="00000000">
      <w:pPr>
        <w:pStyle w:val="Title"/>
        <w:jc w:val="center"/>
        <w:rPr>
          <w:rFonts w:cstheme="majorHAnsi"/>
        </w:rPr>
      </w:pPr>
      <w:r w:rsidRPr="000C1D13">
        <w:rPr>
          <w:rFonts w:cstheme="majorHAnsi"/>
        </w:rPr>
        <w:t>Specialist Agent Record Template</w:t>
      </w:r>
    </w:p>
    <w:p w14:paraId="50E96CC8" w14:textId="77777777" w:rsidR="00A75179" w:rsidRPr="000C1D13" w:rsidRDefault="00000000">
      <w:pPr>
        <w:jc w:val="center"/>
        <w:rPr>
          <w:rFonts w:asciiTheme="majorHAnsi" w:hAnsiTheme="majorHAnsi" w:cstheme="majorHAnsi"/>
        </w:rPr>
      </w:pPr>
      <w:r w:rsidRPr="000C1D13">
        <w:rPr>
          <w:rFonts w:asciiTheme="majorHAnsi" w:hAnsiTheme="majorHAnsi" w:cstheme="majorHAnsi"/>
        </w:rPr>
        <w:t>MASY1-GC 1800 | Assignments 2-8</w:t>
      </w:r>
    </w:p>
    <w:tbl>
      <w:tblPr>
        <w:tblW w:w="0" w:type="auto"/>
        <w:tblLook w:val="04A0" w:firstRow="1" w:lastRow="0" w:firstColumn="1" w:lastColumn="0" w:noHBand="0" w:noVBand="1"/>
      </w:tblPr>
      <w:tblGrid>
        <w:gridCol w:w="10454"/>
      </w:tblGrid>
      <w:tr w:rsidR="00A75179" w:rsidRPr="000C1D13" w14:paraId="450CCD9C" w14:textId="77777777">
        <w:tc>
          <w:tcPr>
            <w:tcW w:w="10454" w:type="dxa"/>
            <w:shd w:val="clear" w:color="auto" w:fill="F3EDF7"/>
            <w:tcMar>
              <w:top w:w="90" w:type="dxa"/>
              <w:left w:w="120" w:type="dxa"/>
              <w:bottom w:w="90" w:type="dxa"/>
              <w:right w:w="120" w:type="dxa"/>
            </w:tcMar>
          </w:tcPr>
          <w:p w14:paraId="25FF0FC5" w14:textId="77777777" w:rsidR="00A75179" w:rsidRPr="000C1D13" w:rsidRDefault="00000000">
            <w:pPr>
              <w:pStyle w:val="Callout"/>
              <w:rPr>
                <w:rFonts w:asciiTheme="majorHAnsi" w:hAnsiTheme="majorHAnsi" w:cstheme="majorHAnsi"/>
              </w:rPr>
            </w:pPr>
            <w:r w:rsidRPr="000C1D13">
              <w:rPr>
                <w:rFonts w:asciiTheme="majorHAnsi" w:hAnsiTheme="majorHAnsi" w:cstheme="majorHAnsi"/>
              </w:rPr>
              <w:t>Complete this record from the evidence in your working scaffold. Keep it concise. The record documents what you specialized, how you tested it, what failed or changed, and what professional judgment you reached.</w:t>
            </w:r>
          </w:p>
        </w:tc>
      </w:tr>
    </w:tbl>
    <w:p w14:paraId="1738B9BC" w14:textId="77777777" w:rsidR="00A75179" w:rsidRPr="000C1D13" w:rsidRDefault="00000000">
      <w:pPr>
        <w:pStyle w:val="Heading1"/>
        <w:rPr>
          <w:rFonts w:cstheme="majorHAnsi"/>
        </w:rPr>
      </w:pPr>
      <w:r w:rsidRPr="000C1D13">
        <w:rPr>
          <w:rFonts w:cstheme="majorHAnsi"/>
        </w:rPr>
        <w:t>A. Agent and Version</w:t>
      </w:r>
    </w:p>
    <w:tbl>
      <w:tblPr>
        <w:tblStyle w:val="TableGrid"/>
        <w:tblW w:w="0" w:type="auto"/>
        <w:jc w:val="center"/>
        <w:tblLook w:val="04A0" w:firstRow="1" w:lastRow="0" w:firstColumn="1" w:lastColumn="0" w:noHBand="0" w:noVBand="1"/>
      </w:tblPr>
      <w:tblGrid>
        <w:gridCol w:w="5220"/>
        <w:gridCol w:w="5224"/>
      </w:tblGrid>
      <w:tr w:rsidR="00A75179" w:rsidRPr="000C1D13" w14:paraId="413E15FD" w14:textId="77777777" w:rsidTr="002E6DF3">
        <w:trPr>
          <w:jc w:val="center"/>
        </w:trPr>
        <w:tc>
          <w:tcPr>
            <w:tcW w:w="5220" w:type="dxa"/>
            <w:shd w:val="clear" w:color="auto" w:fill="57068C"/>
            <w:tcMar>
              <w:top w:w="70" w:type="dxa"/>
              <w:left w:w="90" w:type="dxa"/>
              <w:bottom w:w="70" w:type="dxa"/>
              <w:right w:w="90" w:type="dxa"/>
            </w:tcMar>
          </w:tcPr>
          <w:p w14:paraId="763A0F86"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Field</w:t>
            </w:r>
          </w:p>
        </w:tc>
        <w:tc>
          <w:tcPr>
            <w:tcW w:w="5224" w:type="dxa"/>
            <w:shd w:val="clear" w:color="auto" w:fill="57068C"/>
            <w:tcMar>
              <w:top w:w="70" w:type="dxa"/>
              <w:left w:w="90" w:type="dxa"/>
              <w:bottom w:w="70" w:type="dxa"/>
              <w:right w:w="90" w:type="dxa"/>
            </w:tcMar>
          </w:tcPr>
          <w:p w14:paraId="2C728AA8"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Student record</w:t>
            </w:r>
          </w:p>
        </w:tc>
      </w:tr>
      <w:tr w:rsidR="00913E77" w:rsidRPr="000C1D13" w14:paraId="11004CDD" w14:textId="77777777" w:rsidTr="002E6DF3">
        <w:trPr>
          <w:jc w:val="center"/>
        </w:trPr>
        <w:tc>
          <w:tcPr>
            <w:tcW w:w="5220" w:type="dxa"/>
            <w:tcMar>
              <w:top w:w="70" w:type="dxa"/>
              <w:left w:w="90" w:type="dxa"/>
              <w:bottom w:w="70" w:type="dxa"/>
              <w:right w:w="90" w:type="dxa"/>
            </w:tcMar>
          </w:tcPr>
          <w:p w14:paraId="05DE6547"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Student / team</w:t>
            </w:r>
          </w:p>
        </w:tc>
        <w:tc>
          <w:tcPr>
            <w:tcW w:w="5224" w:type="dxa"/>
            <w:tcMar>
              <w:top w:w="70" w:type="dxa"/>
              <w:left w:w="90" w:type="dxa"/>
              <w:bottom w:w="70" w:type="dxa"/>
              <w:right w:w="90" w:type="dxa"/>
            </w:tcMar>
            <w:vAlign w:val="center"/>
          </w:tcPr>
          <w:p w14:paraId="3FE00A84" w14:textId="46A44785"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Nini Huang | Individual assignment</w:t>
            </w:r>
          </w:p>
        </w:tc>
      </w:tr>
      <w:tr w:rsidR="00913E77" w:rsidRPr="000C1D13" w14:paraId="53880F19" w14:textId="77777777" w:rsidTr="002E6DF3">
        <w:trPr>
          <w:jc w:val="center"/>
        </w:trPr>
        <w:tc>
          <w:tcPr>
            <w:tcW w:w="5220" w:type="dxa"/>
            <w:tcMar>
              <w:top w:w="70" w:type="dxa"/>
              <w:left w:w="90" w:type="dxa"/>
              <w:bottom w:w="70" w:type="dxa"/>
              <w:right w:w="90" w:type="dxa"/>
            </w:tcMar>
          </w:tcPr>
          <w:p w14:paraId="539164C5"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Assignment / specialist agent</w:t>
            </w:r>
          </w:p>
        </w:tc>
        <w:tc>
          <w:tcPr>
            <w:tcW w:w="5224" w:type="dxa"/>
            <w:tcMar>
              <w:top w:w="70" w:type="dxa"/>
              <w:left w:w="90" w:type="dxa"/>
              <w:bottom w:w="70" w:type="dxa"/>
              <w:right w:w="90" w:type="dxa"/>
            </w:tcMar>
            <w:vAlign w:val="center"/>
          </w:tcPr>
          <w:p w14:paraId="0BD3B309" w14:textId="0D59E8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Assignment 3 | Innovation and Disruption Agent | Active version 0.2-student</w:t>
            </w:r>
          </w:p>
        </w:tc>
      </w:tr>
      <w:tr w:rsidR="00913E77" w:rsidRPr="000C1D13" w14:paraId="353469C3" w14:textId="77777777" w:rsidTr="002E6DF3">
        <w:trPr>
          <w:jc w:val="center"/>
        </w:trPr>
        <w:tc>
          <w:tcPr>
            <w:tcW w:w="5220" w:type="dxa"/>
            <w:tcMar>
              <w:top w:w="70" w:type="dxa"/>
              <w:left w:w="90" w:type="dxa"/>
              <w:bottom w:w="70" w:type="dxa"/>
              <w:right w:w="90" w:type="dxa"/>
            </w:tcMar>
          </w:tcPr>
          <w:p w14:paraId="25B82014"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Date</w:t>
            </w:r>
          </w:p>
        </w:tc>
        <w:tc>
          <w:tcPr>
            <w:tcW w:w="5224" w:type="dxa"/>
            <w:tcMar>
              <w:top w:w="70" w:type="dxa"/>
              <w:left w:w="90" w:type="dxa"/>
              <w:bottom w:w="70" w:type="dxa"/>
              <w:right w:w="90" w:type="dxa"/>
            </w:tcMar>
            <w:vAlign w:val="center"/>
          </w:tcPr>
          <w:p w14:paraId="23B36B9F" w14:textId="6FD3127F"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October 10, 2026</w:t>
            </w:r>
          </w:p>
        </w:tc>
      </w:tr>
      <w:tr w:rsidR="00913E77" w:rsidRPr="000C1D13" w14:paraId="0B5C9C53" w14:textId="77777777" w:rsidTr="002E6DF3">
        <w:trPr>
          <w:jc w:val="center"/>
        </w:trPr>
        <w:tc>
          <w:tcPr>
            <w:tcW w:w="5220" w:type="dxa"/>
            <w:tcMar>
              <w:top w:w="70" w:type="dxa"/>
              <w:left w:w="90" w:type="dxa"/>
              <w:bottom w:w="70" w:type="dxa"/>
              <w:right w:w="90" w:type="dxa"/>
            </w:tcMar>
          </w:tcPr>
          <w:p w14:paraId="36CA1DC1"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GitHub repository</w:t>
            </w:r>
          </w:p>
        </w:tc>
        <w:tc>
          <w:tcPr>
            <w:tcW w:w="5224" w:type="dxa"/>
            <w:tcMar>
              <w:top w:w="70" w:type="dxa"/>
              <w:left w:w="90" w:type="dxa"/>
              <w:bottom w:w="70" w:type="dxa"/>
              <w:right w:w="90" w:type="dxa"/>
            </w:tcMar>
            <w:vAlign w:val="center"/>
          </w:tcPr>
          <w:p w14:paraId="02E44CA2" w14:textId="54CB2955"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https://github.com/ninihuang8/Lab-3-Sub-Agent-2-Cycles</w:t>
            </w:r>
          </w:p>
        </w:tc>
      </w:tr>
      <w:tr w:rsidR="00913E77" w:rsidRPr="000C1D13" w14:paraId="46F4F7BF" w14:textId="77777777" w:rsidTr="002E6DF3">
        <w:trPr>
          <w:jc w:val="center"/>
        </w:trPr>
        <w:tc>
          <w:tcPr>
            <w:tcW w:w="5220" w:type="dxa"/>
            <w:tcMar>
              <w:top w:w="70" w:type="dxa"/>
              <w:left w:w="90" w:type="dxa"/>
              <w:bottom w:w="70" w:type="dxa"/>
              <w:right w:w="90" w:type="dxa"/>
            </w:tcMar>
          </w:tcPr>
          <w:p w14:paraId="7AE5DBD7"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Branch</w:t>
            </w:r>
          </w:p>
        </w:tc>
        <w:tc>
          <w:tcPr>
            <w:tcW w:w="5224" w:type="dxa"/>
            <w:tcMar>
              <w:top w:w="70" w:type="dxa"/>
              <w:left w:w="90" w:type="dxa"/>
              <w:bottom w:w="70" w:type="dxa"/>
              <w:right w:w="90" w:type="dxa"/>
            </w:tcMar>
            <w:vAlign w:val="center"/>
          </w:tcPr>
          <w:p w14:paraId="5F2FC712" w14:textId="1FEFD75C" w:rsidR="00913E77" w:rsidRPr="000C1D13" w:rsidRDefault="00843166" w:rsidP="00913E77">
            <w:pPr>
              <w:spacing w:after="20"/>
              <w:rPr>
                <w:rFonts w:asciiTheme="majorHAnsi" w:hAnsiTheme="majorHAnsi" w:cstheme="majorHAnsi"/>
                <w:sz w:val="22"/>
              </w:rPr>
            </w:pPr>
            <w:r w:rsidRPr="000C1D13">
              <w:rPr>
                <w:rFonts w:asciiTheme="majorHAnsi" w:hAnsiTheme="majorHAnsi" w:cstheme="majorHAnsi"/>
                <w:color w:val="000000"/>
                <w:sz w:val="22"/>
              </w:rPr>
              <w:t>assignment-3-innovation-disruption-agent</w:t>
            </w:r>
          </w:p>
        </w:tc>
      </w:tr>
      <w:tr w:rsidR="00913E77" w:rsidRPr="000C1D13" w14:paraId="22F39018" w14:textId="77777777" w:rsidTr="002E6DF3">
        <w:trPr>
          <w:jc w:val="center"/>
        </w:trPr>
        <w:tc>
          <w:tcPr>
            <w:tcW w:w="5220" w:type="dxa"/>
            <w:tcMar>
              <w:top w:w="70" w:type="dxa"/>
              <w:left w:w="90" w:type="dxa"/>
              <w:bottom w:w="70" w:type="dxa"/>
              <w:right w:w="90" w:type="dxa"/>
            </w:tcMar>
          </w:tcPr>
          <w:p w14:paraId="3ED13E0B"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Commit</w:t>
            </w:r>
          </w:p>
        </w:tc>
        <w:tc>
          <w:tcPr>
            <w:tcW w:w="5224" w:type="dxa"/>
            <w:tcMar>
              <w:top w:w="70" w:type="dxa"/>
              <w:left w:w="90" w:type="dxa"/>
              <w:bottom w:w="70" w:type="dxa"/>
              <w:right w:w="90" w:type="dxa"/>
            </w:tcMar>
            <w:vAlign w:val="center"/>
          </w:tcPr>
          <w:p w14:paraId="7C45F5CC" w14:textId="570357AB" w:rsidR="00870B15" w:rsidRPr="000C1D13" w:rsidRDefault="00870B15" w:rsidP="00913E77">
            <w:pPr>
              <w:spacing w:after="20"/>
              <w:rPr>
                <w:rFonts w:asciiTheme="majorHAnsi" w:hAnsiTheme="majorHAnsi" w:cstheme="majorHAnsi"/>
                <w:sz w:val="22"/>
                <w:lang w:eastAsia="zh-TW"/>
              </w:rPr>
            </w:pPr>
          </w:p>
        </w:tc>
      </w:tr>
      <w:tr w:rsidR="002E6DF3" w:rsidRPr="000C1D13" w14:paraId="6D242371" w14:textId="77777777" w:rsidTr="002E6DF3">
        <w:trPr>
          <w:jc w:val="center"/>
        </w:trPr>
        <w:tc>
          <w:tcPr>
            <w:tcW w:w="5220" w:type="dxa"/>
            <w:tcMar>
              <w:top w:w="70" w:type="dxa"/>
              <w:left w:w="90" w:type="dxa"/>
              <w:bottom w:w="70" w:type="dxa"/>
              <w:right w:w="90" w:type="dxa"/>
            </w:tcMar>
          </w:tcPr>
          <w:p w14:paraId="74EB9B4B" w14:textId="77777777" w:rsidR="002E6DF3" w:rsidRPr="000C1D13" w:rsidRDefault="002E6DF3" w:rsidP="002E6DF3">
            <w:pPr>
              <w:spacing w:after="20"/>
              <w:rPr>
                <w:rFonts w:asciiTheme="majorHAnsi" w:hAnsiTheme="majorHAnsi" w:cstheme="majorHAnsi"/>
                <w:sz w:val="22"/>
              </w:rPr>
            </w:pPr>
            <w:r w:rsidRPr="000C1D13">
              <w:rPr>
                <w:rFonts w:asciiTheme="majorHAnsi" w:hAnsiTheme="majorHAnsi" w:cstheme="majorHAnsi"/>
                <w:sz w:val="22"/>
              </w:rPr>
              <w:t>Frozen scaffold version</w:t>
            </w:r>
          </w:p>
        </w:tc>
        <w:tc>
          <w:tcPr>
            <w:tcW w:w="5224" w:type="dxa"/>
            <w:tcMar>
              <w:top w:w="70" w:type="dxa"/>
              <w:left w:w="90" w:type="dxa"/>
              <w:bottom w:w="70" w:type="dxa"/>
              <w:right w:w="90" w:type="dxa"/>
            </w:tcMar>
          </w:tcPr>
          <w:p w14:paraId="0DB17D64" w14:textId="77777777" w:rsidR="002E6DF3" w:rsidRPr="000C1D13" w:rsidRDefault="002E6DF3" w:rsidP="002E6DF3">
            <w:pPr>
              <w:spacing w:after="20"/>
              <w:rPr>
                <w:rFonts w:asciiTheme="majorHAnsi" w:hAnsiTheme="majorHAnsi" w:cstheme="majorHAnsi"/>
                <w:sz w:val="22"/>
              </w:rPr>
            </w:pPr>
            <w:r w:rsidRPr="000C1D13">
              <w:rPr>
                <w:rFonts w:asciiTheme="majorHAnsi" w:hAnsiTheme="majorHAnsi" w:cstheme="majorHAnsi"/>
                <w:sz w:val="22"/>
              </w:rPr>
              <w:t>MASY1800_ET_Agent_Scaffold_v1_0</w:t>
            </w:r>
          </w:p>
        </w:tc>
      </w:tr>
    </w:tbl>
    <w:p w14:paraId="1E709625" w14:textId="77777777" w:rsidR="00A75179" w:rsidRPr="000C1D13" w:rsidRDefault="00000000">
      <w:pPr>
        <w:pStyle w:val="Heading1"/>
        <w:rPr>
          <w:rFonts w:cstheme="majorHAnsi"/>
        </w:rPr>
      </w:pPr>
      <w:r w:rsidRPr="000C1D13">
        <w:rPr>
          <w:rFonts w:cstheme="majorHAnsi"/>
        </w:rPr>
        <w:t>B. Specialist Purpose and Context</w:t>
      </w:r>
    </w:p>
    <w:tbl>
      <w:tblPr>
        <w:tblStyle w:val="TableGrid"/>
        <w:tblW w:w="0" w:type="auto"/>
        <w:jc w:val="center"/>
        <w:tblLook w:val="04A0" w:firstRow="1" w:lastRow="0" w:firstColumn="1" w:lastColumn="0" w:noHBand="0" w:noVBand="1"/>
      </w:tblPr>
      <w:tblGrid>
        <w:gridCol w:w="4513"/>
        <w:gridCol w:w="5931"/>
      </w:tblGrid>
      <w:tr w:rsidR="00A75179" w:rsidRPr="000C1D13" w14:paraId="3EBEE746" w14:textId="77777777" w:rsidTr="002E6DF3">
        <w:trPr>
          <w:jc w:val="center"/>
        </w:trPr>
        <w:tc>
          <w:tcPr>
            <w:tcW w:w="5222" w:type="dxa"/>
            <w:shd w:val="clear" w:color="auto" w:fill="57068C"/>
            <w:tcMar>
              <w:top w:w="70" w:type="dxa"/>
              <w:left w:w="90" w:type="dxa"/>
              <w:bottom w:w="70" w:type="dxa"/>
              <w:right w:w="90" w:type="dxa"/>
            </w:tcMar>
          </w:tcPr>
          <w:p w14:paraId="603CD917"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Field</w:t>
            </w:r>
          </w:p>
        </w:tc>
        <w:tc>
          <w:tcPr>
            <w:tcW w:w="5222" w:type="dxa"/>
            <w:shd w:val="clear" w:color="auto" w:fill="57068C"/>
            <w:tcMar>
              <w:top w:w="70" w:type="dxa"/>
              <w:left w:w="90" w:type="dxa"/>
              <w:bottom w:w="70" w:type="dxa"/>
              <w:right w:w="90" w:type="dxa"/>
            </w:tcMar>
          </w:tcPr>
          <w:p w14:paraId="1961246B"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Student record</w:t>
            </w:r>
          </w:p>
        </w:tc>
      </w:tr>
      <w:tr w:rsidR="00913E77" w:rsidRPr="000C1D13" w14:paraId="793FB362" w14:textId="77777777" w:rsidTr="002E6DF3">
        <w:trPr>
          <w:jc w:val="center"/>
        </w:trPr>
        <w:tc>
          <w:tcPr>
            <w:tcW w:w="5222" w:type="dxa"/>
            <w:tcMar>
              <w:top w:w="70" w:type="dxa"/>
              <w:left w:w="90" w:type="dxa"/>
              <w:bottom w:w="70" w:type="dxa"/>
              <w:right w:w="90" w:type="dxa"/>
            </w:tcMar>
          </w:tcPr>
          <w:p w14:paraId="3CBB506E"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Governing analytical question</w:t>
            </w:r>
          </w:p>
        </w:tc>
        <w:tc>
          <w:tcPr>
            <w:tcW w:w="5222" w:type="dxa"/>
            <w:tcMar>
              <w:top w:w="70" w:type="dxa"/>
              <w:left w:w="90" w:type="dxa"/>
              <w:bottom w:w="70" w:type="dxa"/>
              <w:right w:w="90" w:type="dxa"/>
            </w:tcMar>
            <w:vAlign w:val="center"/>
          </w:tcPr>
          <w:p w14:paraId="79096A4B" w14:textId="5B112089"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What kind of innovation is this technology and application, and how could it create, displace, commoditize, or reshape value in this organization and business model?</w:t>
            </w:r>
            <w:r w:rsidRPr="000C1D13">
              <w:rPr>
                <w:rFonts w:asciiTheme="majorHAnsi" w:hAnsiTheme="majorHAnsi" w:cstheme="majorHAnsi"/>
                <w:sz w:val="22"/>
              </w:rPr>
              <w:t xml:space="preserve"> Explicit criteria for invention, innovation, commercialization, entrepreneurship, incremental innovation, and breakthrough innovation are documented in agents/</w:t>
            </w:r>
            <w:proofErr w:type="spellStart"/>
            <w:r w:rsidRPr="000C1D13">
              <w:rPr>
                <w:rFonts w:asciiTheme="majorHAnsi" w:hAnsiTheme="majorHAnsi" w:cstheme="majorHAnsi"/>
                <w:sz w:val="22"/>
              </w:rPr>
              <w:t>innovation_disruption_agent</w:t>
            </w:r>
            <w:proofErr w:type="spellEnd"/>
            <w:r w:rsidRPr="000C1D13">
              <w:rPr>
                <w:rFonts w:asciiTheme="majorHAnsi" w:hAnsiTheme="majorHAnsi" w:cstheme="majorHAnsi"/>
                <w:sz w:val="22"/>
              </w:rPr>
              <w:t>/specialist_instructions.md.</w:t>
            </w:r>
          </w:p>
        </w:tc>
      </w:tr>
      <w:tr w:rsidR="00913E77" w:rsidRPr="000C1D13" w14:paraId="1ECB4013" w14:textId="77777777" w:rsidTr="002E6DF3">
        <w:trPr>
          <w:jc w:val="center"/>
        </w:trPr>
        <w:tc>
          <w:tcPr>
            <w:tcW w:w="5222" w:type="dxa"/>
            <w:tcMar>
              <w:top w:w="70" w:type="dxa"/>
              <w:left w:w="90" w:type="dxa"/>
              <w:bottom w:w="70" w:type="dxa"/>
              <w:right w:w="90" w:type="dxa"/>
            </w:tcMar>
          </w:tcPr>
          <w:p w14:paraId="1BD1A546"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Emerging technology</w:t>
            </w:r>
          </w:p>
        </w:tc>
        <w:tc>
          <w:tcPr>
            <w:tcW w:w="5222" w:type="dxa"/>
            <w:tcMar>
              <w:top w:w="70" w:type="dxa"/>
              <w:left w:w="90" w:type="dxa"/>
              <w:bottom w:w="70" w:type="dxa"/>
              <w:right w:w="90" w:type="dxa"/>
            </w:tcMar>
            <w:vAlign w:val="center"/>
          </w:tcPr>
          <w:p w14:paraId="54BE2CD8" w14:textId="737CA425"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Agentic AI for bounded IT tickets. Model-directed action selection distinguishes an agent from fixed-rule paths; tools and workflow state alone are insufficient.</w:t>
            </w:r>
          </w:p>
        </w:tc>
      </w:tr>
      <w:tr w:rsidR="00913E77" w:rsidRPr="000C1D13" w14:paraId="07ED28FB" w14:textId="77777777" w:rsidTr="002E6DF3">
        <w:trPr>
          <w:jc w:val="center"/>
        </w:trPr>
        <w:tc>
          <w:tcPr>
            <w:tcW w:w="5222" w:type="dxa"/>
            <w:tcMar>
              <w:top w:w="70" w:type="dxa"/>
              <w:left w:w="90" w:type="dxa"/>
              <w:bottom w:w="70" w:type="dxa"/>
              <w:right w:w="90" w:type="dxa"/>
            </w:tcMar>
          </w:tcPr>
          <w:p w14:paraId="7665D810"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Intended application</w:t>
            </w:r>
          </w:p>
        </w:tc>
        <w:tc>
          <w:tcPr>
            <w:tcW w:w="5222" w:type="dxa"/>
            <w:tcMar>
              <w:top w:w="70" w:type="dxa"/>
              <w:left w:w="90" w:type="dxa"/>
              <w:bottom w:w="70" w:type="dxa"/>
              <w:right w:w="90" w:type="dxa"/>
            </w:tcMar>
            <w:vAlign w:val="center"/>
          </w:tcPr>
          <w:p w14:paraId="3C1EE2BC" w14:textId="4015C772"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Standard IT service tickets using approved tools and knowledge, authorization checks, audit trails, and human escalation. No unrestricted autonomy.</w:t>
            </w:r>
          </w:p>
        </w:tc>
      </w:tr>
      <w:tr w:rsidR="00913E77" w:rsidRPr="000C1D13" w14:paraId="64F02C35" w14:textId="77777777" w:rsidTr="002E6DF3">
        <w:trPr>
          <w:jc w:val="center"/>
        </w:trPr>
        <w:tc>
          <w:tcPr>
            <w:tcW w:w="5222" w:type="dxa"/>
            <w:tcMar>
              <w:top w:w="70" w:type="dxa"/>
              <w:left w:w="90" w:type="dxa"/>
              <w:bottom w:w="70" w:type="dxa"/>
              <w:right w:w="90" w:type="dxa"/>
            </w:tcMar>
          </w:tcPr>
          <w:p w14:paraId="3049E121"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Organization / industry</w:t>
            </w:r>
          </w:p>
        </w:tc>
        <w:tc>
          <w:tcPr>
            <w:tcW w:w="5222" w:type="dxa"/>
            <w:tcMar>
              <w:top w:w="70" w:type="dxa"/>
              <w:left w:w="90" w:type="dxa"/>
              <w:bottom w:w="70" w:type="dxa"/>
              <w:right w:w="90" w:type="dxa"/>
            </w:tcMar>
            <w:vAlign w:val="center"/>
          </w:tcPr>
          <w:p w14:paraId="1D4E6E74" w14:textId="4557B712"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All organizational details are hypothetical: internal corporate IT cost center; outsourced hour-billed IT provider; provider with unspecified pricing. Supplementary case adds explicit materiality premises to outsourced service.</w:t>
            </w:r>
          </w:p>
        </w:tc>
      </w:tr>
      <w:tr w:rsidR="00913E77" w:rsidRPr="000C1D13" w14:paraId="6DD72DE3" w14:textId="77777777" w:rsidTr="002E6DF3">
        <w:trPr>
          <w:jc w:val="center"/>
        </w:trPr>
        <w:tc>
          <w:tcPr>
            <w:tcW w:w="5222" w:type="dxa"/>
            <w:tcMar>
              <w:top w:w="70" w:type="dxa"/>
              <w:left w:w="90" w:type="dxa"/>
              <w:bottom w:w="70" w:type="dxa"/>
              <w:right w:w="90" w:type="dxa"/>
            </w:tcMar>
          </w:tcPr>
          <w:p w14:paraId="6CDCE5D0"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lastRenderedPageBreak/>
              <w:t>Adoption posture</w:t>
            </w:r>
          </w:p>
        </w:tc>
        <w:tc>
          <w:tcPr>
            <w:tcW w:w="5222" w:type="dxa"/>
            <w:tcMar>
              <w:top w:w="70" w:type="dxa"/>
              <w:left w:w="90" w:type="dxa"/>
              <w:bottom w:w="70" w:type="dxa"/>
              <w:right w:w="90" w:type="dxa"/>
            </w:tcMar>
            <w:vAlign w:val="center"/>
          </w:tcPr>
          <w:p w14:paraId="7169405D" w14:textId="78A5E6E3"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 xml:space="preserve">Moderate / </w:t>
            </w:r>
            <w:proofErr w:type="gramStart"/>
            <w:r w:rsidRPr="000C1D13">
              <w:rPr>
                <w:rFonts w:asciiTheme="majorHAnsi" w:hAnsiTheme="majorHAnsi" w:cstheme="majorHAnsi"/>
                <w:color w:val="000000"/>
                <w:sz w:val="22"/>
              </w:rPr>
              <w:t>fast-follower</w:t>
            </w:r>
            <w:proofErr w:type="gramEnd"/>
            <w:r w:rsidRPr="000C1D13">
              <w:rPr>
                <w:rFonts w:asciiTheme="majorHAnsi" w:hAnsiTheme="majorHAnsi" w:cstheme="majorHAnsi"/>
                <w:color w:val="000000"/>
                <w:sz w:val="22"/>
              </w:rPr>
              <w:t xml:space="preserve"> in every case.</w:t>
            </w:r>
          </w:p>
        </w:tc>
      </w:tr>
      <w:tr w:rsidR="00913E77" w:rsidRPr="000C1D13" w14:paraId="145657B4" w14:textId="77777777" w:rsidTr="002E6DF3">
        <w:trPr>
          <w:jc w:val="center"/>
        </w:trPr>
        <w:tc>
          <w:tcPr>
            <w:tcW w:w="5222" w:type="dxa"/>
            <w:tcMar>
              <w:top w:w="70" w:type="dxa"/>
              <w:left w:w="90" w:type="dxa"/>
              <w:bottom w:w="70" w:type="dxa"/>
              <w:right w:w="90" w:type="dxa"/>
            </w:tcMar>
          </w:tcPr>
          <w:p w14:paraId="73085246"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Risk / consequence context</w:t>
            </w:r>
          </w:p>
        </w:tc>
        <w:tc>
          <w:tcPr>
            <w:tcW w:w="5222" w:type="dxa"/>
            <w:tcMar>
              <w:top w:w="70" w:type="dxa"/>
              <w:left w:w="90" w:type="dxa"/>
              <w:bottom w:w="70" w:type="dxa"/>
              <w:right w:w="90" w:type="dxa"/>
            </w:tcMar>
            <w:vAlign w:val="center"/>
          </w:tcPr>
          <w:p w14:paraId="21494E87" w14:textId="415344CA"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Only explicitly authorized low-risk actions; high-risk, exceptional, unclear, or ambiguous requests require human escalation. The analyst agent executes no service actions.</w:t>
            </w:r>
          </w:p>
        </w:tc>
      </w:tr>
      <w:tr w:rsidR="00913E77" w:rsidRPr="000C1D13" w14:paraId="2353AE1C" w14:textId="77777777" w:rsidTr="002E6DF3">
        <w:trPr>
          <w:jc w:val="center"/>
        </w:trPr>
        <w:tc>
          <w:tcPr>
            <w:tcW w:w="5222" w:type="dxa"/>
            <w:tcMar>
              <w:top w:w="70" w:type="dxa"/>
              <w:left w:w="90" w:type="dxa"/>
              <w:bottom w:w="70" w:type="dxa"/>
              <w:right w:w="90" w:type="dxa"/>
            </w:tcMar>
          </w:tcPr>
          <w:p w14:paraId="4F6F52E1"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Management question / time horizon</w:t>
            </w:r>
          </w:p>
        </w:tc>
        <w:tc>
          <w:tcPr>
            <w:tcW w:w="5222" w:type="dxa"/>
            <w:tcMar>
              <w:top w:w="70" w:type="dxa"/>
              <w:left w:w="90" w:type="dxa"/>
              <w:bottom w:w="70" w:type="dxa"/>
              <w:right w:w="90" w:type="dxa"/>
            </w:tcMar>
            <w:vAlign w:val="center"/>
          </w:tcPr>
          <w:p w14:paraId="7CCB6E4E" w14:textId="602A60A9"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Interpret innovation significance and business-model exposure at general, application, and organization levels. Horizon: one year; no actual implementation date assumed.</w:t>
            </w:r>
          </w:p>
        </w:tc>
      </w:tr>
    </w:tbl>
    <w:p w14:paraId="5C4B20BE" w14:textId="77777777" w:rsidR="00A75179" w:rsidRPr="000C1D13" w:rsidRDefault="00000000">
      <w:pPr>
        <w:pStyle w:val="Heading1"/>
        <w:rPr>
          <w:rFonts w:cstheme="majorHAnsi"/>
        </w:rPr>
      </w:pPr>
      <w:r w:rsidRPr="000C1D13">
        <w:rPr>
          <w:rFonts w:cstheme="majorHAnsi"/>
        </w:rPr>
        <w:t>C. Three-Level Finding</w:t>
      </w:r>
    </w:p>
    <w:tbl>
      <w:tblPr>
        <w:tblStyle w:val="TableGrid"/>
        <w:tblW w:w="0" w:type="auto"/>
        <w:jc w:val="center"/>
        <w:tblLook w:val="04A0" w:firstRow="1" w:lastRow="0" w:firstColumn="1" w:lastColumn="0" w:noHBand="0" w:noVBand="1"/>
      </w:tblPr>
      <w:tblGrid>
        <w:gridCol w:w="5222"/>
        <w:gridCol w:w="5222"/>
      </w:tblGrid>
      <w:tr w:rsidR="00A75179" w:rsidRPr="000C1D13" w14:paraId="4355C3A1" w14:textId="77777777" w:rsidTr="002E6DF3">
        <w:trPr>
          <w:jc w:val="center"/>
        </w:trPr>
        <w:tc>
          <w:tcPr>
            <w:tcW w:w="5222" w:type="dxa"/>
            <w:shd w:val="clear" w:color="auto" w:fill="57068C"/>
            <w:tcMar>
              <w:top w:w="70" w:type="dxa"/>
              <w:left w:w="90" w:type="dxa"/>
              <w:bottom w:w="70" w:type="dxa"/>
              <w:right w:w="90" w:type="dxa"/>
            </w:tcMar>
          </w:tcPr>
          <w:p w14:paraId="4933F82F"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Field</w:t>
            </w:r>
          </w:p>
        </w:tc>
        <w:tc>
          <w:tcPr>
            <w:tcW w:w="5222" w:type="dxa"/>
            <w:shd w:val="clear" w:color="auto" w:fill="57068C"/>
            <w:tcMar>
              <w:top w:w="70" w:type="dxa"/>
              <w:left w:w="90" w:type="dxa"/>
              <w:bottom w:w="70" w:type="dxa"/>
              <w:right w:w="90" w:type="dxa"/>
            </w:tcMar>
          </w:tcPr>
          <w:p w14:paraId="69C4F0C6"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Student record</w:t>
            </w:r>
          </w:p>
        </w:tc>
      </w:tr>
      <w:tr w:rsidR="00913E77" w:rsidRPr="000C1D13" w14:paraId="0C60A5F7" w14:textId="77777777" w:rsidTr="002E6DF3">
        <w:trPr>
          <w:jc w:val="center"/>
        </w:trPr>
        <w:tc>
          <w:tcPr>
            <w:tcW w:w="5222" w:type="dxa"/>
            <w:tcMar>
              <w:top w:w="70" w:type="dxa"/>
              <w:left w:w="90" w:type="dxa"/>
              <w:bottom w:w="70" w:type="dxa"/>
              <w:right w:w="90" w:type="dxa"/>
            </w:tcMar>
          </w:tcPr>
          <w:p w14:paraId="4C3EE050"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ET generally</w:t>
            </w:r>
          </w:p>
        </w:tc>
        <w:tc>
          <w:tcPr>
            <w:tcW w:w="5222" w:type="dxa"/>
            <w:tcMar>
              <w:top w:w="70" w:type="dxa"/>
              <w:left w:w="90" w:type="dxa"/>
              <w:bottom w:w="70" w:type="dxa"/>
              <w:right w:w="90" w:type="dxa"/>
            </w:tcMar>
            <w:vAlign w:val="center"/>
          </w:tcPr>
          <w:p w14:paraId="23303B53" w14:textId="1C0F580F"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Demonstrated reasoning/action research approach; vendor-described ITSM functionality and announced commercial offerings. Availability does not prove uptake or profitability; entrepreneurship is unestablished. Innovation degree remains uncertain/mixed against conventional automation; no global breakthrough claim.</w:t>
            </w:r>
          </w:p>
        </w:tc>
      </w:tr>
      <w:tr w:rsidR="00913E77" w:rsidRPr="000C1D13" w14:paraId="4039B522" w14:textId="77777777" w:rsidTr="002E6DF3">
        <w:trPr>
          <w:jc w:val="center"/>
        </w:trPr>
        <w:tc>
          <w:tcPr>
            <w:tcW w:w="5222" w:type="dxa"/>
            <w:tcMar>
              <w:top w:w="70" w:type="dxa"/>
              <w:left w:w="90" w:type="dxa"/>
              <w:bottom w:w="70" w:type="dxa"/>
              <w:right w:w="90" w:type="dxa"/>
            </w:tcMar>
          </w:tcPr>
          <w:p w14:paraId="72CB9ACB"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ET for this application</w:t>
            </w:r>
          </w:p>
        </w:tc>
        <w:tc>
          <w:tcPr>
            <w:tcW w:w="5222" w:type="dxa"/>
            <w:tcMar>
              <w:top w:w="70" w:type="dxa"/>
              <w:left w:w="90" w:type="dxa"/>
              <w:bottom w:w="70" w:type="dxa"/>
              <w:right w:w="90" w:type="dxa"/>
            </w:tcMar>
            <w:vAlign w:val="center"/>
          </w:tcPr>
          <w:p w14:paraId="07FE4214" w14:textId="2DDBB443"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Proposed process innovation in standard-ticket delivery; incremental optimization and substantial local process change are competing interpretations. Original cases establish no measured local value. Supplementary pilot support is hypothetical and does not establish general reliability or model-directed control.</w:t>
            </w:r>
          </w:p>
        </w:tc>
      </w:tr>
      <w:tr w:rsidR="00913E77" w:rsidRPr="000C1D13" w14:paraId="603F2205" w14:textId="77777777" w:rsidTr="002E6DF3">
        <w:trPr>
          <w:jc w:val="center"/>
        </w:trPr>
        <w:tc>
          <w:tcPr>
            <w:tcW w:w="5222" w:type="dxa"/>
            <w:tcMar>
              <w:top w:w="70" w:type="dxa"/>
              <w:left w:w="90" w:type="dxa"/>
              <w:bottom w:w="70" w:type="dxa"/>
              <w:right w:w="90" w:type="dxa"/>
            </w:tcMar>
          </w:tcPr>
          <w:p w14:paraId="00E6B837"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ET for this application in this organization</w:t>
            </w:r>
          </w:p>
        </w:tc>
        <w:tc>
          <w:tcPr>
            <w:tcW w:w="5222" w:type="dxa"/>
            <w:tcMar>
              <w:top w:w="70" w:type="dxa"/>
              <w:left w:w="90" w:type="dxa"/>
              <w:bottom w:w="70" w:type="dxa"/>
              <w:right w:w="90" w:type="dxa"/>
            </w:tcMar>
            <w:vAlign w:val="center"/>
          </w:tcPr>
          <w:p w14:paraId="2E35C7CF" w14:textId="5814303B"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Primary: capacity, cost, delivery, and funding mechanisms; v0.2 withholds severity because materiality is missing. Hour-billed contrast: substitution may reduce chargeable activity, subject to terms and offsets; severity withheld. Unspecified pricing: request the capture basis and keep alternatives conditional. Supplementary: conditional High capture exposure; 60% affected revenue × 50% effort substitution implies approximately 30% baseline revenue exposure at full realization, not actual loss, profit change, or insolvency.</w:t>
            </w:r>
          </w:p>
        </w:tc>
      </w:tr>
      <w:tr w:rsidR="00913E77" w:rsidRPr="000C1D13" w14:paraId="6CD34640" w14:textId="77777777" w:rsidTr="002E6DF3">
        <w:trPr>
          <w:jc w:val="center"/>
        </w:trPr>
        <w:tc>
          <w:tcPr>
            <w:tcW w:w="5222" w:type="dxa"/>
            <w:tcMar>
              <w:top w:w="70" w:type="dxa"/>
              <w:left w:w="90" w:type="dxa"/>
              <w:bottom w:w="70" w:type="dxa"/>
              <w:right w:w="90" w:type="dxa"/>
            </w:tcMar>
          </w:tcPr>
          <w:p w14:paraId="71090CA4"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Bounded management implication</w:t>
            </w:r>
          </w:p>
        </w:tc>
        <w:tc>
          <w:tcPr>
            <w:tcW w:w="5222" w:type="dxa"/>
            <w:tcMar>
              <w:top w:w="70" w:type="dxa"/>
              <w:left w:w="90" w:type="dxa"/>
              <w:bottom w:w="70" w:type="dxa"/>
              <w:right w:w="90" w:type="dxa"/>
            </w:tcMar>
            <w:vAlign w:val="center"/>
          </w:tcPr>
          <w:p w14:paraId="0336EA9D" w14:textId="08745885"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Assess value created through service capacity and effort substitution alongside displaced routine effort and chargeable hours. Stage contract-compatible analysis and examine adaptation; this specialist does not approve deployment. Refer adoption to Adoption; readiness/governance to Organizational Adoption; alternatives/competitors to Landscape; timing/spread to Diffusion; civilization-scale significance to Promethean.</w:t>
            </w:r>
            <w:r w:rsidRPr="000C1D13">
              <w:rPr>
                <w:rFonts w:asciiTheme="majorHAnsi" w:hAnsiTheme="majorHAnsi" w:cstheme="majorHAnsi"/>
                <w:sz w:val="22"/>
              </w:rPr>
              <w:t xml:space="preserve"> Early adoption could introduce service errors and implementation costs, while delaying a response could leave the organization exposed if </w:t>
            </w:r>
            <w:r w:rsidRPr="000C1D13">
              <w:rPr>
                <w:rFonts w:asciiTheme="majorHAnsi" w:hAnsiTheme="majorHAnsi" w:cstheme="majorHAnsi"/>
                <w:sz w:val="22"/>
              </w:rPr>
              <w:lastRenderedPageBreak/>
              <w:t>competitors deliver comparable service more efficiently. Current evidence does not establish competitor adoption; both risks require assessment.</w:t>
            </w:r>
          </w:p>
        </w:tc>
      </w:tr>
      <w:tr w:rsidR="00913E77" w:rsidRPr="000C1D13" w14:paraId="31BD14F3" w14:textId="77777777" w:rsidTr="002E6DF3">
        <w:trPr>
          <w:jc w:val="center"/>
        </w:trPr>
        <w:tc>
          <w:tcPr>
            <w:tcW w:w="5222" w:type="dxa"/>
            <w:tcMar>
              <w:top w:w="70" w:type="dxa"/>
              <w:left w:w="90" w:type="dxa"/>
              <w:bottom w:w="70" w:type="dxa"/>
              <w:right w:w="90" w:type="dxa"/>
            </w:tcMar>
          </w:tcPr>
          <w:p w14:paraId="003AEE75"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lastRenderedPageBreak/>
              <w:t>Confidence / uncertainty</w:t>
            </w:r>
          </w:p>
        </w:tc>
        <w:tc>
          <w:tcPr>
            <w:tcW w:w="5222" w:type="dxa"/>
            <w:tcMar>
              <w:top w:w="70" w:type="dxa"/>
              <w:left w:w="90" w:type="dxa"/>
              <w:bottom w:w="70" w:type="dxa"/>
              <w:right w:w="90" w:type="dxa"/>
            </w:tcMar>
            <w:vAlign w:val="center"/>
          </w:tcPr>
          <w:p w14:paraId="6FDAA371" w14:textId="7FF77E80"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Narrow general claims are supported; degree classification remains qualified. Original organizational severity lacks decisive economic evidence. Supplementary capture judgment is supported only within stipulated premises; rollout, costs, and adaptation remain uncertain. Safeguards do not prove limited economic impact.</w:t>
            </w:r>
          </w:p>
        </w:tc>
      </w:tr>
      <w:tr w:rsidR="00913E77" w:rsidRPr="000C1D13" w14:paraId="6347CF09" w14:textId="77777777" w:rsidTr="002E6DF3">
        <w:trPr>
          <w:jc w:val="center"/>
        </w:trPr>
        <w:tc>
          <w:tcPr>
            <w:tcW w:w="5222" w:type="dxa"/>
            <w:tcMar>
              <w:top w:w="70" w:type="dxa"/>
              <w:left w:w="90" w:type="dxa"/>
              <w:bottom w:w="70" w:type="dxa"/>
              <w:right w:w="90" w:type="dxa"/>
            </w:tcMar>
          </w:tcPr>
          <w:p w14:paraId="3DD9698C"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What evidence or condition would change the conclusion</w:t>
            </w:r>
          </w:p>
        </w:tc>
        <w:tc>
          <w:tcPr>
            <w:tcW w:w="5222" w:type="dxa"/>
            <w:tcMar>
              <w:top w:w="70" w:type="dxa"/>
              <w:left w:w="90" w:type="dxa"/>
              <w:bottom w:w="70" w:type="dxa"/>
              <w:right w:w="90" w:type="dxa"/>
            </w:tcMar>
            <w:vAlign w:val="center"/>
          </w:tcPr>
          <w:p w14:paraId="58B2ED56" w14:textId="6CD413DD"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Comparative conventional-automation results and action-selection traces could refine innovation degree. Affected-work scale, cost/funding dependence, chargeable share, actual pricing/terms, rollout coverage, and feasible adaptation could change severity. Net-profit and viability claims need relevant financial evidence.</w:t>
            </w:r>
          </w:p>
        </w:tc>
      </w:tr>
    </w:tbl>
    <w:p w14:paraId="54DE8175" w14:textId="77777777" w:rsidR="00A75179" w:rsidRPr="000C1D13" w:rsidRDefault="00000000">
      <w:pPr>
        <w:pStyle w:val="Heading1"/>
        <w:rPr>
          <w:rFonts w:cstheme="majorHAnsi"/>
        </w:rPr>
      </w:pPr>
      <w:r w:rsidRPr="000C1D13">
        <w:rPr>
          <w:rFonts w:cstheme="majorHAnsi"/>
        </w:rPr>
        <w:t>D. Evidence and Testing</w:t>
      </w:r>
    </w:p>
    <w:tbl>
      <w:tblPr>
        <w:tblStyle w:val="TableGrid"/>
        <w:tblW w:w="0" w:type="auto"/>
        <w:jc w:val="center"/>
        <w:tblLook w:val="04A0" w:firstRow="1" w:lastRow="0" w:firstColumn="1" w:lastColumn="0" w:noHBand="0" w:noVBand="1"/>
      </w:tblPr>
      <w:tblGrid>
        <w:gridCol w:w="5114"/>
        <w:gridCol w:w="5330"/>
      </w:tblGrid>
      <w:tr w:rsidR="00A75179" w:rsidRPr="000C1D13" w14:paraId="6B2D7428" w14:textId="77777777" w:rsidTr="00B95843">
        <w:trPr>
          <w:jc w:val="center"/>
        </w:trPr>
        <w:tc>
          <w:tcPr>
            <w:tcW w:w="5114" w:type="dxa"/>
            <w:shd w:val="clear" w:color="auto" w:fill="57068C"/>
            <w:tcMar>
              <w:top w:w="70" w:type="dxa"/>
              <w:left w:w="90" w:type="dxa"/>
              <w:bottom w:w="70" w:type="dxa"/>
              <w:right w:w="90" w:type="dxa"/>
            </w:tcMar>
          </w:tcPr>
          <w:p w14:paraId="771942A3"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Field</w:t>
            </w:r>
          </w:p>
        </w:tc>
        <w:tc>
          <w:tcPr>
            <w:tcW w:w="5330" w:type="dxa"/>
            <w:shd w:val="clear" w:color="auto" w:fill="57068C"/>
            <w:tcMar>
              <w:top w:w="70" w:type="dxa"/>
              <w:left w:w="90" w:type="dxa"/>
              <w:bottom w:w="70" w:type="dxa"/>
              <w:right w:w="90" w:type="dxa"/>
            </w:tcMar>
          </w:tcPr>
          <w:p w14:paraId="1F1E5EF4"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Student record</w:t>
            </w:r>
          </w:p>
        </w:tc>
      </w:tr>
      <w:tr w:rsidR="00913E77" w:rsidRPr="000C1D13" w14:paraId="01A3B95C" w14:textId="77777777" w:rsidTr="00B95843">
        <w:trPr>
          <w:jc w:val="center"/>
        </w:trPr>
        <w:tc>
          <w:tcPr>
            <w:tcW w:w="5114" w:type="dxa"/>
            <w:tcMar>
              <w:top w:w="70" w:type="dxa"/>
              <w:left w:w="90" w:type="dxa"/>
              <w:bottom w:w="70" w:type="dxa"/>
              <w:right w:w="90" w:type="dxa"/>
            </w:tcMar>
          </w:tcPr>
          <w:p w14:paraId="49CE013E"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Most important evidence/source(s)</w:t>
            </w:r>
          </w:p>
        </w:tc>
        <w:tc>
          <w:tcPr>
            <w:tcW w:w="5330" w:type="dxa"/>
            <w:tcMar>
              <w:top w:w="70" w:type="dxa"/>
              <w:left w:w="90" w:type="dxa"/>
              <w:bottom w:w="70" w:type="dxa"/>
              <w:right w:w="90" w:type="dxa"/>
            </w:tcMar>
            <w:vAlign w:val="center"/>
          </w:tcPr>
          <w:p w14:paraId="7F1271C6" w14:textId="3A55800B"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 xml:space="preserve">E1 </w:t>
            </w:r>
            <w:proofErr w:type="spellStart"/>
            <w:r w:rsidRPr="000C1D13">
              <w:rPr>
                <w:rFonts w:asciiTheme="majorHAnsi" w:hAnsiTheme="majorHAnsi" w:cstheme="majorHAnsi"/>
                <w:color w:val="000000"/>
                <w:sz w:val="22"/>
              </w:rPr>
              <w:t>ReAct</w:t>
            </w:r>
            <w:proofErr w:type="spellEnd"/>
            <w:r w:rsidRPr="000C1D13">
              <w:rPr>
                <w:rFonts w:asciiTheme="majorHAnsi" w:hAnsiTheme="majorHAnsi" w:cstheme="majorHAnsi"/>
                <w:color w:val="000000"/>
                <w:sz w:val="22"/>
              </w:rPr>
              <w:t>, submitted 2022-10-06; revised 2023-03-10: https://arxiv.org/abs/2210.03629</w:t>
            </w:r>
            <w:r w:rsidRPr="000C1D13">
              <w:rPr>
                <w:rFonts w:asciiTheme="majorHAnsi" w:hAnsiTheme="majorHAnsi" w:cstheme="majorHAnsi"/>
                <w:color w:val="000000"/>
                <w:sz w:val="22"/>
              </w:rPr>
              <w:br/>
              <w:t>E2 Building effective agents, 2024-12-19: https://www.anthropic.com/engineering/building-effective-agents</w:t>
            </w:r>
            <w:r w:rsidRPr="000C1D13">
              <w:rPr>
                <w:rFonts w:asciiTheme="majorHAnsi" w:hAnsiTheme="majorHAnsi" w:cstheme="majorHAnsi"/>
                <w:color w:val="000000"/>
                <w:sz w:val="22"/>
              </w:rPr>
              <w:br/>
              <w:t>E3 ServiceNow platform release announcement, 2025-03-12: exact URL and scope in records/evidence_register.md. Supports announced availability only.</w:t>
            </w:r>
            <w:r w:rsidRPr="000C1D13">
              <w:rPr>
                <w:rFonts w:asciiTheme="majorHAnsi" w:hAnsiTheme="majorHAnsi" w:cstheme="majorHAnsi"/>
                <w:color w:val="000000"/>
                <w:sz w:val="22"/>
              </w:rPr>
              <w:br/>
              <w:t xml:space="preserve">E4 </w:t>
            </w:r>
            <w:proofErr w:type="spellStart"/>
            <w:r w:rsidRPr="000C1D13">
              <w:rPr>
                <w:rFonts w:asciiTheme="majorHAnsi" w:hAnsiTheme="majorHAnsi" w:cstheme="majorHAnsi"/>
                <w:color w:val="000000"/>
                <w:sz w:val="22"/>
              </w:rPr>
              <w:t>ITBench</w:t>
            </w:r>
            <w:proofErr w:type="spellEnd"/>
            <w:r w:rsidRPr="000C1D13">
              <w:rPr>
                <w:rFonts w:asciiTheme="majorHAnsi" w:hAnsiTheme="majorHAnsi" w:cstheme="majorHAnsi"/>
                <w:color w:val="000000"/>
                <w:sz w:val="22"/>
              </w:rPr>
              <w:t>, submitted 2025-02-07: https://arxiv.org/abs/2502.05352</w:t>
            </w:r>
            <w:r w:rsidRPr="000C1D13">
              <w:rPr>
                <w:rFonts w:asciiTheme="majorHAnsi" w:hAnsiTheme="majorHAnsi" w:cstheme="majorHAnsi"/>
                <w:color w:val="000000"/>
                <w:sz w:val="22"/>
              </w:rPr>
              <w:br/>
              <w:t>E5 ServiceNow ITSM release notes, dated May/August 2025 and January 2026: https://www.servicenow.com/docs/r/yokohama/release-notes/now-assist-for-itsm-rn.html</w:t>
            </w:r>
            <w:r w:rsidRPr="000C1D13">
              <w:rPr>
                <w:rFonts w:asciiTheme="majorHAnsi" w:hAnsiTheme="majorHAnsi" w:cstheme="majorHAnsi"/>
                <w:color w:val="000000"/>
                <w:sz w:val="22"/>
              </w:rPr>
              <w:br/>
              <w:t>All accessed 2026-10-10. Research is author-reported; vendor sources establish descriptions/offerings, not independent effectiveness, adoption, profitability, or disruption. Full titles, URLs, inspection scope, dates, limitations, and claim mapping are preserved in the evidence register.</w:t>
            </w:r>
          </w:p>
        </w:tc>
      </w:tr>
      <w:tr w:rsidR="00913E77" w:rsidRPr="000C1D13" w14:paraId="7FED655E" w14:textId="77777777" w:rsidTr="00B95843">
        <w:trPr>
          <w:jc w:val="center"/>
        </w:trPr>
        <w:tc>
          <w:tcPr>
            <w:tcW w:w="5114" w:type="dxa"/>
            <w:tcMar>
              <w:top w:w="70" w:type="dxa"/>
              <w:left w:w="90" w:type="dxa"/>
              <w:bottom w:w="70" w:type="dxa"/>
              <w:right w:w="90" w:type="dxa"/>
            </w:tcMar>
          </w:tcPr>
          <w:p w14:paraId="010ABEA4"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Primary test - result</w:t>
            </w:r>
          </w:p>
        </w:tc>
        <w:tc>
          <w:tcPr>
            <w:tcW w:w="5330" w:type="dxa"/>
            <w:tcMar>
              <w:top w:w="70" w:type="dxa"/>
              <w:left w:w="90" w:type="dxa"/>
              <w:bottom w:w="70" w:type="dxa"/>
              <w:right w:w="90" w:type="dxa"/>
            </w:tcMar>
            <w:vAlign w:val="center"/>
          </w:tcPr>
          <w:p w14:paraId="1440403F" w14:textId="01E9D20F"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v0.1: provisional Low judgment was under-supported by unspecified economic scale. v0.</w:t>
            </w:r>
            <w:proofErr w:type="gramStart"/>
            <w:r w:rsidRPr="000C1D13">
              <w:rPr>
                <w:rFonts w:asciiTheme="majorHAnsi" w:hAnsiTheme="majorHAnsi" w:cstheme="majorHAnsi"/>
                <w:color w:val="000000"/>
                <w:sz w:val="22"/>
              </w:rPr>
              <w:t>2:</w:t>
            </w:r>
            <w:proofErr w:type="gramEnd"/>
            <w:r w:rsidRPr="000C1D13">
              <w:rPr>
                <w:rFonts w:asciiTheme="majorHAnsi" w:hAnsiTheme="majorHAnsi" w:cstheme="majorHAnsi"/>
                <w:color w:val="000000"/>
                <w:sz w:val="22"/>
              </w:rPr>
              <w:t xml:space="preserve"> withholds endorsement and identifies substitutable work’s materiality to delivery and cost/funding as decisive. </w:t>
            </w:r>
            <w:r w:rsidRPr="000C1D13">
              <w:rPr>
                <w:rFonts w:asciiTheme="majorHAnsi" w:hAnsiTheme="majorHAnsi" w:cstheme="majorHAnsi"/>
                <w:color w:val="000000"/>
                <w:sz w:val="22"/>
              </w:rPr>
              <w:lastRenderedPageBreak/>
              <w:t>Improvement is the corrected inference, not the changed label. Complete raw responses preserved.</w:t>
            </w:r>
          </w:p>
        </w:tc>
      </w:tr>
      <w:tr w:rsidR="00913E77" w:rsidRPr="000C1D13" w14:paraId="0EF3A7CA" w14:textId="77777777" w:rsidTr="00B95843">
        <w:trPr>
          <w:jc w:val="center"/>
        </w:trPr>
        <w:tc>
          <w:tcPr>
            <w:tcW w:w="5114" w:type="dxa"/>
            <w:tcMar>
              <w:top w:w="70" w:type="dxa"/>
              <w:left w:w="90" w:type="dxa"/>
              <w:bottom w:w="70" w:type="dxa"/>
              <w:right w:w="90" w:type="dxa"/>
            </w:tcMar>
          </w:tcPr>
          <w:p w14:paraId="5156CCB5"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lastRenderedPageBreak/>
              <w:t>Contrast test - what appropriately stayed stable</w:t>
            </w:r>
          </w:p>
        </w:tc>
        <w:tc>
          <w:tcPr>
            <w:tcW w:w="5330" w:type="dxa"/>
            <w:tcMar>
              <w:top w:w="70" w:type="dxa"/>
              <w:left w:w="90" w:type="dxa"/>
              <w:bottom w:w="70" w:type="dxa"/>
              <w:right w:w="90" w:type="dxa"/>
            </w:tcMar>
            <w:vAlign w:val="center"/>
          </w:tcPr>
          <w:p w14:paraId="09F82016" w14:textId="74303888"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Across original cases and versions: demonstrated approach, described functionality, announced commercialization, entrepreneurship unestablished, uncertain/mixed degree, and model-directed-choice distinction. Organizational billing does not rewrite general technology evidence.</w:t>
            </w:r>
          </w:p>
        </w:tc>
      </w:tr>
      <w:tr w:rsidR="00913E77" w:rsidRPr="000C1D13" w14:paraId="7383DF73" w14:textId="77777777" w:rsidTr="00B95843">
        <w:trPr>
          <w:jc w:val="center"/>
        </w:trPr>
        <w:tc>
          <w:tcPr>
            <w:tcW w:w="5114" w:type="dxa"/>
            <w:tcMar>
              <w:top w:w="70" w:type="dxa"/>
              <w:left w:w="90" w:type="dxa"/>
              <w:bottom w:w="70" w:type="dxa"/>
              <w:right w:w="90" w:type="dxa"/>
            </w:tcMar>
          </w:tcPr>
          <w:p w14:paraId="3478A1E9"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Contrast test - what appropriately changed</w:t>
            </w:r>
          </w:p>
        </w:tc>
        <w:tc>
          <w:tcPr>
            <w:tcW w:w="5330" w:type="dxa"/>
            <w:tcMar>
              <w:top w:w="70" w:type="dxa"/>
              <w:left w:w="90" w:type="dxa"/>
              <w:bottom w:w="70" w:type="dxa"/>
              <w:right w:w="90" w:type="dxa"/>
            </w:tcMar>
            <w:vAlign w:val="center"/>
          </w:tcPr>
          <w:p w14:paraId="12E843F6" w14:textId="02F5BAD6"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Internal capacity/cost/funding differs from outsourced billable-hour capture. Unspecified-pricing case asks for the revenue model without importing one. Supplementary conditional High judgment uses material substitution and contractual capture constraints, retains a Moderate alternative, and rejects unsupported existential claims.</w:t>
            </w:r>
          </w:p>
        </w:tc>
      </w:tr>
      <w:tr w:rsidR="00913E77" w:rsidRPr="000C1D13" w14:paraId="6A866C1B" w14:textId="77777777" w:rsidTr="00B95843">
        <w:trPr>
          <w:jc w:val="center"/>
        </w:trPr>
        <w:tc>
          <w:tcPr>
            <w:tcW w:w="5114" w:type="dxa"/>
            <w:tcMar>
              <w:top w:w="70" w:type="dxa"/>
              <w:left w:w="90" w:type="dxa"/>
              <w:bottom w:w="70" w:type="dxa"/>
              <w:right w:w="90" w:type="dxa"/>
            </w:tcMar>
          </w:tcPr>
          <w:p w14:paraId="252029A1"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Weakness/failure found</w:t>
            </w:r>
          </w:p>
        </w:tc>
        <w:tc>
          <w:tcPr>
            <w:tcW w:w="5330" w:type="dxa"/>
            <w:tcMar>
              <w:top w:w="70" w:type="dxa"/>
              <w:left w:w="90" w:type="dxa"/>
              <w:bottom w:w="70" w:type="dxa"/>
              <w:right w:w="90" w:type="dxa"/>
            </w:tcMar>
            <w:vAlign w:val="center"/>
          </w:tcPr>
          <w:p w14:paraId="5DE9B9B6" w14:textId="52F5812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 xml:space="preserve">Exact v0.1 primary passage: “conditional on the application remaining bounded and supplemental to human escalation.” Supplemental/small economic scope was not supplied; bounded authority and cost-center status do not establish limited economic impact. </w:t>
            </w:r>
          </w:p>
        </w:tc>
      </w:tr>
      <w:tr w:rsidR="00913E77" w:rsidRPr="000C1D13" w14:paraId="5A381B0A" w14:textId="77777777" w:rsidTr="00B95843">
        <w:trPr>
          <w:jc w:val="center"/>
        </w:trPr>
        <w:tc>
          <w:tcPr>
            <w:tcW w:w="5114" w:type="dxa"/>
            <w:tcMar>
              <w:top w:w="70" w:type="dxa"/>
              <w:left w:w="90" w:type="dxa"/>
              <w:bottom w:w="70" w:type="dxa"/>
              <w:right w:w="90" w:type="dxa"/>
            </w:tcMar>
          </w:tcPr>
          <w:p w14:paraId="41EE44B7"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Revision made and why</w:t>
            </w:r>
          </w:p>
        </w:tc>
        <w:tc>
          <w:tcPr>
            <w:tcW w:w="5330" w:type="dxa"/>
            <w:tcMar>
              <w:top w:w="70" w:type="dxa"/>
              <w:left w:w="90" w:type="dxa"/>
              <w:bottom w:w="70" w:type="dxa"/>
              <w:right w:w="90" w:type="dxa"/>
            </w:tcMar>
            <w:vAlign w:val="center"/>
          </w:tcPr>
          <w:p w14:paraId="6CCEF273" w14:textId="72B3E598"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0.2-student adds economic materiality before severity: affirmative grounds required for Low; safeguards, posture, status, and horizon alone are insufficient; examine substitutable scale, capture/funding, delivery, and adaptation; ask only material questions. Withhold or use conditional alternatives if unsupported. Exact diff/rationale: records/revision_v0.2.md. Preserved v0.1 snapshot; unchanged cases/evidence; original cases rerun separately.</w:t>
            </w:r>
          </w:p>
        </w:tc>
      </w:tr>
      <w:tr w:rsidR="00913E77" w:rsidRPr="000C1D13" w14:paraId="1593BDCB" w14:textId="77777777" w:rsidTr="00B95843">
        <w:trPr>
          <w:jc w:val="center"/>
        </w:trPr>
        <w:tc>
          <w:tcPr>
            <w:tcW w:w="5114" w:type="dxa"/>
            <w:tcMar>
              <w:top w:w="70" w:type="dxa"/>
              <w:left w:w="90" w:type="dxa"/>
              <w:bottom w:w="70" w:type="dxa"/>
              <w:right w:w="90" w:type="dxa"/>
            </w:tcMar>
          </w:tcPr>
          <w:p w14:paraId="357232D0"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Remaining limitation / abstention condition</w:t>
            </w:r>
          </w:p>
        </w:tc>
        <w:tc>
          <w:tcPr>
            <w:tcW w:w="5330" w:type="dxa"/>
            <w:tcMar>
              <w:top w:w="70" w:type="dxa"/>
              <w:left w:w="90" w:type="dxa"/>
              <w:bottom w:w="70" w:type="dxa"/>
              <w:right w:w="90" w:type="dxa"/>
            </w:tcMar>
            <w:vAlign w:val="center"/>
          </w:tcPr>
          <w:p w14:paraId="791429C7" w14:textId="7CA92A6F"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Seven saved responses: three v0.1, three v0.2, one supplementary v0.2. Supplied validation, separate full applicable schema checks, input checks, and frozen integrity passed. All generated in the same ChatGPT/Codex session; not isolated replication or deployment tests. No independent actual ticket effectiveness, market response, financial results, or general robustness established. Supplementary pilot and company metrics are hypothetical. High/Moderate remains contestable; no rating-driven revision made.</w:t>
            </w:r>
          </w:p>
        </w:tc>
      </w:tr>
    </w:tbl>
    <w:p w14:paraId="5FE4CA05" w14:textId="77777777" w:rsidR="00A75179" w:rsidRPr="000C1D13" w:rsidRDefault="00000000">
      <w:pPr>
        <w:pStyle w:val="Heading1"/>
        <w:rPr>
          <w:rFonts w:cstheme="majorHAnsi"/>
        </w:rPr>
      </w:pPr>
      <w:r w:rsidRPr="000C1D13">
        <w:rPr>
          <w:rFonts w:cstheme="majorHAnsi"/>
        </w:rPr>
        <w:t>E. Independent Judgment and Handoff</w:t>
      </w:r>
    </w:p>
    <w:tbl>
      <w:tblPr>
        <w:tblStyle w:val="TableGrid"/>
        <w:tblW w:w="0" w:type="auto"/>
        <w:jc w:val="center"/>
        <w:tblLook w:val="04A0" w:firstRow="1" w:lastRow="0" w:firstColumn="1" w:lastColumn="0" w:noHBand="0" w:noVBand="1"/>
      </w:tblPr>
      <w:tblGrid>
        <w:gridCol w:w="5222"/>
        <w:gridCol w:w="5222"/>
      </w:tblGrid>
      <w:tr w:rsidR="00A75179" w:rsidRPr="000C1D13" w14:paraId="74343194" w14:textId="77777777" w:rsidTr="000456A2">
        <w:trPr>
          <w:jc w:val="center"/>
        </w:trPr>
        <w:tc>
          <w:tcPr>
            <w:tcW w:w="5222" w:type="dxa"/>
            <w:shd w:val="clear" w:color="auto" w:fill="57068C"/>
            <w:tcMar>
              <w:top w:w="70" w:type="dxa"/>
              <w:left w:w="90" w:type="dxa"/>
              <w:bottom w:w="70" w:type="dxa"/>
              <w:right w:w="90" w:type="dxa"/>
            </w:tcMar>
          </w:tcPr>
          <w:p w14:paraId="67270146"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Field</w:t>
            </w:r>
          </w:p>
        </w:tc>
        <w:tc>
          <w:tcPr>
            <w:tcW w:w="5222" w:type="dxa"/>
            <w:shd w:val="clear" w:color="auto" w:fill="57068C"/>
            <w:tcMar>
              <w:top w:w="70" w:type="dxa"/>
              <w:left w:w="90" w:type="dxa"/>
              <w:bottom w:w="70" w:type="dxa"/>
              <w:right w:w="90" w:type="dxa"/>
            </w:tcMar>
          </w:tcPr>
          <w:p w14:paraId="5E68C401" w14:textId="77777777" w:rsidR="00A75179" w:rsidRPr="000C1D13" w:rsidRDefault="00000000">
            <w:pPr>
              <w:spacing w:after="20"/>
              <w:rPr>
                <w:rFonts w:asciiTheme="majorHAnsi" w:hAnsiTheme="majorHAnsi" w:cstheme="majorHAnsi"/>
                <w:sz w:val="22"/>
              </w:rPr>
            </w:pPr>
            <w:r w:rsidRPr="000C1D13">
              <w:rPr>
                <w:rFonts w:asciiTheme="majorHAnsi" w:hAnsiTheme="majorHAnsi" w:cstheme="majorHAnsi"/>
                <w:b/>
                <w:color w:val="FFFFFF"/>
                <w:sz w:val="22"/>
              </w:rPr>
              <w:t>Student record</w:t>
            </w:r>
          </w:p>
        </w:tc>
      </w:tr>
      <w:tr w:rsidR="00913E77" w:rsidRPr="000C1D13" w14:paraId="676AC963" w14:textId="77777777" w:rsidTr="009909CB">
        <w:trPr>
          <w:jc w:val="center"/>
        </w:trPr>
        <w:tc>
          <w:tcPr>
            <w:tcW w:w="5222" w:type="dxa"/>
            <w:tcMar>
              <w:top w:w="70" w:type="dxa"/>
              <w:left w:w="90" w:type="dxa"/>
              <w:bottom w:w="70" w:type="dxa"/>
              <w:right w:w="90" w:type="dxa"/>
            </w:tcMar>
          </w:tcPr>
          <w:p w14:paraId="115EE518"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t>Is the agent credible enough for team consideration? Why?</w:t>
            </w:r>
          </w:p>
        </w:tc>
        <w:tc>
          <w:tcPr>
            <w:tcW w:w="5222" w:type="dxa"/>
            <w:tcMar>
              <w:top w:w="70" w:type="dxa"/>
              <w:left w:w="90" w:type="dxa"/>
              <w:bottom w:w="70" w:type="dxa"/>
              <w:right w:w="90" w:type="dxa"/>
            </w:tcMar>
            <w:vAlign w:val="center"/>
          </w:tcPr>
          <w:p w14:paraId="06A65B33" w14:textId="77777777" w:rsidR="00D24BB8" w:rsidRPr="00D24BB8" w:rsidRDefault="00D24BB8" w:rsidP="00D24BB8">
            <w:pPr>
              <w:pStyle w:val="NormalWeb"/>
              <w:rPr>
                <w:rFonts w:ascii="Calibri" w:hAnsi="Calibri" w:cs="Calibri"/>
                <w:sz w:val="22"/>
                <w:szCs w:val="22"/>
              </w:rPr>
            </w:pPr>
            <w:r w:rsidRPr="00D24BB8">
              <w:rPr>
                <w:rFonts w:ascii="Calibri" w:hAnsi="Calibri" w:cs="Calibri"/>
                <w:sz w:val="22"/>
                <w:szCs w:val="22"/>
              </w:rPr>
              <w:t xml:space="preserve">I think this agent is useful enough to bring to the team because it considers the differences between the cases </w:t>
            </w:r>
            <w:r w:rsidRPr="00D24BB8">
              <w:rPr>
                <w:rFonts w:ascii="Calibri" w:hAnsi="Calibri" w:cs="Calibri"/>
                <w:sz w:val="22"/>
                <w:szCs w:val="22"/>
              </w:rPr>
              <w:lastRenderedPageBreak/>
              <w:t>and addresses the reasoning problem found in the first test. I would still use it with human review and evidence from the actual organization, since these tests do not establish that it is ready for deployment or can predict financial results.</w:t>
            </w:r>
          </w:p>
          <w:p w14:paraId="0087739C" w14:textId="2C213B55" w:rsidR="00913E77" w:rsidRPr="00D24BB8" w:rsidRDefault="00D24BB8" w:rsidP="000C1D13">
            <w:pPr>
              <w:pStyle w:val="NormalWeb"/>
              <w:rPr>
                <w:rFonts w:ascii="Calibri" w:hAnsi="Calibri" w:cs="Calibri"/>
                <w:sz w:val="22"/>
                <w:szCs w:val="22"/>
                <w:lang w:eastAsia="zh-TW"/>
              </w:rPr>
            </w:pPr>
            <w:r w:rsidRPr="00D24BB8">
              <w:rPr>
                <w:rFonts w:ascii="Calibri" w:hAnsi="Calibri" w:cs="Calibri"/>
                <w:sz w:val="22"/>
                <w:szCs w:val="22"/>
              </w:rPr>
              <w:t xml:space="preserve">I think this application is best described as a proposed process innovation. There is not enough evidence yet to call it a breakthrough. AI could reduce routine work and help the company handle more tickets, but if the company charges for actual staff hours, saving time could also mean fewer hours it can bill. In the supplementary case, my judgment is conditional High exposure because, under the case assumptions, the affected work makes up 60% of revenue and the contracts do not allow AI processing to be billed as human time. Still, Moderate could make sense if the company only uses AI for part of the work or clients agree to different pricing. I would not assume that the company will lose money or go out of business, since lower costs, the rollout scope, and changes in pricing could affect the result. For the three original cases, I think it is reasonable to leave the severity undecided until we know how much of their work, costs, or revenue would </w:t>
            </w:r>
            <w:proofErr w:type="gramStart"/>
            <w:r w:rsidRPr="00D24BB8">
              <w:rPr>
                <w:rFonts w:ascii="Calibri" w:hAnsi="Calibri" w:cs="Calibri"/>
                <w:sz w:val="22"/>
                <w:szCs w:val="22"/>
              </w:rPr>
              <w:t>actually be</w:t>
            </w:r>
            <w:proofErr w:type="gramEnd"/>
            <w:r w:rsidRPr="00D24BB8">
              <w:rPr>
                <w:rFonts w:ascii="Calibri" w:hAnsi="Calibri" w:cs="Calibri"/>
                <w:sz w:val="22"/>
                <w:szCs w:val="22"/>
              </w:rPr>
              <w:t xml:space="preserve"> affected.</w:t>
            </w:r>
          </w:p>
        </w:tc>
      </w:tr>
      <w:tr w:rsidR="00913E77" w:rsidRPr="000C1D13" w14:paraId="32DCBF80" w14:textId="77777777" w:rsidTr="009909CB">
        <w:trPr>
          <w:jc w:val="center"/>
        </w:trPr>
        <w:tc>
          <w:tcPr>
            <w:tcW w:w="5222" w:type="dxa"/>
            <w:tcMar>
              <w:top w:w="70" w:type="dxa"/>
              <w:left w:w="90" w:type="dxa"/>
              <w:bottom w:w="70" w:type="dxa"/>
              <w:right w:w="90" w:type="dxa"/>
            </w:tcMar>
          </w:tcPr>
          <w:p w14:paraId="06BCD122"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lastRenderedPageBreak/>
              <w:t>Most important recommendation to the team</w:t>
            </w:r>
          </w:p>
        </w:tc>
        <w:tc>
          <w:tcPr>
            <w:tcW w:w="5222" w:type="dxa"/>
            <w:tcMar>
              <w:top w:w="70" w:type="dxa"/>
              <w:left w:w="90" w:type="dxa"/>
              <w:bottom w:w="70" w:type="dxa"/>
              <w:right w:w="90" w:type="dxa"/>
            </w:tcMar>
            <w:vAlign w:val="center"/>
          </w:tcPr>
          <w:p w14:paraId="36E90FFA" w14:textId="77777777" w:rsidR="00D24BB8" w:rsidRPr="00D24BB8" w:rsidRDefault="00D24BB8" w:rsidP="00D24BB8">
            <w:pPr>
              <w:pStyle w:val="NormalWeb"/>
              <w:rPr>
                <w:rFonts w:ascii="Calibri" w:hAnsi="Calibri" w:cs="Calibri"/>
                <w:sz w:val="22"/>
                <w:szCs w:val="22"/>
              </w:rPr>
            </w:pPr>
            <w:r w:rsidRPr="00D24BB8">
              <w:rPr>
                <w:rFonts w:ascii="Calibri" w:hAnsi="Calibri" w:cs="Calibri"/>
                <w:sz w:val="22"/>
                <w:szCs w:val="22"/>
              </w:rPr>
              <w:t>I would bring the v0.2 agent package and its test records to the team. I think we should keep the distinctions between invention, innovation, commercialization, and entrepreneurship, and assess innovation degree separately from business-model disruption. We should also keep the v0.2 rule that a disruption rating needs evidence about how much of the organization’s work, costs, or revenue could be affected.</w:t>
            </w:r>
          </w:p>
          <w:p w14:paraId="2616A949" w14:textId="77777777" w:rsidR="00D24BB8" w:rsidRPr="00D24BB8" w:rsidRDefault="00D24BB8" w:rsidP="00D24BB8">
            <w:pPr>
              <w:pStyle w:val="NormalWeb"/>
              <w:rPr>
                <w:rFonts w:ascii="Calibri" w:hAnsi="Calibri" w:cs="Calibri"/>
                <w:sz w:val="22"/>
                <w:szCs w:val="22"/>
              </w:rPr>
            </w:pPr>
            <w:r w:rsidRPr="00D24BB8">
              <w:rPr>
                <w:rFonts w:ascii="Calibri" w:hAnsi="Calibri" w:cs="Calibri"/>
                <w:sz w:val="22"/>
                <w:szCs w:val="22"/>
              </w:rPr>
              <w:t>What stood out to me is that saving time can have different effects depending on how the organization works. An internal IT department might use the saved time to handle more tickets, while a company that charges for staff hours could have fewer hours to bill. In the supplementary case, the revenue share and contract terms made this more serious: about 30% of baseline revenue could be exposed if the assumed substitution is fully achieved, but that does not mean an actual 30% loss.</w:t>
            </w:r>
          </w:p>
          <w:p w14:paraId="14AFAF17" w14:textId="57A79A9A" w:rsidR="00913E77" w:rsidRPr="00D24BB8" w:rsidRDefault="00D24BB8" w:rsidP="0060374F">
            <w:pPr>
              <w:pStyle w:val="NormalWeb"/>
              <w:rPr>
                <w:rFonts w:ascii="Calibri" w:hAnsi="Calibri" w:cs="Calibri"/>
                <w:sz w:val="22"/>
                <w:szCs w:val="22"/>
                <w:lang w:eastAsia="zh-TW"/>
              </w:rPr>
            </w:pPr>
            <w:r w:rsidRPr="00D24BB8">
              <w:rPr>
                <w:rFonts w:ascii="Calibri" w:hAnsi="Calibri" w:cs="Calibri"/>
                <w:sz w:val="22"/>
                <w:szCs w:val="22"/>
              </w:rPr>
              <w:t xml:space="preserve">I would bring the supplementary case as a borderline example between High and Moderate. The revenue dependence and contract restrictions support High exposure, but limited rollout or successful repricing </w:t>
            </w:r>
            <w:r w:rsidRPr="00D24BB8">
              <w:rPr>
                <w:rFonts w:ascii="Calibri" w:hAnsi="Calibri" w:cs="Calibri"/>
                <w:sz w:val="22"/>
                <w:szCs w:val="22"/>
              </w:rPr>
              <w:lastRenderedPageBreak/>
              <w:t>could make Moderate more reasonable. The unspecified-pricing case is also useful for showing when the agent needs more information before judging revenue effects. When we combine our agents, we should be careful not to assume that a newer technology automatically means a bigger organizational or competitive impact.</w:t>
            </w:r>
          </w:p>
        </w:tc>
      </w:tr>
      <w:tr w:rsidR="00913E77" w:rsidRPr="000C1D13" w14:paraId="3DFA21CF" w14:textId="77777777" w:rsidTr="009909CB">
        <w:trPr>
          <w:jc w:val="center"/>
        </w:trPr>
        <w:tc>
          <w:tcPr>
            <w:tcW w:w="5222" w:type="dxa"/>
            <w:tcMar>
              <w:top w:w="70" w:type="dxa"/>
              <w:left w:w="90" w:type="dxa"/>
              <w:bottom w:w="70" w:type="dxa"/>
              <w:right w:w="90" w:type="dxa"/>
            </w:tcMar>
          </w:tcPr>
          <w:p w14:paraId="59AB698A" w14:textId="77777777"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sz w:val="22"/>
              </w:rPr>
              <w:lastRenderedPageBreak/>
              <w:t xml:space="preserve">AI / verification </w:t>
            </w:r>
            <w:proofErr w:type="gramStart"/>
            <w:r w:rsidRPr="000C1D13">
              <w:rPr>
                <w:rFonts w:asciiTheme="majorHAnsi" w:hAnsiTheme="majorHAnsi" w:cstheme="majorHAnsi"/>
                <w:sz w:val="22"/>
              </w:rPr>
              <w:t>note</w:t>
            </w:r>
            <w:proofErr w:type="gramEnd"/>
          </w:p>
        </w:tc>
        <w:tc>
          <w:tcPr>
            <w:tcW w:w="5222" w:type="dxa"/>
            <w:tcMar>
              <w:top w:w="70" w:type="dxa"/>
              <w:left w:w="90" w:type="dxa"/>
              <w:bottom w:w="70" w:type="dxa"/>
              <w:right w:w="90" w:type="dxa"/>
            </w:tcMar>
            <w:vAlign w:val="center"/>
          </w:tcPr>
          <w:p w14:paraId="1FFCBD62" w14:textId="0E077C52" w:rsidR="00913E77" w:rsidRPr="000C1D13" w:rsidRDefault="00913E77" w:rsidP="00913E77">
            <w:pPr>
              <w:spacing w:after="20"/>
              <w:rPr>
                <w:rFonts w:asciiTheme="majorHAnsi" w:hAnsiTheme="majorHAnsi" w:cstheme="majorHAnsi"/>
                <w:sz w:val="22"/>
              </w:rPr>
            </w:pPr>
            <w:r w:rsidRPr="000C1D13">
              <w:rPr>
                <w:rFonts w:asciiTheme="majorHAnsi" w:hAnsiTheme="majorHAnsi" w:cstheme="majorHAnsi"/>
                <w:color w:val="000000"/>
                <w:sz w:val="22"/>
              </w:rPr>
              <w:t>ChatGPT/Codex inspected the scaffold, specialized editable instructions, prepared evidence summaries and packets, generated JSON runs, diagnosed the exact weakness, implemented the authorized revision, and checked outputs/integrity. Consequential claims were checked against identified primary/authoritative sources before runs; no fresh verification occurred during generation. Schema checking separately evaluated every applicable keyword of the actual schemas, beyond the basic validator. Original outputs remain unrepaired. The self-reflection is based on my own observations and views. ChatGPT helped organize them and polish the English wording.</w:t>
            </w:r>
          </w:p>
        </w:tc>
      </w:tr>
    </w:tbl>
    <w:p w14:paraId="19EA6FF8" w14:textId="77777777" w:rsidR="000456A2" w:rsidRPr="000C1D13" w:rsidRDefault="000456A2" w:rsidP="000456A2">
      <w:pPr>
        <w:pStyle w:val="Heading1"/>
        <w:spacing w:before="360"/>
        <w:rPr>
          <w:rFonts w:cstheme="majorHAnsi"/>
        </w:rPr>
      </w:pPr>
      <w:r w:rsidRPr="000C1D13">
        <w:rPr>
          <w:rFonts w:cstheme="majorHAnsi"/>
        </w:rPr>
        <w:t>F. Self</w:t>
      </w:r>
      <w:r w:rsidRPr="000C1D13">
        <w:rPr>
          <w:rFonts w:eastAsia="Microsoft JhengHei" w:cstheme="majorHAnsi"/>
          <w:lang w:eastAsia="zh-TW"/>
        </w:rPr>
        <w:t>-</w:t>
      </w:r>
      <w:r w:rsidRPr="000C1D13">
        <w:rPr>
          <w:rFonts w:cstheme="majorHAnsi"/>
          <w:lang w:eastAsia="zh-TW"/>
        </w:rPr>
        <w:t>R</w:t>
      </w:r>
      <w:r w:rsidRPr="000C1D13">
        <w:rPr>
          <w:rFonts w:cstheme="majorHAnsi"/>
        </w:rPr>
        <w:t>eflection</w:t>
      </w:r>
    </w:p>
    <w:tbl>
      <w:tblPr>
        <w:tblStyle w:val="TableGrid"/>
        <w:tblW w:w="0" w:type="auto"/>
        <w:jc w:val="center"/>
        <w:tblLook w:val="04A0" w:firstRow="1" w:lastRow="0" w:firstColumn="1" w:lastColumn="0" w:noHBand="0" w:noVBand="1"/>
      </w:tblPr>
      <w:tblGrid>
        <w:gridCol w:w="5222"/>
        <w:gridCol w:w="5222"/>
      </w:tblGrid>
      <w:tr w:rsidR="000456A2" w:rsidRPr="000C1D13" w14:paraId="2258648B" w14:textId="77777777" w:rsidTr="002E6DF3">
        <w:trPr>
          <w:cantSplit/>
          <w:tblHeader/>
          <w:jc w:val="center"/>
        </w:trPr>
        <w:tc>
          <w:tcPr>
            <w:tcW w:w="5222" w:type="dxa"/>
            <w:shd w:val="clear" w:color="auto" w:fill="57068C"/>
            <w:tcMar>
              <w:top w:w="70" w:type="dxa"/>
              <w:left w:w="90" w:type="dxa"/>
              <w:bottom w:w="70" w:type="dxa"/>
              <w:right w:w="90" w:type="dxa"/>
            </w:tcMar>
          </w:tcPr>
          <w:p w14:paraId="51D636B6" w14:textId="77777777" w:rsidR="000456A2" w:rsidRPr="000C1D13" w:rsidRDefault="000456A2" w:rsidP="005604D5">
            <w:pPr>
              <w:spacing w:after="0"/>
              <w:rPr>
                <w:rFonts w:asciiTheme="majorHAnsi" w:hAnsiTheme="majorHAnsi" w:cstheme="majorHAnsi"/>
                <w:sz w:val="22"/>
              </w:rPr>
            </w:pPr>
            <w:r w:rsidRPr="000C1D13">
              <w:rPr>
                <w:rFonts w:asciiTheme="majorHAnsi" w:hAnsiTheme="majorHAnsi" w:cstheme="majorHAnsi"/>
                <w:b/>
                <w:color w:val="FFFFFF"/>
                <w:sz w:val="22"/>
              </w:rPr>
              <w:t>Field</w:t>
            </w:r>
          </w:p>
        </w:tc>
        <w:tc>
          <w:tcPr>
            <w:tcW w:w="5222" w:type="dxa"/>
            <w:shd w:val="clear" w:color="auto" w:fill="57068C"/>
            <w:tcMar>
              <w:top w:w="70" w:type="dxa"/>
              <w:left w:w="90" w:type="dxa"/>
              <w:bottom w:w="70" w:type="dxa"/>
              <w:right w:w="90" w:type="dxa"/>
            </w:tcMar>
          </w:tcPr>
          <w:p w14:paraId="21FDD81C" w14:textId="77777777" w:rsidR="000456A2" w:rsidRPr="000C1D13" w:rsidRDefault="000456A2" w:rsidP="005604D5">
            <w:pPr>
              <w:spacing w:after="0" w:line="240" w:lineRule="auto"/>
              <w:rPr>
                <w:rFonts w:asciiTheme="majorHAnsi" w:hAnsiTheme="majorHAnsi" w:cstheme="majorHAnsi"/>
                <w:sz w:val="22"/>
              </w:rPr>
            </w:pPr>
            <w:r w:rsidRPr="000C1D13">
              <w:rPr>
                <w:rFonts w:asciiTheme="majorHAnsi" w:hAnsiTheme="majorHAnsi" w:cstheme="majorHAnsi"/>
                <w:b/>
                <w:color w:val="FFFFFF"/>
                <w:sz w:val="22"/>
              </w:rPr>
              <w:t>Student record</w:t>
            </w:r>
          </w:p>
        </w:tc>
      </w:tr>
      <w:tr w:rsidR="00913E77" w:rsidRPr="000C1D13" w14:paraId="324F927F" w14:textId="77777777" w:rsidTr="002E6DF3">
        <w:trPr>
          <w:cantSplit/>
          <w:jc w:val="center"/>
        </w:trPr>
        <w:tc>
          <w:tcPr>
            <w:tcW w:w="5222" w:type="dxa"/>
            <w:tcMar>
              <w:top w:w="70" w:type="dxa"/>
              <w:left w:w="90" w:type="dxa"/>
              <w:bottom w:w="70" w:type="dxa"/>
              <w:right w:w="90" w:type="dxa"/>
            </w:tcMar>
          </w:tcPr>
          <w:p w14:paraId="3415EF14" w14:textId="77777777" w:rsidR="00913E77" w:rsidRPr="000C1D13" w:rsidRDefault="00913E77" w:rsidP="00913E77">
            <w:pPr>
              <w:spacing w:after="0"/>
              <w:rPr>
                <w:rFonts w:asciiTheme="majorHAnsi" w:hAnsiTheme="majorHAnsi" w:cstheme="majorHAnsi"/>
                <w:sz w:val="22"/>
              </w:rPr>
            </w:pPr>
            <w:r w:rsidRPr="000C1D13">
              <w:rPr>
                <w:rFonts w:asciiTheme="majorHAnsi" w:hAnsiTheme="majorHAnsi" w:cstheme="majorHAnsi"/>
                <w:sz w:val="22"/>
              </w:rPr>
              <w:t>Self-reflection</w:t>
            </w:r>
          </w:p>
        </w:tc>
        <w:tc>
          <w:tcPr>
            <w:tcW w:w="5222" w:type="dxa"/>
            <w:tcMar>
              <w:top w:w="70" w:type="dxa"/>
              <w:left w:w="90" w:type="dxa"/>
              <w:bottom w:w="70" w:type="dxa"/>
              <w:right w:w="90" w:type="dxa"/>
            </w:tcMar>
            <w:vAlign w:val="center"/>
          </w:tcPr>
          <w:p w14:paraId="4881B027" w14:textId="3C62F8BE" w:rsidR="00913E77" w:rsidRPr="000C1D13" w:rsidRDefault="00913E77" w:rsidP="00913E77">
            <w:pPr>
              <w:spacing w:after="0" w:line="240" w:lineRule="auto"/>
              <w:rPr>
                <w:rFonts w:asciiTheme="majorHAnsi" w:hAnsiTheme="majorHAnsi" w:cstheme="majorHAnsi"/>
                <w:sz w:val="22"/>
                <w:lang w:eastAsia="zh-TW"/>
              </w:rPr>
            </w:pPr>
            <w:r w:rsidRPr="000C1D13">
              <w:rPr>
                <w:rFonts w:asciiTheme="majorHAnsi" w:hAnsiTheme="majorHAnsi" w:cstheme="majorHAnsi"/>
                <w:sz w:val="22"/>
              </w:rPr>
              <w:t>The hourly-billing case stood out to me because if AI reduces the time people spend on a task, it could also reduce what the company can charge. My first reaction was that this would mean lower revenue, but contracts, demand, and changes in pricing also matter. Saving time in an internal IT department and saving time in a company that sells working hours can therefore have different consequences. I also think people still need to evaluate the agent’s conclusions. The first Low rating is a good example: having human escalation does not tell us how much of the company’s work could be replaced. For future evaluations, I would pay more attention to the assumptions behind a rating and ask what information would change it, especially when the company’s revenue model is unclear.</w:t>
            </w:r>
          </w:p>
        </w:tc>
      </w:tr>
    </w:tbl>
    <w:p w14:paraId="3FEFC76F" w14:textId="77777777" w:rsidR="00995421" w:rsidRPr="000C1D13" w:rsidRDefault="00995421">
      <w:pPr>
        <w:rPr>
          <w:rFonts w:asciiTheme="majorHAnsi" w:hAnsiTheme="majorHAnsi" w:cstheme="majorHAnsi"/>
        </w:rPr>
      </w:pPr>
    </w:p>
    <w:sectPr w:rsidR="00995421" w:rsidRPr="000C1D13"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096233" w14:textId="77777777" w:rsidR="0003315A" w:rsidRDefault="0003315A">
      <w:pPr>
        <w:spacing w:after="0" w:line="240" w:lineRule="auto"/>
        <w:rPr>
          <w:rFonts w:hint="eastAsia"/>
        </w:rPr>
      </w:pPr>
      <w:r>
        <w:separator/>
      </w:r>
    </w:p>
  </w:endnote>
  <w:endnote w:type="continuationSeparator" w:id="0">
    <w:p w14:paraId="03EDA2DF" w14:textId="77777777" w:rsidR="0003315A" w:rsidRDefault="0003315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icrosoft JhengHei">
    <w:panose1 w:val="020B0604030504040204"/>
    <w:charset w:val="88"/>
    <w:family w:val="swiss"/>
    <w:pitch w:val="variable"/>
    <w:sig w:usb0="00000087" w:usb1="288F40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782C6" w14:textId="77777777"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FEBBED" w14:textId="77777777" w:rsidR="0003315A" w:rsidRDefault="0003315A">
      <w:pPr>
        <w:spacing w:after="0" w:line="240" w:lineRule="auto"/>
        <w:rPr>
          <w:rFonts w:hint="eastAsia"/>
        </w:rPr>
      </w:pPr>
      <w:r>
        <w:separator/>
      </w:r>
    </w:p>
  </w:footnote>
  <w:footnote w:type="continuationSeparator" w:id="0">
    <w:p w14:paraId="41F33EA7" w14:textId="77777777" w:rsidR="0003315A" w:rsidRDefault="0003315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A96C3F" w14:textId="77777777"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15A"/>
    <w:rsid w:val="00034616"/>
    <w:rsid w:val="000456A2"/>
    <w:rsid w:val="0006063C"/>
    <w:rsid w:val="00090E69"/>
    <w:rsid w:val="000C1D13"/>
    <w:rsid w:val="0015074B"/>
    <w:rsid w:val="00163DC5"/>
    <w:rsid w:val="00214B14"/>
    <w:rsid w:val="00262995"/>
    <w:rsid w:val="0029639D"/>
    <w:rsid w:val="002E6DF3"/>
    <w:rsid w:val="00326F90"/>
    <w:rsid w:val="003A5253"/>
    <w:rsid w:val="003C0390"/>
    <w:rsid w:val="005224B0"/>
    <w:rsid w:val="0060374F"/>
    <w:rsid w:val="00630F3A"/>
    <w:rsid w:val="006D2B92"/>
    <w:rsid w:val="006E721C"/>
    <w:rsid w:val="00797697"/>
    <w:rsid w:val="00843166"/>
    <w:rsid w:val="00870B15"/>
    <w:rsid w:val="00913E77"/>
    <w:rsid w:val="00995421"/>
    <w:rsid w:val="009D7B57"/>
    <w:rsid w:val="00A75179"/>
    <w:rsid w:val="00AA1D8D"/>
    <w:rsid w:val="00B47730"/>
    <w:rsid w:val="00B95843"/>
    <w:rsid w:val="00C93EDA"/>
    <w:rsid w:val="00CB0664"/>
    <w:rsid w:val="00D21B40"/>
    <w:rsid w:val="00D24BB8"/>
    <w:rsid w:val="00D8779D"/>
    <w:rsid w:val="00E3748A"/>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1E77B"/>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 w:type="paragraph" w:styleId="NormalWeb">
    <w:name w:val="Normal (Web)"/>
    <w:basedOn w:val="Normal"/>
    <w:uiPriority w:val="99"/>
    <w:unhideWhenUsed/>
    <w:rsid w:val="0060374F"/>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1895</Words>
  <Characters>10802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馨 黃</cp:lastModifiedBy>
  <cp:revision>23</cp:revision>
  <dcterms:created xsi:type="dcterms:W3CDTF">2026-08-13T19:48:00Z</dcterms:created>
  <dcterms:modified xsi:type="dcterms:W3CDTF">2026-10-11T02:05:00Z</dcterms:modified>
  <cp:category/>
</cp:coreProperties>
</file>