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A1E742" w14:textId="77777777" w:rsidR="00CE2988" w:rsidRPr="00ED5D7D" w:rsidRDefault="00000000">
      <w:pPr>
        <w:jc w:val="center"/>
        <w:rPr>
          <w:rFonts w:asciiTheme="majorHAnsi" w:hAnsiTheme="majorHAnsi" w:cstheme="majorHAnsi"/>
        </w:rPr>
      </w:pPr>
      <w:r w:rsidRPr="00ED5D7D">
        <w:rPr>
          <w:rFonts w:asciiTheme="majorHAnsi" w:hAnsiTheme="majorHAnsi" w:cstheme="majorHAnsi"/>
          <w:b/>
          <w:color w:val="57068C"/>
          <w:sz w:val="28"/>
        </w:rPr>
        <w:t>EMERGING TECHNOLOGIES</w:t>
      </w:r>
    </w:p>
    <w:p w14:paraId="4631890C" w14:textId="77777777" w:rsidR="00CE2988" w:rsidRPr="00ED5D7D" w:rsidRDefault="00000000">
      <w:pPr>
        <w:pStyle w:val="Title"/>
        <w:jc w:val="center"/>
        <w:rPr>
          <w:rFonts w:cstheme="majorHAnsi"/>
        </w:rPr>
      </w:pPr>
      <w:r w:rsidRPr="00ED5D7D">
        <w:rPr>
          <w:rFonts w:cstheme="majorHAnsi"/>
        </w:rPr>
        <w:t>Specialist Agent Record Template</w:t>
      </w:r>
    </w:p>
    <w:p w14:paraId="7563626E" w14:textId="77777777" w:rsidR="00CE2988" w:rsidRPr="00ED5D7D" w:rsidRDefault="00000000">
      <w:pPr>
        <w:jc w:val="center"/>
        <w:rPr>
          <w:rFonts w:asciiTheme="majorHAnsi" w:hAnsiTheme="majorHAnsi" w:cstheme="majorHAnsi"/>
        </w:rPr>
      </w:pPr>
      <w:r w:rsidRPr="00ED5D7D">
        <w:rPr>
          <w:rFonts w:asciiTheme="majorHAnsi" w:hAnsiTheme="majorHAnsi" w:cstheme="majorHAnsi"/>
        </w:rPr>
        <w:t>MASY1-GC 1800 | Assignments 2-8</w:t>
      </w:r>
    </w:p>
    <w:tbl>
      <w:tblPr>
        <w:tblW w:w="0" w:type="auto"/>
        <w:tblLook w:val="04A0" w:firstRow="1" w:lastRow="0" w:firstColumn="1" w:lastColumn="0" w:noHBand="0" w:noVBand="1"/>
      </w:tblPr>
      <w:tblGrid>
        <w:gridCol w:w="10454"/>
      </w:tblGrid>
      <w:tr w:rsidR="00CE2988" w:rsidRPr="00ED5D7D" w14:paraId="7AE6F9C8" w14:textId="77777777">
        <w:tc>
          <w:tcPr>
            <w:tcW w:w="10454" w:type="dxa"/>
            <w:shd w:val="clear" w:color="auto" w:fill="F3EDF7"/>
            <w:tcMar>
              <w:top w:w="90" w:type="dxa"/>
              <w:left w:w="120" w:type="dxa"/>
              <w:bottom w:w="90" w:type="dxa"/>
              <w:right w:w="120" w:type="dxa"/>
            </w:tcMar>
          </w:tcPr>
          <w:p w14:paraId="00C40456" w14:textId="77777777" w:rsidR="00CE2988" w:rsidRPr="00ED5D7D" w:rsidRDefault="00000000">
            <w:pPr>
              <w:pStyle w:val="Callout"/>
              <w:rPr>
                <w:rFonts w:asciiTheme="majorHAnsi" w:hAnsiTheme="majorHAnsi" w:cstheme="majorHAnsi"/>
              </w:rPr>
            </w:pPr>
            <w:r w:rsidRPr="00ED5D7D">
              <w:rPr>
                <w:rFonts w:asciiTheme="majorHAnsi" w:hAnsiTheme="majorHAnsi" w:cstheme="majorHAnsi"/>
              </w:rPr>
              <w:t>Complete this record from the evidence in your working scaffold. Keep it concise. The record documents what you specialized, how you tested it, what failed or changed, and what professional judgment you reached.</w:t>
            </w:r>
          </w:p>
        </w:tc>
      </w:tr>
    </w:tbl>
    <w:p w14:paraId="0A0963BF" w14:textId="77777777" w:rsidR="00CE2988" w:rsidRPr="00ED5D7D" w:rsidRDefault="00000000">
      <w:pPr>
        <w:pStyle w:val="Heading1"/>
        <w:rPr>
          <w:rFonts w:cstheme="majorHAnsi"/>
        </w:rPr>
      </w:pPr>
      <w:r w:rsidRPr="00ED5D7D">
        <w:rPr>
          <w:rFonts w:cstheme="majorHAnsi"/>
        </w:rPr>
        <w:t>A. Agent and Version</w:t>
      </w:r>
    </w:p>
    <w:tbl>
      <w:tblPr>
        <w:tblStyle w:val="TableGrid"/>
        <w:tblW w:w="0" w:type="auto"/>
        <w:jc w:val="center"/>
        <w:tblLook w:val="04A0" w:firstRow="1" w:lastRow="0" w:firstColumn="1" w:lastColumn="0" w:noHBand="0" w:noVBand="1"/>
      </w:tblPr>
      <w:tblGrid>
        <w:gridCol w:w="5220"/>
        <w:gridCol w:w="5224"/>
      </w:tblGrid>
      <w:tr w:rsidR="00CE2988" w:rsidRPr="00ED5D7D" w14:paraId="5BA1A8AF" w14:textId="77777777">
        <w:trPr>
          <w:jc w:val="center"/>
        </w:trPr>
        <w:tc>
          <w:tcPr>
            <w:tcW w:w="5227" w:type="dxa"/>
            <w:shd w:val="clear" w:color="auto" w:fill="57068C"/>
            <w:tcMar>
              <w:top w:w="70" w:type="dxa"/>
              <w:left w:w="90" w:type="dxa"/>
              <w:bottom w:w="70" w:type="dxa"/>
              <w:right w:w="90" w:type="dxa"/>
            </w:tcMar>
          </w:tcPr>
          <w:p w14:paraId="25445F98"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Field</w:t>
            </w:r>
          </w:p>
        </w:tc>
        <w:tc>
          <w:tcPr>
            <w:tcW w:w="5227" w:type="dxa"/>
            <w:shd w:val="clear" w:color="auto" w:fill="57068C"/>
            <w:tcMar>
              <w:top w:w="70" w:type="dxa"/>
              <w:left w:w="90" w:type="dxa"/>
              <w:bottom w:w="70" w:type="dxa"/>
              <w:right w:w="90" w:type="dxa"/>
            </w:tcMar>
          </w:tcPr>
          <w:p w14:paraId="4B140F74"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Student record</w:t>
            </w:r>
          </w:p>
        </w:tc>
      </w:tr>
      <w:tr w:rsidR="00CE2988" w:rsidRPr="00ED5D7D" w14:paraId="58E06D78" w14:textId="77777777">
        <w:trPr>
          <w:jc w:val="center"/>
        </w:trPr>
        <w:tc>
          <w:tcPr>
            <w:tcW w:w="5227" w:type="dxa"/>
            <w:tcMar>
              <w:top w:w="70" w:type="dxa"/>
              <w:left w:w="90" w:type="dxa"/>
              <w:bottom w:w="70" w:type="dxa"/>
              <w:right w:w="90" w:type="dxa"/>
            </w:tcMar>
          </w:tcPr>
          <w:p w14:paraId="63D12FB8"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Student / team</w:t>
            </w:r>
          </w:p>
        </w:tc>
        <w:tc>
          <w:tcPr>
            <w:tcW w:w="5227" w:type="dxa"/>
            <w:tcMar>
              <w:top w:w="70" w:type="dxa"/>
              <w:left w:w="90" w:type="dxa"/>
              <w:bottom w:w="70" w:type="dxa"/>
              <w:right w:w="90" w:type="dxa"/>
            </w:tcMar>
          </w:tcPr>
          <w:p w14:paraId="6B208021"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Nini Huang / Individual Assignment</w:t>
            </w:r>
          </w:p>
        </w:tc>
      </w:tr>
      <w:tr w:rsidR="00CE2988" w:rsidRPr="00ED5D7D" w14:paraId="066101C9" w14:textId="77777777">
        <w:trPr>
          <w:jc w:val="center"/>
        </w:trPr>
        <w:tc>
          <w:tcPr>
            <w:tcW w:w="5227" w:type="dxa"/>
            <w:tcMar>
              <w:top w:w="70" w:type="dxa"/>
              <w:left w:w="90" w:type="dxa"/>
              <w:bottom w:w="70" w:type="dxa"/>
              <w:right w:w="90" w:type="dxa"/>
            </w:tcMar>
          </w:tcPr>
          <w:p w14:paraId="34D47B9F"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Assignment / specialist agent</w:t>
            </w:r>
          </w:p>
        </w:tc>
        <w:tc>
          <w:tcPr>
            <w:tcW w:w="5227" w:type="dxa"/>
            <w:tcMar>
              <w:top w:w="70" w:type="dxa"/>
              <w:left w:w="90" w:type="dxa"/>
              <w:bottom w:w="70" w:type="dxa"/>
              <w:right w:w="90" w:type="dxa"/>
            </w:tcMar>
          </w:tcPr>
          <w:p w14:paraId="5697533C"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Assignment 4 — Promethean Technology Classification Agent (v0.2-student)</w:t>
            </w:r>
          </w:p>
        </w:tc>
      </w:tr>
      <w:tr w:rsidR="00CE2988" w:rsidRPr="00ED5D7D" w14:paraId="4BDFB54D" w14:textId="77777777">
        <w:trPr>
          <w:jc w:val="center"/>
        </w:trPr>
        <w:tc>
          <w:tcPr>
            <w:tcW w:w="5227" w:type="dxa"/>
            <w:tcMar>
              <w:top w:w="70" w:type="dxa"/>
              <w:left w:w="90" w:type="dxa"/>
              <w:bottom w:w="70" w:type="dxa"/>
              <w:right w:w="90" w:type="dxa"/>
            </w:tcMar>
          </w:tcPr>
          <w:p w14:paraId="528E3F74"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Date</w:t>
            </w:r>
          </w:p>
        </w:tc>
        <w:tc>
          <w:tcPr>
            <w:tcW w:w="5227" w:type="dxa"/>
            <w:tcMar>
              <w:top w:w="70" w:type="dxa"/>
              <w:left w:w="90" w:type="dxa"/>
              <w:bottom w:w="70" w:type="dxa"/>
              <w:right w:w="90" w:type="dxa"/>
            </w:tcMar>
          </w:tcPr>
          <w:p w14:paraId="36253143"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October 17, 2026</w:t>
            </w:r>
          </w:p>
        </w:tc>
      </w:tr>
      <w:tr w:rsidR="00CE2988" w:rsidRPr="00ED5D7D" w14:paraId="7A46DCA6" w14:textId="77777777">
        <w:trPr>
          <w:jc w:val="center"/>
        </w:trPr>
        <w:tc>
          <w:tcPr>
            <w:tcW w:w="5227" w:type="dxa"/>
            <w:tcMar>
              <w:top w:w="70" w:type="dxa"/>
              <w:left w:w="90" w:type="dxa"/>
              <w:bottom w:w="70" w:type="dxa"/>
              <w:right w:w="90" w:type="dxa"/>
            </w:tcMar>
          </w:tcPr>
          <w:p w14:paraId="603B1C45"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GitHub repository</w:t>
            </w:r>
          </w:p>
        </w:tc>
        <w:tc>
          <w:tcPr>
            <w:tcW w:w="5227" w:type="dxa"/>
            <w:tcMar>
              <w:top w:w="70" w:type="dxa"/>
              <w:left w:w="90" w:type="dxa"/>
              <w:bottom w:w="70" w:type="dxa"/>
              <w:right w:w="90" w:type="dxa"/>
            </w:tcMar>
          </w:tcPr>
          <w:p w14:paraId="56B85FFA"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https://github.com/ninihuang8/Lab-4-Promethean-Classification-Agent</w:t>
            </w:r>
          </w:p>
        </w:tc>
      </w:tr>
      <w:tr w:rsidR="00CE2988" w:rsidRPr="00ED5D7D" w14:paraId="7AFBFE3B" w14:textId="77777777">
        <w:trPr>
          <w:jc w:val="center"/>
        </w:trPr>
        <w:tc>
          <w:tcPr>
            <w:tcW w:w="5227" w:type="dxa"/>
            <w:tcMar>
              <w:top w:w="70" w:type="dxa"/>
              <w:left w:w="90" w:type="dxa"/>
              <w:bottom w:w="70" w:type="dxa"/>
              <w:right w:w="90" w:type="dxa"/>
            </w:tcMar>
          </w:tcPr>
          <w:p w14:paraId="0B8BBC8D"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Branch</w:t>
            </w:r>
          </w:p>
        </w:tc>
        <w:tc>
          <w:tcPr>
            <w:tcW w:w="5227" w:type="dxa"/>
            <w:tcMar>
              <w:top w:w="70" w:type="dxa"/>
              <w:left w:w="90" w:type="dxa"/>
              <w:bottom w:w="70" w:type="dxa"/>
              <w:right w:w="90" w:type="dxa"/>
            </w:tcMar>
          </w:tcPr>
          <w:p w14:paraId="0ACD2473"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assignment-4-promethean-agent-4</w:t>
            </w:r>
          </w:p>
        </w:tc>
      </w:tr>
      <w:tr w:rsidR="00CE2988" w:rsidRPr="00ED5D7D" w14:paraId="7D40F627" w14:textId="77777777">
        <w:trPr>
          <w:jc w:val="center"/>
        </w:trPr>
        <w:tc>
          <w:tcPr>
            <w:tcW w:w="5227" w:type="dxa"/>
            <w:tcMar>
              <w:top w:w="70" w:type="dxa"/>
              <w:left w:w="90" w:type="dxa"/>
              <w:bottom w:w="70" w:type="dxa"/>
              <w:right w:w="90" w:type="dxa"/>
            </w:tcMar>
          </w:tcPr>
          <w:p w14:paraId="30550EF4"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Commit</w:t>
            </w:r>
          </w:p>
        </w:tc>
        <w:tc>
          <w:tcPr>
            <w:tcW w:w="5227" w:type="dxa"/>
            <w:tcMar>
              <w:top w:w="70" w:type="dxa"/>
              <w:left w:w="90" w:type="dxa"/>
              <w:bottom w:w="70" w:type="dxa"/>
              <w:right w:w="90" w:type="dxa"/>
            </w:tcMar>
          </w:tcPr>
          <w:p w14:paraId="4A2B614F"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Pending final GitHub verification</w:t>
            </w:r>
          </w:p>
        </w:tc>
      </w:tr>
      <w:tr w:rsidR="00CE2988" w:rsidRPr="00ED5D7D" w14:paraId="3E0E967C" w14:textId="77777777">
        <w:trPr>
          <w:jc w:val="center"/>
        </w:trPr>
        <w:tc>
          <w:tcPr>
            <w:tcW w:w="5227" w:type="dxa"/>
            <w:tcMar>
              <w:top w:w="70" w:type="dxa"/>
              <w:left w:w="90" w:type="dxa"/>
              <w:bottom w:w="70" w:type="dxa"/>
              <w:right w:w="90" w:type="dxa"/>
            </w:tcMar>
          </w:tcPr>
          <w:p w14:paraId="403029EF"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Frozen scaffold version</w:t>
            </w:r>
          </w:p>
        </w:tc>
        <w:tc>
          <w:tcPr>
            <w:tcW w:w="5227" w:type="dxa"/>
            <w:tcMar>
              <w:top w:w="70" w:type="dxa"/>
              <w:left w:w="90" w:type="dxa"/>
              <w:bottom w:w="70" w:type="dxa"/>
              <w:right w:w="90" w:type="dxa"/>
            </w:tcMar>
          </w:tcPr>
          <w:p w14:paraId="12C581BB" w14:textId="77777777" w:rsidR="00CE2988" w:rsidRPr="00ED5D7D" w:rsidRDefault="00000000">
            <w:pPr>
              <w:spacing w:after="20"/>
              <w:rPr>
                <w:rFonts w:asciiTheme="majorHAnsi" w:hAnsiTheme="majorHAnsi" w:cstheme="majorHAnsi"/>
              </w:rPr>
            </w:pPr>
            <w:r w:rsidRPr="00ED5D7D">
              <w:rPr>
                <w:rFonts w:asciiTheme="majorHAnsi" w:hAnsiTheme="majorHAnsi" w:cstheme="majorHAnsi"/>
              </w:rPr>
              <w:t>MASY1800_ET_Agent_Scaffold_v1_0</w:t>
            </w:r>
          </w:p>
        </w:tc>
      </w:tr>
    </w:tbl>
    <w:p w14:paraId="50AFEBB0" w14:textId="77777777" w:rsidR="00CE2988" w:rsidRPr="00ED5D7D" w:rsidRDefault="00000000">
      <w:pPr>
        <w:pStyle w:val="Heading1"/>
        <w:rPr>
          <w:rFonts w:cstheme="majorHAnsi"/>
        </w:rPr>
      </w:pPr>
      <w:r w:rsidRPr="00ED5D7D">
        <w:rPr>
          <w:rFonts w:cstheme="majorHAnsi"/>
        </w:rPr>
        <w:t>B. Specialist Purpose and Context</w:t>
      </w:r>
    </w:p>
    <w:tbl>
      <w:tblPr>
        <w:tblStyle w:val="TableGrid"/>
        <w:tblW w:w="0" w:type="auto"/>
        <w:jc w:val="center"/>
        <w:tblLook w:val="04A0" w:firstRow="1" w:lastRow="0" w:firstColumn="1" w:lastColumn="0" w:noHBand="0" w:noVBand="1"/>
      </w:tblPr>
      <w:tblGrid>
        <w:gridCol w:w="5222"/>
        <w:gridCol w:w="5222"/>
      </w:tblGrid>
      <w:tr w:rsidR="00CE2988" w:rsidRPr="00ED5D7D" w14:paraId="090230CB" w14:textId="77777777">
        <w:trPr>
          <w:jc w:val="center"/>
        </w:trPr>
        <w:tc>
          <w:tcPr>
            <w:tcW w:w="5227" w:type="dxa"/>
            <w:shd w:val="clear" w:color="auto" w:fill="57068C"/>
            <w:tcMar>
              <w:top w:w="70" w:type="dxa"/>
              <w:left w:w="90" w:type="dxa"/>
              <w:bottom w:w="70" w:type="dxa"/>
              <w:right w:w="90" w:type="dxa"/>
            </w:tcMar>
          </w:tcPr>
          <w:p w14:paraId="07F19436"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Field</w:t>
            </w:r>
          </w:p>
        </w:tc>
        <w:tc>
          <w:tcPr>
            <w:tcW w:w="5227" w:type="dxa"/>
            <w:shd w:val="clear" w:color="auto" w:fill="57068C"/>
            <w:tcMar>
              <w:top w:w="70" w:type="dxa"/>
              <w:left w:w="90" w:type="dxa"/>
              <w:bottom w:w="70" w:type="dxa"/>
              <w:right w:w="90" w:type="dxa"/>
            </w:tcMar>
          </w:tcPr>
          <w:p w14:paraId="59CF83DA"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Student record</w:t>
            </w:r>
          </w:p>
        </w:tc>
      </w:tr>
      <w:tr w:rsidR="00CE2988" w:rsidRPr="00ED5D7D" w14:paraId="421C97F1" w14:textId="77777777">
        <w:trPr>
          <w:jc w:val="center"/>
        </w:trPr>
        <w:tc>
          <w:tcPr>
            <w:tcW w:w="5227" w:type="dxa"/>
            <w:tcMar>
              <w:top w:w="70" w:type="dxa"/>
              <w:left w:w="90" w:type="dxa"/>
              <w:bottom w:w="70" w:type="dxa"/>
              <w:right w:w="90" w:type="dxa"/>
            </w:tcMar>
          </w:tcPr>
          <w:p w14:paraId="3416931F"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Governing analytical question</w:t>
            </w:r>
          </w:p>
        </w:tc>
        <w:tc>
          <w:tcPr>
            <w:tcW w:w="5227" w:type="dxa"/>
            <w:tcMar>
              <w:top w:w="70" w:type="dxa"/>
              <w:left w:w="90" w:type="dxa"/>
              <w:bottom w:w="70" w:type="dxa"/>
              <w:right w:w="90" w:type="dxa"/>
            </w:tcMar>
          </w:tcPr>
          <w:p w14:paraId="6116C8A7"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Is Agentic AI incremental, a breakthrough, or potentially Promethean, and how should its significance influence an organizational adoption decision?</w:t>
            </w:r>
          </w:p>
        </w:tc>
      </w:tr>
      <w:tr w:rsidR="00CE2988" w:rsidRPr="00ED5D7D" w14:paraId="2DEFFFE9" w14:textId="77777777">
        <w:trPr>
          <w:jc w:val="center"/>
        </w:trPr>
        <w:tc>
          <w:tcPr>
            <w:tcW w:w="5227" w:type="dxa"/>
            <w:tcMar>
              <w:top w:w="70" w:type="dxa"/>
              <w:left w:w="90" w:type="dxa"/>
              <w:bottom w:w="70" w:type="dxa"/>
              <w:right w:w="90" w:type="dxa"/>
            </w:tcMar>
          </w:tcPr>
          <w:p w14:paraId="5DFDDA41"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Emerging technology</w:t>
            </w:r>
          </w:p>
        </w:tc>
        <w:tc>
          <w:tcPr>
            <w:tcW w:w="5227" w:type="dxa"/>
            <w:tcMar>
              <w:top w:w="70" w:type="dxa"/>
              <w:left w:w="90" w:type="dxa"/>
              <w:bottom w:w="70" w:type="dxa"/>
              <w:right w:w="90" w:type="dxa"/>
            </w:tcMar>
          </w:tcPr>
          <w:p w14:paraId="6EAAEA6B"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Agentic AI: integrated, model-directed systems selecting tool-mediated actions and using feedback under permissions and human oversight.</w:t>
            </w:r>
          </w:p>
        </w:tc>
      </w:tr>
      <w:tr w:rsidR="00CE2988" w:rsidRPr="00ED5D7D" w14:paraId="5DC29CC2" w14:textId="77777777">
        <w:trPr>
          <w:jc w:val="center"/>
        </w:trPr>
        <w:tc>
          <w:tcPr>
            <w:tcW w:w="5227" w:type="dxa"/>
            <w:tcMar>
              <w:top w:w="70" w:type="dxa"/>
              <w:left w:w="90" w:type="dxa"/>
              <w:bottom w:w="70" w:type="dxa"/>
              <w:right w:w="90" w:type="dxa"/>
            </w:tcMar>
          </w:tcPr>
          <w:p w14:paraId="6B395CD7"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Intended application</w:t>
            </w:r>
          </w:p>
        </w:tc>
        <w:tc>
          <w:tcPr>
            <w:tcW w:w="5227" w:type="dxa"/>
            <w:tcMar>
              <w:top w:w="70" w:type="dxa"/>
              <w:left w:w="90" w:type="dxa"/>
              <w:bottom w:w="70" w:type="dxa"/>
              <w:right w:w="90" w:type="dxa"/>
            </w:tcMar>
          </w:tcPr>
          <w:p w14:paraId="12ABA416"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Semiconductor production scheduling and disruption management; preparing recovery options for human review, not autonomously changing schedules.</w:t>
            </w:r>
          </w:p>
        </w:tc>
      </w:tr>
      <w:tr w:rsidR="00CE2988" w:rsidRPr="00ED5D7D" w14:paraId="730EB616" w14:textId="77777777">
        <w:trPr>
          <w:jc w:val="center"/>
        </w:trPr>
        <w:tc>
          <w:tcPr>
            <w:tcW w:w="5227" w:type="dxa"/>
            <w:tcMar>
              <w:top w:w="70" w:type="dxa"/>
              <w:left w:w="90" w:type="dxa"/>
              <w:bottom w:w="70" w:type="dxa"/>
              <w:right w:w="90" w:type="dxa"/>
            </w:tcMar>
          </w:tcPr>
          <w:p w14:paraId="0E04A43C"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Organization / industry</w:t>
            </w:r>
          </w:p>
        </w:tc>
        <w:tc>
          <w:tcPr>
            <w:tcW w:w="5227" w:type="dxa"/>
            <w:tcMar>
              <w:top w:w="70" w:type="dxa"/>
              <w:left w:w="90" w:type="dxa"/>
              <w:bottom w:w="70" w:type="dxa"/>
              <w:right w:w="90" w:type="dxa"/>
            </w:tcMar>
          </w:tcPr>
          <w:p w14:paraId="631D3888"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Hypothetical large semiconductor wafer fabrication company operating multiple lines.</w:t>
            </w:r>
          </w:p>
        </w:tc>
      </w:tr>
      <w:tr w:rsidR="00CE2988" w:rsidRPr="00ED5D7D" w14:paraId="470CE1FD" w14:textId="77777777">
        <w:trPr>
          <w:jc w:val="center"/>
        </w:trPr>
        <w:tc>
          <w:tcPr>
            <w:tcW w:w="5227" w:type="dxa"/>
            <w:tcMar>
              <w:top w:w="70" w:type="dxa"/>
              <w:left w:w="90" w:type="dxa"/>
              <w:bottom w:w="70" w:type="dxa"/>
              <w:right w:w="90" w:type="dxa"/>
            </w:tcMar>
          </w:tcPr>
          <w:p w14:paraId="166C4D6D"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Adoption posture</w:t>
            </w:r>
          </w:p>
        </w:tc>
        <w:tc>
          <w:tcPr>
            <w:tcW w:w="5227" w:type="dxa"/>
            <w:tcMar>
              <w:top w:w="70" w:type="dxa"/>
              <w:left w:w="90" w:type="dxa"/>
              <w:bottom w:w="70" w:type="dxa"/>
              <w:right w:w="90" w:type="dxa"/>
            </w:tcMar>
          </w:tcPr>
          <w:p w14:paraId="53E30392"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Moderate / Fast-follower.</w:t>
            </w:r>
          </w:p>
        </w:tc>
      </w:tr>
      <w:tr w:rsidR="00CE2988" w:rsidRPr="00ED5D7D" w14:paraId="0AEF7898" w14:textId="77777777">
        <w:trPr>
          <w:jc w:val="center"/>
        </w:trPr>
        <w:tc>
          <w:tcPr>
            <w:tcW w:w="5227" w:type="dxa"/>
            <w:tcMar>
              <w:top w:w="70" w:type="dxa"/>
              <w:left w:w="90" w:type="dxa"/>
              <w:bottom w:w="70" w:type="dxa"/>
              <w:right w:w="90" w:type="dxa"/>
            </w:tcMar>
          </w:tcPr>
          <w:p w14:paraId="54467A9B"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Risk / consequence context</w:t>
            </w:r>
          </w:p>
        </w:tc>
        <w:tc>
          <w:tcPr>
            <w:tcW w:w="5227" w:type="dxa"/>
            <w:tcMar>
              <w:top w:w="70" w:type="dxa"/>
              <w:left w:w="90" w:type="dxa"/>
              <w:bottom w:w="70" w:type="dxa"/>
              <w:right w:w="90" w:type="dxa"/>
            </w:tcMar>
          </w:tcPr>
          <w:p w14:paraId="2EDA6207"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Incorrect options or missed constraints could contribute to production disruption, financial loss, and quality problems. Actual likelihood is unknown; consequential schedule changes require authorized human approval.</w:t>
            </w:r>
          </w:p>
        </w:tc>
      </w:tr>
      <w:tr w:rsidR="00CE2988" w:rsidRPr="00ED5D7D" w14:paraId="3AECB86D" w14:textId="77777777">
        <w:trPr>
          <w:jc w:val="center"/>
        </w:trPr>
        <w:tc>
          <w:tcPr>
            <w:tcW w:w="5227" w:type="dxa"/>
            <w:tcMar>
              <w:top w:w="70" w:type="dxa"/>
              <w:left w:w="90" w:type="dxa"/>
              <w:bottom w:w="70" w:type="dxa"/>
              <w:right w:w="90" w:type="dxa"/>
            </w:tcMar>
          </w:tcPr>
          <w:p w14:paraId="1FF20EBA"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Management question / time horizon</w:t>
            </w:r>
          </w:p>
        </w:tc>
        <w:tc>
          <w:tcPr>
            <w:tcW w:w="5227" w:type="dxa"/>
            <w:tcMar>
              <w:top w:w="70" w:type="dxa"/>
              <w:left w:w="90" w:type="dxa"/>
              <w:bottom w:w="70" w:type="dxa"/>
              <w:right w:w="90" w:type="dxa"/>
            </w:tcMar>
          </w:tcPr>
          <w:p w14:paraId="242BAF31"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Whether to initiate a six-month Human-in-the-Loop pilot, and what evidence, controls, and separate approval would be required before expansion.</w:t>
            </w:r>
          </w:p>
        </w:tc>
      </w:tr>
    </w:tbl>
    <w:p w14:paraId="266C0E55" w14:textId="77777777" w:rsidR="00CE2988" w:rsidRPr="00ED5D7D" w:rsidRDefault="00000000">
      <w:pPr>
        <w:pStyle w:val="Heading1"/>
        <w:rPr>
          <w:rFonts w:cstheme="majorHAnsi"/>
        </w:rPr>
      </w:pPr>
      <w:r w:rsidRPr="00ED5D7D">
        <w:rPr>
          <w:rFonts w:cstheme="majorHAnsi"/>
        </w:rPr>
        <w:lastRenderedPageBreak/>
        <w:t>C. Three-Level Finding</w:t>
      </w:r>
    </w:p>
    <w:tbl>
      <w:tblPr>
        <w:tblStyle w:val="TableGrid"/>
        <w:tblW w:w="0" w:type="auto"/>
        <w:jc w:val="center"/>
        <w:tblLook w:val="04A0" w:firstRow="1" w:lastRow="0" w:firstColumn="1" w:lastColumn="0" w:noHBand="0" w:noVBand="1"/>
      </w:tblPr>
      <w:tblGrid>
        <w:gridCol w:w="5221"/>
        <w:gridCol w:w="5223"/>
      </w:tblGrid>
      <w:tr w:rsidR="00CE2988" w:rsidRPr="00ED5D7D" w14:paraId="0CD5B372" w14:textId="77777777">
        <w:trPr>
          <w:jc w:val="center"/>
        </w:trPr>
        <w:tc>
          <w:tcPr>
            <w:tcW w:w="5227" w:type="dxa"/>
            <w:shd w:val="clear" w:color="auto" w:fill="57068C"/>
            <w:tcMar>
              <w:top w:w="70" w:type="dxa"/>
              <w:left w:w="90" w:type="dxa"/>
              <w:bottom w:w="70" w:type="dxa"/>
              <w:right w:w="90" w:type="dxa"/>
            </w:tcMar>
          </w:tcPr>
          <w:p w14:paraId="1A6E9977"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Field</w:t>
            </w:r>
          </w:p>
        </w:tc>
        <w:tc>
          <w:tcPr>
            <w:tcW w:w="5227" w:type="dxa"/>
            <w:shd w:val="clear" w:color="auto" w:fill="57068C"/>
            <w:tcMar>
              <w:top w:w="70" w:type="dxa"/>
              <w:left w:w="90" w:type="dxa"/>
              <w:bottom w:w="70" w:type="dxa"/>
              <w:right w:w="90" w:type="dxa"/>
            </w:tcMar>
          </w:tcPr>
          <w:p w14:paraId="200221C1"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Student record</w:t>
            </w:r>
          </w:p>
        </w:tc>
      </w:tr>
      <w:tr w:rsidR="00CE2988" w:rsidRPr="00ED5D7D" w14:paraId="0B0FD066" w14:textId="77777777">
        <w:trPr>
          <w:jc w:val="center"/>
        </w:trPr>
        <w:tc>
          <w:tcPr>
            <w:tcW w:w="5227" w:type="dxa"/>
            <w:tcMar>
              <w:top w:w="70" w:type="dxa"/>
              <w:left w:w="90" w:type="dxa"/>
              <w:bottom w:w="70" w:type="dxa"/>
              <w:right w:w="90" w:type="dxa"/>
            </w:tcMar>
          </w:tcPr>
          <w:p w14:paraId="7D51D714"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ET generally</w:t>
            </w:r>
          </w:p>
        </w:tc>
        <w:tc>
          <w:tcPr>
            <w:tcW w:w="5227" w:type="dxa"/>
            <w:tcMar>
              <w:top w:w="70" w:type="dxa"/>
              <w:left w:w="90" w:type="dxa"/>
              <w:bottom w:w="70" w:type="dxa"/>
              <w:right w:w="90" w:type="dxa"/>
            </w:tcMar>
          </w:tcPr>
          <w:p w14:paraId="47B52316"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Both v0.2 tests withheld a significance category at Gate 2: evidence of Agentic AI systems exists, but available sources do not establish categorical barrier dissolution versus established automation, rule-based workflows, and optimization. Withholding is not an Incremental classification.</w:t>
            </w:r>
          </w:p>
        </w:tc>
      </w:tr>
      <w:tr w:rsidR="00CE2988" w:rsidRPr="00ED5D7D" w14:paraId="4E15F22D" w14:textId="77777777">
        <w:trPr>
          <w:jc w:val="center"/>
        </w:trPr>
        <w:tc>
          <w:tcPr>
            <w:tcW w:w="5227" w:type="dxa"/>
            <w:tcMar>
              <w:top w:w="70" w:type="dxa"/>
              <w:left w:w="90" w:type="dxa"/>
              <w:bottom w:w="70" w:type="dxa"/>
              <w:right w:w="90" w:type="dxa"/>
            </w:tcMar>
          </w:tcPr>
          <w:p w14:paraId="78BA7E84"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ET for this application</w:t>
            </w:r>
          </w:p>
        </w:tc>
        <w:tc>
          <w:tcPr>
            <w:tcW w:w="5227" w:type="dxa"/>
            <w:tcMar>
              <w:top w:w="70" w:type="dxa"/>
              <w:left w:w="90" w:type="dxa"/>
              <w:bottom w:w="70" w:type="dxa"/>
              <w:right w:w="90" w:type="dxa"/>
            </w:tcMar>
          </w:tcPr>
          <w:p w14:paraId="25948744"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The scheduling-model study (C5) supports examining assisted model construction, not proven operational scheduling, semiconductor throughput, or disruption-recovery performance. Existing alternatives and real constraints require comparison.</w:t>
            </w:r>
          </w:p>
        </w:tc>
      </w:tr>
      <w:tr w:rsidR="00CE2988" w:rsidRPr="00ED5D7D" w14:paraId="4E4D5F9C" w14:textId="77777777">
        <w:trPr>
          <w:jc w:val="center"/>
        </w:trPr>
        <w:tc>
          <w:tcPr>
            <w:tcW w:w="5227" w:type="dxa"/>
            <w:tcMar>
              <w:top w:w="70" w:type="dxa"/>
              <w:left w:w="90" w:type="dxa"/>
              <w:bottom w:w="70" w:type="dxa"/>
              <w:right w:w="90" w:type="dxa"/>
            </w:tcMar>
          </w:tcPr>
          <w:p w14:paraId="3AF88436"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ET for this application in this organization</w:t>
            </w:r>
          </w:p>
        </w:tc>
        <w:tc>
          <w:tcPr>
            <w:tcW w:w="5227" w:type="dxa"/>
            <w:tcMar>
              <w:top w:w="70" w:type="dxa"/>
              <w:left w:w="90" w:type="dxa"/>
              <w:bottom w:w="70" w:type="dxa"/>
              <w:right w:w="90" w:type="dxa"/>
            </w:tcMar>
          </w:tcPr>
          <w:p w14:paraId="6AF4D99E"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MES/ERP, multiple lines, and Human-in-the-Loop boundaries are hypothetical premises, not verified integration or oversight. A controlled evaluation could inform readiness, subject to access, data, constraints, security, reviewer capacity, and fallback.</w:t>
            </w:r>
          </w:p>
        </w:tc>
      </w:tr>
      <w:tr w:rsidR="00CE2988" w:rsidRPr="00ED5D7D" w14:paraId="4470C9EB" w14:textId="77777777">
        <w:trPr>
          <w:jc w:val="center"/>
        </w:trPr>
        <w:tc>
          <w:tcPr>
            <w:tcW w:w="5227" w:type="dxa"/>
            <w:tcMar>
              <w:top w:w="70" w:type="dxa"/>
              <w:left w:w="90" w:type="dxa"/>
              <w:bottom w:w="70" w:type="dxa"/>
              <w:right w:w="90" w:type="dxa"/>
            </w:tcMar>
          </w:tcPr>
          <w:p w14:paraId="0959BC04"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Bounded management implication</w:t>
            </w:r>
          </w:p>
        </w:tc>
        <w:tc>
          <w:tcPr>
            <w:tcW w:w="5227" w:type="dxa"/>
            <w:tcMar>
              <w:top w:w="70" w:type="dxa"/>
              <w:left w:w="90" w:type="dxa"/>
              <w:bottom w:w="70" w:type="dxa"/>
              <w:right w:w="90" w:type="dxa"/>
            </w:tcMar>
          </w:tcPr>
          <w:p w14:paraId="528E9ED9"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I would support a conditional six-month Human-in-the-Loop pilot because testing is needed to learn whether the technology fits the business. Begin with controlled offline/shadow evaluation, require human approval before consequential changes, and retain stop/fallback procedures; do not assume readiness or authorize expansion automatically.</w:t>
            </w:r>
          </w:p>
        </w:tc>
      </w:tr>
      <w:tr w:rsidR="00CE2988" w:rsidRPr="00ED5D7D" w14:paraId="56A96127" w14:textId="77777777">
        <w:trPr>
          <w:jc w:val="center"/>
        </w:trPr>
        <w:tc>
          <w:tcPr>
            <w:tcW w:w="5227" w:type="dxa"/>
            <w:tcMar>
              <w:top w:w="70" w:type="dxa"/>
              <w:left w:w="90" w:type="dxa"/>
              <w:bottom w:w="70" w:type="dxa"/>
              <w:right w:w="90" w:type="dxa"/>
            </w:tcMar>
          </w:tcPr>
          <w:p w14:paraId="35FF031B"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Confidence / uncertainty</w:t>
            </w:r>
          </w:p>
        </w:tc>
        <w:tc>
          <w:tcPr>
            <w:tcW w:w="5227" w:type="dxa"/>
            <w:tcMar>
              <w:top w:w="70" w:type="dxa"/>
              <w:left w:w="90" w:type="dxa"/>
              <w:bottom w:w="70" w:type="dxa"/>
              <w:right w:w="90" w:type="dxa"/>
            </w:tcMar>
          </w:tcPr>
          <w:p w14:paraId="1326E845"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I agree with withholding classification rather than forcing a label from insufficient evidence, while requiring human verification of the agent’s reasoning. Confidence is higher in the evidence gap than in any positive category; operational readiness remains unverified.</w:t>
            </w:r>
          </w:p>
        </w:tc>
      </w:tr>
      <w:tr w:rsidR="00CE2988" w:rsidRPr="00ED5D7D" w14:paraId="5FAA87DA" w14:textId="77777777">
        <w:trPr>
          <w:jc w:val="center"/>
        </w:trPr>
        <w:tc>
          <w:tcPr>
            <w:tcW w:w="5227" w:type="dxa"/>
            <w:tcMar>
              <w:top w:w="70" w:type="dxa"/>
              <w:left w:w="90" w:type="dxa"/>
              <w:bottom w:w="70" w:type="dxa"/>
              <w:right w:w="90" w:type="dxa"/>
            </w:tcMar>
          </w:tcPr>
          <w:p w14:paraId="3B00F6F3"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What evidence or condition would change the conclusion</w:t>
            </w:r>
          </w:p>
        </w:tc>
        <w:tc>
          <w:tcPr>
            <w:tcW w:w="5227" w:type="dxa"/>
            <w:tcMar>
              <w:top w:w="70" w:type="dxa"/>
              <w:left w:w="90" w:type="dxa"/>
              <w:bottom w:w="70" w:type="dxa"/>
              <w:right w:w="90" w:type="dxa"/>
            </w:tcMar>
          </w:tcPr>
          <w:p w14:paraId="2F0EA3B1"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Matched comparisons showing whether Agentic AI dissolves a categorical barrier beyond earlier automation/optimization could reopen Gate 2. Representative factory evaluations, constraints, independent checks, human review performance, security, and full costs would inform the separate adoption decision.</w:t>
            </w:r>
          </w:p>
        </w:tc>
      </w:tr>
    </w:tbl>
    <w:p w14:paraId="2C2AAC22" w14:textId="77777777" w:rsidR="00CE2988" w:rsidRPr="00ED5D7D" w:rsidRDefault="00000000">
      <w:pPr>
        <w:pStyle w:val="Heading1"/>
        <w:rPr>
          <w:rFonts w:cstheme="majorHAnsi"/>
        </w:rPr>
      </w:pPr>
      <w:r w:rsidRPr="00ED5D7D">
        <w:rPr>
          <w:rFonts w:cstheme="majorHAnsi"/>
        </w:rPr>
        <w:t>D. Evidence and Testing</w:t>
      </w:r>
    </w:p>
    <w:tbl>
      <w:tblPr>
        <w:tblStyle w:val="TableGrid"/>
        <w:tblW w:w="0" w:type="auto"/>
        <w:jc w:val="center"/>
        <w:tblLook w:val="04A0" w:firstRow="1" w:lastRow="0" w:firstColumn="1" w:lastColumn="0" w:noHBand="0" w:noVBand="1"/>
      </w:tblPr>
      <w:tblGrid>
        <w:gridCol w:w="5222"/>
        <w:gridCol w:w="5222"/>
      </w:tblGrid>
      <w:tr w:rsidR="00CE2988" w:rsidRPr="00ED5D7D" w14:paraId="6BBD8FD0" w14:textId="77777777">
        <w:trPr>
          <w:jc w:val="center"/>
        </w:trPr>
        <w:tc>
          <w:tcPr>
            <w:tcW w:w="5227" w:type="dxa"/>
            <w:shd w:val="clear" w:color="auto" w:fill="57068C"/>
            <w:tcMar>
              <w:top w:w="70" w:type="dxa"/>
              <w:left w:w="90" w:type="dxa"/>
              <w:bottom w:w="70" w:type="dxa"/>
              <w:right w:w="90" w:type="dxa"/>
            </w:tcMar>
          </w:tcPr>
          <w:p w14:paraId="7C1A6A71"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Field</w:t>
            </w:r>
          </w:p>
        </w:tc>
        <w:tc>
          <w:tcPr>
            <w:tcW w:w="5227" w:type="dxa"/>
            <w:shd w:val="clear" w:color="auto" w:fill="57068C"/>
            <w:tcMar>
              <w:top w:w="70" w:type="dxa"/>
              <w:left w:w="90" w:type="dxa"/>
              <w:bottom w:w="70" w:type="dxa"/>
              <w:right w:w="90" w:type="dxa"/>
            </w:tcMar>
          </w:tcPr>
          <w:p w14:paraId="1C7265F1"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Student record</w:t>
            </w:r>
          </w:p>
        </w:tc>
      </w:tr>
      <w:tr w:rsidR="00CE2988" w:rsidRPr="00ED5D7D" w14:paraId="5D14E30B" w14:textId="77777777">
        <w:trPr>
          <w:jc w:val="center"/>
        </w:trPr>
        <w:tc>
          <w:tcPr>
            <w:tcW w:w="5227" w:type="dxa"/>
            <w:tcMar>
              <w:top w:w="70" w:type="dxa"/>
              <w:left w:w="90" w:type="dxa"/>
              <w:bottom w:w="70" w:type="dxa"/>
              <w:right w:w="90" w:type="dxa"/>
            </w:tcMar>
          </w:tcPr>
          <w:p w14:paraId="6243006B"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Most important evidence/source(s)</w:t>
            </w:r>
          </w:p>
        </w:tc>
        <w:tc>
          <w:tcPr>
            <w:tcW w:w="5227" w:type="dxa"/>
            <w:tcMar>
              <w:top w:w="70" w:type="dxa"/>
              <w:left w:w="90" w:type="dxa"/>
              <w:bottom w:w="70" w:type="dxa"/>
              <w:right w:w="90" w:type="dxa"/>
            </w:tcMar>
          </w:tcPr>
          <w:p w14:paraId="3F73EB41"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C1 Anthropic, Building effective agents (vendor architecture guidance); C2 τ-bench (simulated transactions); C3 TheAgentCompany (simulated workplace tasks); C4 AgentDojo (controlled prompt-injection tests); C5 Agentic AI-Assisted Modeling for Production Scheduling (computational model-construction study). None demonstrates real wafer-fab deployment or a tenfold manufacturing benefit. Versions and limitations are recorded in EP-A4-0.1.</w:t>
            </w:r>
          </w:p>
        </w:tc>
      </w:tr>
      <w:tr w:rsidR="00CE2988" w:rsidRPr="00ED5D7D" w14:paraId="43878759" w14:textId="77777777">
        <w:trPr>
          <w:jc w:val="center"/>
        </w:trPr>
        <w:tc>
          <w:tcPr>
            <w:tcW w:w="5227" w:type="dxa"/>
            <w:tcMar>
              <w:top w:w="70" w:type="dxa"/>
              <w:left w:w="90" w:type="dxa"/>
              <w:bottom w:w="70" w:type="dxa"/>
              <w:right w:w="90" w:type="dxa"/>
            </w:tcMar>
          </w:tcPr>
          <w:p w14:paraId="05571350"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Primary test - result</w:t>
            </w:r>
          </w:p>
        </w:tc>
        <w:tc>
          <w:tcPr>
            <w:tcW w:w="5227" w:type="dxa"/>
            <w:tcMar>
              <w:top w:w="70" w:type="dxa"/>
              <w:left w:w="90" w:type="dxa"/>
              <w:bottom w:w="70" w:type="dxa"/>
              <w:right w:w="90" w:type="dxa"/>
            </w:tcMar>
          </w:tcPr>
          <w:p w14:paraId="788C9044"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Primary v0.1 and v0.2 JSON responses each passed the professor’s structural validator. Both withheld classification at unresolved Gate 2 and gave conditional, evidence-based factory evaluation recommendations. The v0.1 response misattributed a suppression rule to Section 11.5.</w:t>
            </w:r>
          </w:p>
        </w:tc>
      </w:tr>
      <w:tr w:rsidR="00CE2988" w:rsidRPr="00ED5D7D" w14:paraId="2DA95B76" w14:textId="77777777">
        <w:trPr>
          <w:jc w:val="center"/>
        </w:trPr>
        <w:tc>
          <w:tcPr>
            <w:tcW w:w="5227" w:type="dxa"/>
            <w:tcMar>
              <w:top w:w="70" w:type="dxa"/>
              <w:left w:w="90" w:type="dxa"/>
              <w:bottom w:w="70" w:type="dxa"/>
              <w:right w:w="90" w:type="dxa"/>
            </w:tcMar>
          </w:tcPr>
          <w:p w14:paraId="41604AE8"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lastRenderedPageBreak/>
              <w:t>Contrast test - what appropriately stayed stable</w:t>
            </w:r>
          </w:p>
        </w:tc>
        <w:tc>
          <w:tcPr>
            <w:tcW w:w="5227" w:type="dxa"/>
            <w:tcMar>
              <w:top w:w="70" w:type="dxa"/>
              <w:left w:w="90" w:type="dxa"/>
              <w:bottom w:w="70" w:type="dxa"/>
              <w:right w:w="90" w:type="dxa"/>
            </w:tcMar>
          </w:tcPr>
          <w:p w14:paraId="26267D80"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Across Primary and Contrast, the Agentic AI definition, C1–C5 evidence, Gate 2 withholding, prospective method, and separation of classification from pilot readiness remained consistent.</w:t>
            </w:r>
          </w:p>
        </w:tc>
      </w:tr>
      <w:tr w:rsidR="00CE2988" w:rsidRPr="00ED5D7D" w14:paraId="56B1EF17" w14:textId="77777777">
        <w:trPr>
          <w:jc w:val="center"/>
        </w:trPr>
        <w:tc>
          <w:tcPr>
            <w:tcW w:w="5227" w:type="dxa"/>
            <w:tcMar>
              <w:top w:w="70" w:type="dxa"/>
              <w:left w:w="90" w:type="dxa"/>
              <w:bottom w:w="70" w:type="dxa"/>
              <w:right w:w="90" w:type="dxa"/>
            </w:tcMar>
          </w:tcPr>
          <w:p w14:paraId="55268E0A"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Contrast test - what appropriately changed</w:t>
            </w:r>
          </w:p>
        </w:tc>
        <w:tc>
          <w:tcPr>
            <w:tcW w:w="5227" w:type="dxa"/>
            <w:tcMar>
              <w:top w:w="70" w:type="dxa"/>
              <w:left w:w="90" w:type="dxa"/>
              <w:bottom w:w="70" w:type="dxa"/>
              <w:right w:w="90" w:type="dxa"/>
            </w:tcMar>
          </w:tcPr>
          <w:p w14:paraId="4323FD1C"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Primary emphasized scheduling constraints, quality risks, six-month pilot governance, and authorization. Contrast emphasized document permissions, confidentiality, limited support, read-only/draft-only authority, and an eight-week evaluation.</w:t>
            </w:r>
          </w:p>
        </w:tc>
      </w:tr>
      <w:tr w:rsidR="00CE2988" w:rsidRPr="00ED5D7D" w14:paraId="1FFD9CA5" w14:textId="77777777">
        <w:trPr>
          <w:jc w:val="center"/>
        </w:trPr>
        <w:tc>
          <w:tcPr>
            <w:tcW w:w="5227" w:type="dxa"/>
            <w:tcMar>
              <w:top w:w="70" w:type="dxa"/>
              <w:left w:w="90" w:type="dxa"/>
              <w:bottom w:w="70" w:type="dxa"/>
              <w:right w:w="90" w:type="dxa"/>
            </w:tcMar>
          </w:tcPr>
          <w:p w14:paraId="032E2FFC"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Weakness/failure found</w:t>
            </w:r>
          </w:p>
        </w:tc>
        <w:tc>
          <w:tcPr>
            <w:tcW w:w="5227" w:type="dxa"/>
            <w:tcMar>
              <w:top w:w="70" w:type="dxa"/>
              <w:left w:w="90" w:type="dxa"/>
              <w:bottom w:w="70" w:type="dxa"/>
              <w:right w:w="90" w:type="dxa"/>
            </w:tcMar>
          </w:tcPr>
          <w:p w14:paraId="1DF375DF"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W1: Primary v0.1 cited Chapter 11 §11.5 for the suppression/reduction rule instead of §§11.2/11.7. W2: Contrast v0.1 discussed manufacturing-model distinctions unnecessarily in a professional-services application.</w:t>
            </w:r>
          </w:p>
        </w:tc>
      </w:tr>
      <w:tr w:rsidR="00CE2988" w:rsidRPr="00ED5D7D" w14:paraId="2BDF15C6" w14:textId="77777777">
        <w:trPr>
          <w:jc w:val="center"/>
        </w:trPr>
        <w:tc>
          <w:tcPr>
            <w:tcW w:w="5227" w:type="dxa"/>
            <w:tcMar>
              <w:top w:w="70" w:type="dxa"/>
              <w:left w:w="90" w:type="dxa"/>
              <w:bottom w:w="70" w:type="dxa"/>
              <w:right w:w="90" w:type="dxa"/>
            </w:tcMar>
          </w:tcPr>
          <w:p w14:paraId="5F6F2BFF"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Revision made and why</w:t>
            </w:r>
          </w:p>
        </w:tc>
        <w:tc>
          <w:tcPr>
            <w:tcW w:w="5227" w:type="dxa"/>
            <w:tcMar>
              <w:top w:w="70" w:type="dxa"/>
              <w:left w:w="90" w:type="dxa"/>
              <w:bottom w:w="70" w:type="dxa"/>
              <w:right w:w="90" w:type="dxa"/>
            </w:tcMar>
          </w:tcPr>
          <w:p w14:paraId="46F7CF78" w14:textId="77777777" w:rsidR="00CE2988" w:rsidRPr="00ED5D7D" w:rsidRDefault="00CE2988">
            <w:pPr>
              <w:spacing w:after="20"/>
              <w:rPr>
                <w:rFonts w:asciiTheme="majorHAnsi" w:hAnsiTheme="majorHAnsi" w:cstheme="majorHAnsi"/>
              </w:rPr>
            </w:pPr>
            <w:r w:rsidRPr="00ED5D7D">
              <w:rPr>
                <w:rFonts w:asciiTheme="majorHAnsi" w:hAnsiTheme="majorHAnsi" w:cstheme="majorHAnsi"/>
              </w:rPr>
              <w:t>v0.2 clarified the correct chapter locators and made the application-finding rule conditional on the application. Same-case retests showed W1 corrected; W2 framing improved, but nonessential scheduling-study commentary remained. Metadata version advanced to 0.2-student.</w:t>
            </w:r>
          </w:p>
        </w:tc>
      </w:tr>
      <w:tr w:rsidR="00CE2988" w:rsidRPr="00ED5D7D" w14:paraId="62ABE1DC" w14:textId="77777777">
        <w:trPr>
          <w:jc w:val="center"/>
        </w:trPr>
        <w:tc>
          <w:tcPr>
            <w:tcW w:w="5227" w:type="dxa"/>
            <w:tcMar>
              <w:top w:w="70" w:type="dxa"/>
              <w:left w:w="90" w:type="dxa"/>
              <w:bottom w:w="70" w:type="dxa"/>
              <w:right w:w="90" w:type="dxa"/>
            </w:tcMar>
          </w:tcPr>
          <w:p w14:paraId="285304FA"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Remaining limitation / abstention condition</w:t>
            </w:r>
          </w:p>
        </w:tc>
        <w:tc>
          <w:tcPr>
            <w:tcW w:w="5227" w:type="dxa"/>
            <w:tcMar>
              <w:top w:w="70" w:type="dxa"/>
              <w:left w:w="90" w:type="dxa"/>
              <w:bottom w:w="70" w:type="dxa"/>
              <w:right w:w="90" w:type="dxa"/>
            </w:tcMar>
          </w:tcPr>
          <w:p w14:paraId="13F2BF91" w14:textId="7A56D387" w:rsidR="00CE2988" w:rsidRPr="00ED5D7D" w:rsidRDefault="00CE2988">
            <w:pPr>
              <w:spacing w:after="20"/>
              <w:rPr>
                <w:rFonts w:asciiTheme="majorHAnsi" w:hAnsiTheme="majorHAnsi" w:cstheme="majorHAnsi" w:hint="eastAsia"/>
                <w:lang w:eastAsia="zh-TW"/>
              </w:rPr>
            </w:pPr>
            <w:r w:rsidRPr="00ED5D7D">
              <w:rPr>
                <w:rFonts w:asciiTheme="majorHAnsi" w:hAnsiTheme="majorHAnsi" w:cstheme="majorHAnsi"/>
              </w:rPr>
              <w:t>Gate 2 comparative barrier evidence remains absent. v0.2 Contrast still includes some less relevant scheduling-study detail and a monitoring trigger abbreviates gate order. One run per case/version cannot establish broader reliability or causal improvement. The validator verifies structure, not judgment accuracy.</w:t>
            </w:r>
            <w:r w:rsidR="00A16713">
              <w:rPr>
                <w:rFonts w:asciiTheme="majorHAnsi" w:hAnsiTheme="majorHAnsi" w:cstheme="majorHAnsi" w:hint="eastAsia"/>
                <w:lang w:eastAsia="zh-TW"/>
              </w:rPr>
              <w:t xml:space="preserve"> </w:t>
            </w:r>
            <w:r w:rsidR="00A16713" w:rsidRPr="00A16713">
              <w:rPr>
                <w:rFonts w:asciiTheme="majorHAnsi" w:hAnsiTheme="majorHAnsi" w:cstheme="majorHAnsi"/>
                <w:lang w:eastAsia="zh-TW"/>
              </w:rPr>
              <w:t>A supplemental hype-driven test also passed: the agent treated the CEO's Promethean claim as an unsupported opinion and rejected immediate deployment expansion. However, this single test does not establish general resistance to hype or broader reliability.</w:t>
            </w:r>
          </w:p>
        </w:tc>
      </w:tr>
    </w:tbl>
    <w:p w14:paraId="770499FF" w14:textId="77777777" w:rsidR="00CE2988" w:rsidRPr="00ED5D7D" w:rsidRDefault="00000000">
      <w:pPr>
        <w:pStyle w:val="Heading1"/>
        <w:rPr>
          <w:rFonts w:cstheme="majorHAnsi"/>
        </w:rPr>
      </w:pPr>
      <w:r w:rsidRPr="00ED5D7D">
        <w:rPr>
          <w:rFonts w:cstheme="majorHAnsi"/>
        </w:rPr>
        <w:t>E. Independent Judgment and Handoff</w:t>
      </w:r>
    </w:p>
    <w:tbl>
      <w:tblPr>
        <w:tblStyle w:val="TableGrid"/>
        <w:tblW w:w="0" w:type="auto"/>
        <w:jc w:val="center"/>
        <w:tblLook w:val="04A0" w:firstRow="1" w:lastRow="0" w:firstColumn="1" w:lastColumn="0" w:noHBand="0" w:noVBand="1"/>
      </w:tblPr>
      <w:tblGrid>
        <w:gridCol w:w="5222"/>
        <w:gridCol w:w="5222"/>
      </w:tblGrid>
      <w:tr w:rsidR="00CE2988" w:rsidRPr="00ED5D7D" w14:paraId="763C5BD2" w14:textId="77777777" w:rsidTr="00724F61">
        <w:trPr>
          <w:jc w:val="center"/>
        </w:trPr>
        <w:tc>
          <w:tcPr>
            <w:tcW w:w="5222" w:type="dxa"/>
            <w:shd w:val="clear" w:color="auto" w:fill="57068C"/>
            <w:tcMar>
              <w:top w:w="70" w:type="dxa"/>
              <w:left w:w="90" w:type="dxa"/>
              <w:bottom w:w="70" w:type="dxa"/>
              <w:right w:w="90" w:type="dxa"/>
            </w:tcMar>
          </w:tcPr>
          <w:p w14:paraId="0694CD1E"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Field</w:t>
            </w:r>
          </w:p>
        </w:tc>
        <w:tc>
          <w:tcPr>
            <w:tcW w:w="5222" w:type="dxa"/>
            <w:shd w:val="clear" w:color="auto" w:fill="57068C"/>
            <w:tcMar>
              <w:top w:w="70" w:type="dxa"/>
              <w:left w:w="90" w:type="dxa"/>
              <w:bottom w:w="70" w:type="dxa"/>
              <w:right w:w="90" w:type="dxa"/>
            </w:tcMar>
          </w:tcPr>
          <w:p w14:paraId="158DA695" w14:textId="77777777" w:rsidR="00CE2988" w:rsidRPr="00ED5D7D" w:rsidRDefault="00000000">
            <w:pPr>
              <w:spacing w:after="20"/>
              <w:rPr>
                <w:rFonts w:asciiTheme="majorHAnsi" w:hAnsiTheme="majorHAnsi" w:cstheme="majorHAnsi"/>
              </w:rPr>
            </w:pPr>
            <w:r w:rsidRPr="00ED5D7D">
              <w:rPr>
                <w:rFonts w:asciiTheme="majorHAnsi" w:hAnsiTheme="majorHAnsi" w:cstheme="majorHAnsi"/>
                <w:b/>
                <w:color w:val="FFFFFF"/>
                <w:sz w:val="17"/>
              </w:rPr>
              <w:t>Student record</w:t>
            </w:r>
          </w:p>
        </w:tc>
      </w:tr>
      <w:tr w:rsidR="00CE2988" w:rsidRPr="00ED5D7D" w14:paraId="2CBDE054" w14:textId="77777777" w:rsidTr="00724F61">
        <w:trPr>
          <w:jc w:val="center"/>
        </w:trPr>
        <w:tc>
          <w:tcPr>
            <w:tcW w:w="5222" w:type="dxa"/>
            <w:tcMar>
              <w:top w:w="70" w:type="dxa"/>
              <w:left w:w="90" w:type="dxa"/>
              <w:bottom w:w="70" w:type="dxa"/>
              <w:right w:w="90" w:type="dxa"/>
            </w:tcMar>
          </w:tcPr>
          <w:p w14:paraId="049B8240"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Is the agent credible enough for team consideration? Why?</w:t>
            </w:r>
          </w:p>
        </w:tc>
        <w:tc>
          <w:tcPr>
            <w:tcW w:w="5222" w:type="dxa"/>
            <w:tcMar>
              <w:top w:w="70" w:type="dxa"/>
              <w:left w:w="90" w:type="dxa"/>
              <w:bottom w:w="70" w:type="dxa"/>
              <w:right w:w="90" w:type="dxa"/>
            </w:tcMar>
          </w:tcPr>
          <w:p w14:paraId="5CE08792" w14:textId="66DED8ED" w:rsidR="00CE2988" w:rsidRPr="00ED5D7D" w:rsidRDefault="00ED5D7D">
            <w:pPr>
              <w:spacing w:after="20"/>
              <w:rPr>
                <w:rFonts w:asciiTheme="majorHAnsi" w:hAnsiTheme="majorHAnsi" w:cstheme="majorHAnsi"/>
                <w:lang w:eastAsia="zh-TW"/>
              </w:rPr>
            </w:pPr>
            <w:r w:rsidRPr="00ED5D7D">
              <w:rPr>
                <w:rFonts w:asciiTheme="majorHAnsi" w:hAnsiTheme="majorHAnsi" w:cstheme="majorHAnsi"/>
                <w:lang w:eastAsia="zh-TW"/>
              </w:rPr>
              <w:t>I think v0.2 is worth sharing for team discussion, but it needs more testing before full integration. Passing structural validation in two cases does not establish reliability across different industries, and the contrast response still includes some unnecessary manufacturing-related commentary. Although the agent shows promise in applying the classification framework and recognizing insufficient evidence, I would want to test it in more scenarios before considering it reliable enough for team integration.</w:t>
            </w:r>
          </w:p>
        </w:tc>
      </w:tr>
      <w:tr w:rsidR="00CE2988" w:rsidRPr="00ED5D7D" w14:paraId="29277893" w14:textId="77777777" w:rsidTr="00724F61">
        <w:trPr>
          <w:jc w:val="center"/>
        </w:trPr>
        <w:tc>
          <w:tcPr>
            <w:tcW w:w="5222" w:type="dxa"/>
            <w:tcMar>
              <w:top w:w="70" w:type="dxa"/>
              <w:left w:w="90" w:type="dxa"/>
              <w:bottom w:w="70" w:type="dxa"/>
              <w:right w:w="90" w:type="dxa"/>
            </w:tcMar>
          </w:tcPr>
          <w:p w14:paraId="0B53CCC3"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Most important recommendation to the team</w:t>
            </w:r>
          </w:p>
        </w:tc>
        <w:tc>
          <w:tcPr>
            <w:tcW w:w="5222" w:type="dxa"/>
            <w:tcMar>
              <w:top w:w="70" w:type="dxa"/>
              <w:left w:w="90" w:type="dxa"/>
              <w:bottom w:w="70" w:type="dxa"/>
              <w:right w:w="90" w:type="dxa"/>
            </w:tcMar>
          </w:tcPr>
          <w:p w14:paraId="28E30AF1" w14:textId="1ED48130" w:rsidR="00CE2988" w:rsidRPr="00ED5D7D" w:rsidRDefault="006962EF">
            <w:pPr>
              <w:spacing w:after="20"/>
              <w:rPr>
                <w:rFonts w:asciiTheme="majorHAnsi" w:hAnsiTheme="majorHAnsi" w:cstheme="majorHAnsi" w:hint="eastAsia"/>
                <w:lang w:eastAsia="zh-TW"/>
              </w:rPr>
            </w:pPr>
            <w:r w:rsidRPr="006962EF">
              <w:rPr>
                <w:rFonts w:asciiTheme="majorHAnsi" w:hAnsiTheme="majorHAnsi" w:cstheme="majorHAnsi"/>
              </w:rPr>
              <w:t>Preserve the evidence-based sequential classification process and the agent's willingness to withhold unsupported conclusions. Share v0.1/v0.2 results and limitations, then test more applications and contexts before treating the specialist as fully validated. The team should also examine the strongest counterargument: Agentic AI's adaptive tool use may represent a major advance, but the current evidence does not establish that it dissolves a barrier beyond existing automation</w:t>
            </w:r>
            <w:r w:rsidRPr="006962EF">
              <w:rPr>
                <w:rFonts w:asciiTheme="majorHAnsi" w:hAnsiTheme="majorHAnsi" w:cstheme="majorHAnsi"/>
                <w:lang w:eastAsia="zh-TW"/>
              </w:rPr>
              <w:t>.</w:t>
            </w:r>
          </w:p>
        </w:tc>
      </w:tr>
      <w:tr w:rsidR="00CE2988" w:rsidRPr="00ED5D7D" w14:paraId="0CA421BF" w14:textId="77777777" w:rsidTr="00724F61">
        <w:trPr>
          <w:jc w:val="center"/>
        </w:trPr>
        <w:tc>
          <w:tcPr>
            <w:tcW w:w="5222" w:type="dxa"/>
            <w:tcMar>
              <w:top w:w="70" w:type="dxa"/>
              <w:left w:w="90" w:type="dxa"/>
              <w:bottom w:w="70" w:type="dxa"/>
              <w:right w:w="90" w:type="dxa"/>
            </w:tcMar>
          </w:tcPr>
          <w:p w14:paraId="6A495BA4" w14:textId="77777777" w:rsidR="00CE2988" w:rsidRPr="00ED5D7D" w:rsidRDefault="00000000">
            <w:pPr>
              <w:spacing w:after="20"/>
              <w:rPr>
                <w:rFonts w:asciiTheme="majorHAnsi" w:hAnsiTheme="majorHAnsi" w:cstheme="majorHAnsi"/>
              </w:rPr>
            </w:pPr>
            <w:r w:rsidRPr="00ED5D7D">
              <w:rPr>
                <w:rFonts w:asciiTheme="majorHAnsi" w:hAnsiTheme="majorHAnsi" w:cstheme="majorHAnsi"/>
                <w:sz w:val="17"/>
              </w:rPr>
              <w:t>AI / verification note</w:t>
            </w:r>
          </w:p>
        </w:tc>
        <w:tc>
          <w:tcPr>
            <w:tcW w:w="5222" w:type="dxa"/>
            <w:tcMar>
              <w:top w:w="70" w:type="dxa"/>
              <w:left w:w="90" w:type="dxa"/>
              <w:bottom w:w="70" w:type="dxa"/>
              <w:right w:w="90" w:type="dxa"/>
            </w:tcMar>
          </w:tcPr>
          <w:p w14:paraId="1B4DA448" w14:textId="77777777" w:rsidR="00CE2988" w:rsidRPr="00ED5D7D" w:rsidRDefault="00000000">
            <w:pPr>
              <w:spacing w:after="20"/>
              <w:rPr>
                <w:rFonts w:asciiTheme="majorHAnsi" w:hAnsiTheme="majorHAnsi" w:cstheme="majorHAnsi"/>
              </w:rPr>
            </w:pPr>
            <w:r w:rsidRPr="00ED5D7D">
              <w:rPr>
                <w:rFonts w:asciiTheme="majorHAnsi" w:hAnsiTheme="majorHAnsi" w:cstheme="majorHAnsi"/>
              </w:rPr>
              <w:t xml:space="preserve">ChatGPT-assisted workflows helped develop specialist instructions, organize the closed evidence packet, construct cases and prompt packets, and execute/report fresh-session </w:t>
            </w:r>
            <w:r w:rsidRPr="00ED5D7D">
              <w:rPr>
                <w:rFonts w:asciiTheme="majorHAnsi" w:hAnsiTheme="majorHAnsi" w:cstheme="majorHAnsi"/>
              </w:rPr>
              <w:lastRenderedPageBreak/>
              <w:t>tests and technical checks. I reviewed the findings and chose whether proposed changes were reasonable; records preserve genuine model outputs. Original source claims were documented with C1–C5 limitations, and the Chapter 11 section error was identified and corrected in the observed retest. The professor’s validator passed, but this does not independently certify factual accuracy; model settings and repeatability remain limited.</w:t>
            </w:r>
          </w:p>
        </w:tc>
      </w:tr>
    </w:tbl>
    <w:p w14:paraId="67758947" w14:textId="77777777" w:rsidR="00724F61" w:rsidRPr="00ED5D7D" w:rsidRDefault="00724F61" w:rsidP="00724F61">
      <w:pPr>
        <w:pStyle w:val="Heading1"/>
        <w:spacing w:before="360"/>
        <w:rPr>
          <w:rFonts w:cstheme="majorHAnsi"/>
        </w:rPr>
      </w:pPr>
      <w:r w:rsidRPr="00ED5D7D">
        <w:rPr>
          <w:rFonts w:cstheme="majorHAnsi"/>
        </w:rPr>
        <w:lastRenderedPageBreak/>
        <w:t>F. Self</w:t>
      </w:r>
      <w:r w:rsidRPr="00ED5D7D">
        <w:rPr>
          <w:rFonts w:eastAsia="Microsoft JhengHei" w:cstheme="majorHAnsi"/>
          <w:lang w:eastAsia="zh-TW"/>
        </w:rPr>
        <w:t>-</w:t>
      </w:r>
      <w:r w:rsidRPr="00ED5D7D">
        <w:rPr>
          <w:rFonts w:cstheme="majorHAnsi"/>
          <w:lang w:eastAsia="zh-TW"/>
        </w:rPr>
        <w:t>R</w:t>
      </w:r>
      <w:r w:rsidRPr="00ED5D7D">
        <w:rPr>
          <w:rFonts w:cstheme="majorHAnsi"/>
        </w:rPr>
        <w:t>eflection</w:t>
      </w:r>
    </w:p>
    <w:tbl>
      <w:tblPr>
        <w:tblStyle w:val="TableGrid"/>
        <w:tblW w:w="0" w:type="auto"/>
        <w:jc w:val="center"/>
        <w:tblLook w:val="04A0" w:firstRow="1" w:lastRow="0" w:firstColumn="1" w:lastColumn="0" w:noHBand="0" w:noVBand="1"/>
      </w:tblPr>
      <w:tblGrid>
        <w:gridCol w:w="5222"/>
        <w:gridCol w:w="5222"/>
      </w:tblGrid>
      <w:tr w:rsidR="00724F61" w:rsidRPr="00ED5D7D" w14:paraId="430C1A5A" w14:textId="77777777" w:rsidTr="006643E8">
        <w:trPr>
          <w:cantSplit/>
          <w:tblHeader/>
          <w:jc w:val="center"/>
        </w:trPr>
        <w:tc>
          <w:tcPr>
            <w:tcW w:w="5222" w:type="dxa"/>
            <w:shd w:val="clear" w:color="auto" w:fill="57068C"/>
            <w:tcMar>
              <w:top w:w="70" w:type="dxa"/>
              <w:left w:w="90" w:type="dxa"/>
              <w:bottom w:w="70" w:type="dxa"/>
              <w:right w:w="90" w:type="dxa"/>
            </w:tcMar>
          </w:tcPr>
          <w:p w14:paraId="23204EEC" w14:textId="77777777" w:rsidR="00724F61" w:rsidRPr="00ED5D7D" w:rsidRDefault="00724F61" w:rsidP="006643E8">
            <w:pPr>
              <w:spacing w:after="0"/>
              <w:rPr>
                <w:rFonts w:asciiTheme="majorHAnsi" w:hAnsiTheme="majorHAnsi" w:cstheme="majorHAnsi"/>
                <w:sz w:val="22"/>
              </w:rPr>
            </w:pPr>
            <w:r w:rsidRPr="00ED5D7D">
              <w:rPr>
                <w:rFonts w:asciiTheme="majorHAnsi" w:hAnsiTheme="majorHAnsi" w:cstheme="majorHAnsi"/>
                <w:b/>
                <w:color w:val="FFFFFF"/>
                <w:sz w:val="22"/>
              </w:rPr>
              <w:t>Field</w:t>
            </w:r>
          </w:p>
        </w:tc>
        <w:tc>
          <w:tcPr>
            <w:tcW w:w="5222" w:type="dxa"/>
            <w:shd w:val="clear" w:color="auto" w:fill="57068C"/>
            <w:tcMar>
              <w:top w:w="70" w:type="dxa"/>
              <w:left w:w="90" w:type="dxa"/>
              <w:bottom w:w="70" w:type="dxa"/>
              <w:right w:w="90" w:type="dxa"/>
            </w:tcMar>
          </w:tcPr>
          <w:p w14:paraId="298088C8" w14:textId="77777777" w:rsidR="00724F61" w:rsidRPr="00ED5D7D" w:rsidRDefault="00724F61" w:rsidP="006643E8">
            <w:pPr>
              <w:spacing w:after="0" w:line="240" w:lineRule="auto"/>
              <w:rPr>
                <w:rFonts w:asciiTheme="majorHAnsi" w:hAnsiTheme="majorHAnsi" w:cstheme="majorHAnsi"/>
                <w:sz w:val="22"/>
              </w:rPr>
            </w:pPr>
            <w:r w:rsidRPr="00ED5D7D">
              <w:rPr>
                <w:rFonts w:asciiTheme="majorHAnsi" w:hAnsiTheme="majorHAnsi" w:cstheme="majorHAnsi"/>
                <w:b/>
                <w:color w:val="FFFFFF"/>
                <w:sz w:val="22"/>
              </w:rPr>
              <w:t>Student record</w:t>
            </w:r>
          </w:p>
        </w:tc>
      </w:tr>
      <w:tr w:rsidR="00724F61" w:rsidRPr="00ED5D7D" w14:paraId="56E83118" w14:textId="77777777" w:rsidTr="006643E8">
        <w:trPr>
          <w:cantSplit/>
          <w:jc w:val="center"/>
        </w:trPr>
        <w:tc>
          <w:tcPr>
            <w:tcW w:w="5222" w:type="dxa"/>
            <w:tcMar>
              <w:top w:w="70" w:type="dxa"/>
              <w:left w:w="90" w:type="dxa"/>
              <w:bottom w:w="70" w:type="dxa"/>
              <w:right w:w="90" w:type="dxa"/>
            </w:tcMar>
          </w:tcPr>
          <w:p w14:paraId="425BC34A" w14:textId="77777777" w:rsidR="00724F61" w:rsidRPr="00ED5D7D" w:rsidRDefault="00724F61" w:rsidP="006643E8">
            <w:pPr>
              <w:spacing w:after="0"/>
              <w:rPr>
                <w:rFonts w:asciiTheme="majorHAnsi" w:hAnsiTheme="majorHAnsi" w:cstheme="majorHAnsi"/>
                <w:sz w:val="22"/>
              </w:rPr>
            </w:pPr>
            <w:r w:rsidRPr="00ED5D7D">
              <w:rPr>
                <w:rFonts w:asciiTheme="majorHAnsi" w:hAnsiTheme="majorHAnsi" w:cstheme="majorHAnsi"/>
                <w:sz w:val="22"/>
              </w:rPr>
              <w:t>Self-reflection</w:t>
            </w:r>
          </w:p>
        </w:tc>
        <w:tc>
          <w:tcPr>
            <w:tcW w:w="5222" w:type="dxa"/>
            <w:tcMar>
              <w:top w:w="70" w:type="dxa"/>
              <w:left w:w="90" w:type="dxa"/>
              <w:bottom w:w="70" w:type="dxa"/>
              <w:right w:w="90" w:type="dxa"/>
            </w:tcMar>
            <w:vAlign w:val="center"/>
          </w:tcPr>
          <w:p w14:paraId="1E555B75" w14:textId="77777777" w:rsidR="00ED5D7D" w:rsidRPr="00ED5D7D" w:rsidRDefault="00ED5D7D" w:rsidP="00ED5D7D">
            <w:pPr>
              <w:pStyle w:val="NormalWeb"/>
              <w:rPr>
                <w:rFonts w:asciiTheme="majorHAnsi" w:hAnsiTheme="majorHAnsi" w:cstheme="majorHAnsi"/>
                <w:sz w:val="19"/>
                <w:szCs w:val="19"/>
              </w:rPr>
            </w:pPr>
            <w:r w:rsidRPr="00ED5D7D">
              <w:rPr>
                <w:rFonts w:asciiTheme="majorHAnsi" w:hAnsiTheme="majorHAnsi" w:cstheme="majorHAnsi"/>
                <w:sz w:val="19"/>
                <w:szCs w:val="19"/>
              </w:rPr>
              <w:t>Before this assignment, I thought Agentic AI might be Promethean because it can independently plan and carry out tasks that usually require human involvement. I learned that advanced capabilities do not necessarily mean a fundamental barrier has been dissolved, especially when earlier automation can already support some similar work.</w:t>
            </w:r>
          </w:p>
          <w:p w14:paraId="4BA24DE7" w14:textId="77777777" w:rsidR="00ED5D7D" w:rsidRPr="00ED5D7D" w:rsidRDefault="00ED5D7D" w:rsidP="00ED5D7D">
            <w:pPr>
              <w:pStyle w:val="NormalWeb"/>
              <w:rPr>
                <w:rFonts w:asciiTheme="majorHAnsi" w:hAnsiTheme="majorHAnsi" w:cstheme="majorHAnsi"/>
                <w:sz w:val="19"/>
                <w:szCs w:val="19"/>
              </w:rPr>
            </w:pPr>
            <w:r w:rsidRPr="00ED5D7D">
              <w:rPr>
                <w:rFonts w:asciiTheme="majorHAnsi" w:hAnsiTheme="majorHAnsi" w:cstheme="majorHAnsi"/>
                <w:sz w:val="19"/>
                <w:szCs w:val="19"/>
              </w:rPr>
              <w:t>The most challenging part for me was judging whether the evidence really supported the classification. Improvements in controlled experiments do not automatically prove equivalent benefits in semiconductor manufacturing.</w:t>
            </w:r>
          </w:p>
          <w:p w14:paraId="2C936BD0" w14:textId="77777777" w:rsidR="00ED5D7D" w:rsidRPr="00ED5D7D" w:rsidRDefault="00ED5D7D" w:rsidP="00ED5D7D">
            <w:pPr>
              <w:pStyle w:val="NormalWeb"/>
              <w:rPr>
                <w:rFonts w:asciiTheme="majorHAnsi" w:hAnsiTheme="majorHAnsi" w:cstheme="majorHAnsi"/>
                <w:sz w:val="19"/>
                <w:szCs w:val="19"/>
              </w:rPr>
            </w:pPr>
            <w:r w:rsidRPr="00ED5D7D">
              <w:rPr>
                <w:rFonts w:asciiTheme="majorHAnsi" w:hAnsiTheme="majorHAnsi" w:cstheme="majorHAnsi"/>
                <w:sz w:val="19"/>
                <w:szCs w:val="19"/>
              </w:rPr>
              <w:t>I also learned not to trust an AI-generated conclusion simply because it includes references. The initial agent response passed structural validation but cited the wrong Chapter 11 section. The retest corrected that issue, while another relevance problem improved only partly.</w:t>
            </w:r>
          </w:p>
          <w:p w14:paraId="555FCA7E" w14:textId="0537E574" w:rsidR="00724F61" w:rsidRPr="00ED5D7D" w:rsidRDefault="00ED5D7D" w:rsidP="00ED5D7D">
            <w:pPr>
              <w:pStyle w:val="NormalWeb"/>
              <w:rPr>
                <w:rFonts w:asciiTheme="majorHAnsi" w:hAnsiTheme="majorHAnsi" w:cstheme="majorHAnsi"/>
                <w:sz w:val="19"/>
                <w:szCs w:val="19"/>
                <w:lang w:eastAsia="zh-TW"/>
              </w:rPr>
            </w:pPr>
            <w:r w:rsidRPr="00ED5D7D">
              <w:rPr>
                <w:rFonts w:asciiTheme="majorHAnsi" w:hAnsiTheme="majorHAnsi" w:cstheme="majorHAnsi"/>
                <w:sz w:val="19"/>
                <w:szCs w:val="19"/>
              </w:rPr>
              <w:t>In future work, I would compare important AI-generated claims directly with the original sources rather than assuming that a reference is correct simply because it is provided.</w:t>
            </w:r>
          </w:p>
        </w:tc>
      </w:tr>
    </w:tbl>
    <w:p w14:paraId="0FAF49B9" w14:textId="77777777" w:rsidR="005E1D9A" w:rsidRPr="00ED5D7D" w:rsidRDefault="005E1D9A">
      <w:pPr>
        <w:rPr>
          <w:rFonts w:asciiTheme="majorHAnsi" w:hAnsiTheme="majorHAnsi" w:cstheme="majorHAnsi"/>
        </w:rPr>
      </w:pPr>
    </w:p>
    <w:sectPr w:rsidR="005E1D9A" w:rsidRPr="00ED5D7D"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B34CEE" w14:textId="77777777" w:rsidR="00F008B1" w:rsidRDefault="00F008B1">
      <w:pPr>
        <w:spacing w:after="0" w:line="240" w:lineRule="auto"/>
        <w:rPr>
          <w:rFonts w:hint="eastAsia"/>
        </w:rPr>
      </w:pPr>
      <w:r>
        <w:separator/>
      </w:r>
    </w:p>
  </w:endnote>
  <w:endnote w:type="continuationSeparator" w:id="0">
    <w:p w14:paraId="43CB54CA" w14:textId="77777777" w:rsidR="00F008B1" w:rsidRDefault="00F008B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407610"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8DF09" w14:textId="77777777" w:rsidR="00F008B1" w:rsidRDefault="00F008B1">
      <w:pPr>
        <w:spacing w:after="0" w:line="240" w:lineRule="auto"/>
        <w:rPr>
          <w:rFonts w:hint="eastAsia"/>
        </w:rPr>
      </w:pPr>
      <w:r>
        <w:separator/>
      </w:r>
    </w:p>
  </w:footnote>
  <w:footnote w:type="continuationSeparator" w:id="0">
    <w:p w14:paraId="04A49EB0" w14:textId="77777777" w:rsidR="00F008B1" w:rsidRDefault="00F008B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F50FB"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80042"/>
    <w:rsid w:val="0029639D"/>
    <w:rsid w:val="00326F90"/>
    <w:rsid w:val="005E1D9A"/>
    <w:rsid w:val="00630F3A"/>
    <w:rsid w:val="006962EF"/>
    <w:rsid w:val="006E721C"/>
    <w:rsid w:val="00724F61"/>
    <w:rsid w:val="00A16713"/>
    <w:rsid w:val="00AA1D8D"/>
    <w:rsid w:val="00B47730"/>
    <w:rsid w:val="00CB0664"/>
    <w:rsid w:val="00CC3E29"/>
    <w:rsid w:val="00CE2988"/>
    <w:rsid w:val="00ED5D7D"/>
    <w:rsid w:val="00F008B1"/>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09D59"/>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 w:type="paragraph" w:styleId="NormalWeb">
    <w:name w:val="Normal (Web)"/>
    <w:basedOn w:val="Normal"/>
    <w:uiPriority w:val="99"/>
    <w:unhideWhenUsed/>
    <w:rsid w:val="00ED5D7D"/>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Emerging Technologies - Specialist Agent Record Template</vt:lpstr>
    </vt:vector>
  </TitlesOfParts>
  <Manager/>
  <Company/>
  <LinksUpToDate>false</LinksUpToDate>
  <CharactersWithSpaces>9163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馨 黃</cp:lastModifiedBy>
  <cp:revision>5</cp:revision>
  <dcterms:created xsi:type="dcterms:W3CDTF">2026-08-13T19:48:00Z</dcterms:created>
  <dcterms:modified xsi:type="dcterms:W3CDTF">2026-10-17T23:51:00Z</dcterms:modified>
  <cp:category/>
</cp:coreProperties>
</file>